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Calibri" w:cs="Calibri" w:eastAsia="Calibri" w:hAnsi="Calibri"/>
          <w:b/>
          <w:bCs/>
          <w:color w:val="1A3A5C"/>
          <w:sz w:val="56"/>
          <w:szCs w:val="56"/>
        </w:rPr>
        <w:t xml:space="preserve">Dataset Metadata</w:t>
      </w:r>
    </w:p>
    <w:p>
      <w:pPr>
        <w:spacing w:before="0" w:after="60"/>
      </w:pPr>
      <w:r>
        <w:rPr>
          <w:rFonts w:ascii="Calibri" w:cs="Calibri" w:eastAsia="Calibri" w:hAnsi="Calibri"/>
          <w:color w:val="2C6FAC"/>
          <w:sz w:val="24"/>
          <w:szCs w:val="24"/>
        </w:rPr>
        <w:t xml:space="preserve">Jordan National Water Distribution Network — Spatial A-B Sensor Dataset  v2.0</w:t>
      </w:r>
    </w:p>
    <w:p>
      <w:pPr>
        <w:spacing w:before="0" w:after="30"/>
      </w:pPr>
      <w:r>
        <w:rPr>
          <w:rFonts w:ascii="Calibri" w:cs="Calibri" w:eastAsia="Calibri" w:hAnsi="Calibri"/>
          <w:i/>
          <w:iCs/>
          <w:color w:val="5A6880"/>
          <w:sz w:val="20"/>
          <w:szCs w:val="20"/>
        </w:rPr>
        <w:t xml:space="preserve">AI-Driven Zonal Water Loss Detection and Smart Resource Management</w:t>
      </w:r>
    </w:p>
    <w:p>
      <w:pPr>
        <w:spacing w:before="0" w:after="120"/>
      </w:pPr>
      <w:r>
        <w:rPr>
          <w:rFonts w:ascii="Calibri" w:cs="Calibri" w:eastAsia="Calibri" w:hAnsi="Calibri"/>
          <w:color w:val="5A6880"/>
          <w:sz w:val="18"/>
          <w:szCs w:val="18"/>
        </w:rPr>
        <w:t xml:space="preserve">Change The Future Team  ·  Amman Arab University  ·  Supervised by Dr. Mais Ahmad Haj Qasem  ·  IEEE RAS &amp; CS Hackathon 2026</w:t>
      </w:r>
    </w:p>
    <w:p>
      <w:pPr>
        <w:pBdr>
          <w:bottom w:val="single" w:color="2C6FAC" w:sz="6" w:space="1"/>
        </w:pBdr>
        <w:spacing w:before="50" w:after="50"/>
      </w:pPr>
    </w:p>
    <w:p>
      <w:pPr>
        <w:spacing w:before="36" w:after="0"/>
      </w:pPr>
    </w:p>
    <w:p>
      <w:pPr>
        <w:pStyle w:val="Heading1"/>
        <w:spacing w:before="340" w:after="100"/>
      </w:pPr>
      <w:r>
        <w:rPr>
          <w:rFonts w:ascii="Calibri" w:cs="Calibri" w:eastAsia="Calibri" w:hAnsi="Calibri"/>
          <w:b/>
          <w:bCs/>
          <w:color w:val="1A3A5C"/>
          <w:sz w:val="28"/>
          <w:szCs w:val="28"/>
        </w:rPr>
        <w:t xml:space="preserve">1. Dataset Overview</w:t>
      </w:r>
    </w:p>
    <w:p>
      <w:pPr>
        <w:spacing w:before="50" w:after="50"/>
      </w:pPr>
      <w:r>
        <w:rPr>
          <w:rFonts w:ascii="Calibri" w:cs="Calibri" w:eastAsia="Calibri" w:hAnsi="Calibri"/>
          <w:b w:val="false"/>
          <w:bCs w:val="false"/>
          <w:i w:val="false"/>
          <w:iCs w:val="false"/>
          <w:color w:val="1A1A2E"/>
          <w:sz w:val="20"/>
          <w:szCs w:val="20"/>
        </w:rPr>
        <w:t xml:space="preserve">This dataset is a physics-calibrated synthetic dataset designed to support an AI-driven spatial water loss detection system for the Jordanian national water distribution network. It implements a spatial A-B sensor pair architecture, where each record represents a physical pipe segment between two measurement points (Sensor A → Sensor B), rather than a single-point time-series.</w:t>
      </w:r>
    </w:p>
    <w:p>
      <w:pPr>
        <w:spacing w:before="36" w:after="0"/>
      </w:pPr>
    </w:p>
    <w:p>
      <w:pPr>
        <w:spacing w:before="50" w:after="50"/>
      </w:pPr>
      <w:r>
        <w:rPr>
          <w:rFonts w:ascii="Calibri" w:cs="Calibri" w:eastAsia="Calibri" w:hAnsi="Calibri"/>
          <w:b w:val="false"/>
          <w:bCs w:val="false"/>
          <w:i w:val="false"/>
          <w:iCs w:val="false"/>
          <w:color w:val="1A1A2E"/>
          <w:sz w:val="20"/>
          <w:szCs w:val="20"/>
        </w:rPr>
        <w:t xml:space="preserve">The dataset is calibrated to real Jordanian operational parameters sourced from the Ministry of Water and Irrigation (MWI Facts &amp; Figures 2022), FAO AQUASTAT, and the World Bank Jordan Water Sector Public Expenditure Review (2022). Key national statistics reflected include a Non-Revenue Water (NRW) rate of 41–56%, per-capita water availability of ~145 m³/year, and intermittent supply schedules of 6–14 hours per day depending on governorate.</w:t>
      </w:r>
    </w:p>
    <w:p>
      <w:pPr>
        <w:spacing w:before="36" w:after="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65"/>
        <w:gridCol w:w="2265"/>
        <w:gridCol w:w="2265"/>
        <w:gridCol w:w="2265"/>
      </w:tblGrid>
      <w:tr>
        <w:trPr>
          <w:tblHeader/>
        </w:trPr>
        <w:tc>
          <w:tcPr>
            <w:tcW w:type="dxa" w:w="2265"/>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Property</w:t>
            </w:r>
          </w:p>
        </w:tc>
        <w:tc>
          <w:tcPr>
            <w:tcW w:type="dxa" w:w="2265"/>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Training set</w:t>
            </w:r>
          </w:p>
        </w:tc>
        <w:tc>
          <w:tcPr>
            <w:tcW w:type="dxa" w:w="2265"/>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Test set</w:t>
            </w:r>
          </w:p>
        </w:tc>
        <w:tc>
          <w:tcPr>
            <w:tcW w:type="dxa" w:w="2265"/>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Total</w:t>
            </w:r>
          </w:p>
        </w:tc>
      </w:tr>
      <w:tr>
        <w:tc>
          <w:tcPr>
            <w:tcW w:type="dxa" w:w="2265"/>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Total rows</w:t>
            </w:r>
          </w:p>
        </w:tc>
        <w:tc>
          <w:tcPr>
            <w:tcW w:type="dxa" w:w="2265"/>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80,000</w:t>
            </w:r>
          </w:p>
        </w:tc>
        <w:tc>
          <w:tcPr>
            <w:tcW w:type="dxa" w:w="2265"/>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20,000</w:t>
            </w:r>
          </w:p>
        </w:tc>
        <w:tc>
          <w:tcPr>
            <w:tcW w:type="dxa" w:w="2265"/>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100,000</w:t>
            </w:r>
          </w:p>
        </w:tc>
      </w:tr>
      <w:tr>
        <w:tc>
          <w:tcPr>
            <w:tcW w:type="dxa" w:w="2265"/>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Anomaly rate</w:t>
            </w:r>
          </w:p>
        </w:tc>
        <w:tc>
          <w:tcPr>
            <w:tcW w:type="dxa" w:w="2265"/>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20.0%</w:t>
            </w:r>
          </w:p>
        </w:tc>
        <w:tc>
          <w:tcPr>
            <w:tcW w:type="dxa" w:w="2265"/>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5.0%</w:t>
            </w:r>
          </w:p>
        </w:tc>
        <w:tc>
          <w:tcPr>
            <w:tcW w:type="dxa" w:w="2265"/>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w:t>
            </w:r>
          </w:p>
        </w:tc>
      </w:tr>
      <w:tr>
        <w:tc>
          <w:tcPr>
            <w:tcW w:type="dxa" w:w="2265"/>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Columns</w:t>
            </w:r>
          </w:p>
        </w:tc>
        <w:tc>
          <w:tcPr>
            <w:tcW w:type="dxa" w:w="2265"/>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39</w:t>
            </w:r>
          </w:p>
        </w:tc>
        <w:tc>
          <w:tcPr>
            <w:tcW w:type="dxa" w:w="2265"/>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39</w:t>
            </w:r>
          </w:p>
        </w:tc>
        <w:tc>
          <w:tcPr>
            <w:tcW w:type="dxa" w:w="2265"/>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39</w:t>
            </w:r>
          </w:p>
        </w:tc>
      </w:tr>
      <w:tr>
        <w:tc>
          <w:tcPr>
            <w:tcW w:type="dxa" w:w="2265"/>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Governorates</w:t>
            </w:r>
          </w:p>
        </w:tc>
        <w:tc>
          <w:tcPr>
            <w:tcW w:type="dxa" w:w="2265"/>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12</w:t>
            </w:r>
          </w:p>
        </w:tc>
        <w:tc>
          <w:tcPr>
            <w:tcW w:type="dxa" w:w="2265"/>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12</w:t>
            </w:r>
          </w:p>
        </w:tc>
        <w:tc>
          <w:tcPr>
            <w:tcW w:type="dxa" w:w="2265"/>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12</w:t>
            </w:r>
          </w:p>
        </w:tc>
      </w:tr>
      <w:tr>
        <w:tc>
          <w:tcPr>
            <w:tcW w:type="dxa" w:w="2265"/>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Zones (DMAs)</w:t>
            </w:r>
          </w:p>
        </w:tc>
        <w:tc>
          <w:tcPr>
            <w:tcW w:type="dxa" w:w="2265"/>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31</w:t>
            </w:r>
          </w:p>
        </w:tc>
        <w:tc>
          <w:tcPr>
            <w:tcW w:type="dxa" w:w="2265"/>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31</w:t>
            </w:r>
          </w:p>
        </w:tc>
        <w:tc>
          <w:tcPr>
            <w:tcW w:type="dxa" w:w="2265"/>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31</w:t>
            </w:r>
          </w:p>
        </w:tc>
      </w:tr>
      <w:tr>
        <w:tc>
          <w:tcPr>
            <w:tcW w:type="dxa" w:w="2265"/>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Missing values</w:t>
            </w:r>
          </w:p>
        </w:tc>
        <w:tc>
          <w:tcPr>
            <w:tcW w:type="dxa" w:w="2265"/>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w:t>
            </w:r>
          </w:p>
        </w:tc>
        <w:tc>
          <w:tcPr>
            <w:tcW w:type="dxa" w:w="2265"/>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w:t>
            </w:r>
          </w:p>
        </w:tc>
        <w:tc>
          <w:tcPr>
            <w:tcW w:type="dxa" w:w="2265"/>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w:t>
            </w:r>
          </w:p>
        </w:tc>
      </w:tr>
      <w:tr>
        <w:tc>
          <w:tcPr>
            <w:tcW w:type="dxa" w:w="2265"/>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Date range</w:t>
            </w:r>
          </w:p>
        </w:tc>
        <w:tc>
          <w:tcPr>
            <w:tcW w:type="dxa" w:w="2265"/>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2020-01-01</w:t>
            </w:r>
          </w:p>
        </w:tc>
        <w:tc>
          <w:tcPr>
            <w:tcW w:type="dxa" w:w="2265"/>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2023-06-01</w:t>
            </w:r>
          </w:p>
        </w:tc>
        <w:tc>
          <w:tcPr>
            <w:tcW w:type="dxa" w:w="2265"/>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w:t>
            </w:r>
          </w:p>
        </w:tc>
      </w:tr>
    </w:tbl>
    <w:p>
      <w:pPr>
        <w:spacing w:before="72" w:after="0"/>
      </w:pPr>
    </w:p>
    <w:p>
      <w:pPr>
        <w:pStyle w:val="Heading1"/>
        <w:spacing w:before="340" w:after="100"/>
      </w:pPr>
      <w:r>
        <w:rPr>
          <w:rFonts w:ascii="Calibri" w:cs="Calibri" w:eastAsia="Calibri" w:hAnsi="Calibri"/>
          <w:b/>
          <w:bCs/>
          <w:color w:val="1A3A5C"/>
          <w:sz w:val="28"/>
          <w:szCs w:val="28"/>
        </w:rPr>
        <w:t xml:space="preserve">2. Data Split Strategy &amp; Validation Philosophy</w:t>
      </w:r>
    </w:p>
    <w:p>
      <w:pPr>
        <w:spacing w:before="50" w:after="50"/>
      </w:pPr>
      <w:r>
        <w:rPr>
          <w:rFonts w:ascii="Calibri" w:cs="Calibri" w:eastAsia="Calibri" w:hAnsi="Calibri"/>
          <w:b w:val="false"/>
          <w:bCs w:val="false"/>
          <w:i w:val="false"/>
          <w:iCs w:val="false"/>
          <w:color w:val="1A1A2E"/>
          <w:sz w:val="20"/>
          <w:szCs w:val="20"/>
        </w:rPr>
        <w:t xml:space="preserve">The dataset is divided into two files only: training (80%) and test (20%). No separate validation file is provided. This is a deliberate design decision:</w:t>
      </w:r>
    </w:p>
    <w:p>
      <w:pPr>
        <w:spacing w:before="36" w:after="0"/>
      </w:pPr>
    </w:p>
    <w:p>
      <w:pPr>
        <w:spacing w:before="50" w:after="50"/>
      </w:pPr>
      <w:r>
        <w:rPr>
          <w:rFonts w:ascii="Calibri" w:cs="Calibri" w:eastAsia="Calibri" w:hAnsi="Calibri"/>
          <w:b w:val="false"/>
          <w:bCs w:val="false"/>
          <w:i w:val="false"/>
          <w:iCs w:val="false"/>
          <w:color w:val="1A1A2E"/>
          <w:sz w:val="20"/>
          <w:szCs w:val="20"/>
        </w:rPr>
        <w:t xml:space="preserve">(1) Validation is extracted dynamically inside the training pipeline using StratifiedShuffleSplit(test_size=0.15) applied to the shuffled training set, after shuffling but before scaling. This prevents temporal data leakage between splits.</w:t>
      </w:r>
    </w:p>
    <w:p>
      <w:pPr>
        <w:spacing w:before="50" w:after="50"/>
      </w:pPr>
      <w:r>
        <w:rPr>
          <w:rFonts w:ascii="Calibri" w:cs="Calibri" w:eastAsia="Calibri" w:hAnsi="Calibri"/>
          <w:b w:val="false"/>
          <w:bCs w:val="false"/>
          <w:i w:val="false"/>
          <w:iCs w:val="false"/>
          <w:color w:val="1A1A2E"/>
          <w:sz w:val="20"/>
          <w:szCs w:val="20"/>
        </w:rPr>
        <w:t xml:space="preserve">(2) The test set reflects realistic operational conditions with only 5% anomaly rate — matching real-world NRW patterns in Jordanian DMAs.</w:t>
      </w:r>
    </w:p>
    <w:p>
      <w:pPr>
        <w:spacing w:before="50" w:after="50"/>
      </w:pPr>
      <w:r>
        <w:rPr>
          <w:rFonts w:ascii="Calibri" w:cs="Calibri" w:eastAsia="Calibri" w:hAnsi="Calibri"/>
          <w:b w:val="false"/>
          <w:bCs w:val="false"/>
          <w:i w:val="false"/>
          <w:iCs w:val="false"/>
          <w:color w:val="1A1A2E"/>
          <w:sz w:val="20"/>
          <w:szCs w:val="20"/>
        </w:rPr>
        <w:t xml:space="preserve">(3) The training set uses 20% anomaly rate to ensure sufficient examples of each fault class during supervised learning.</w:t>
      </w:r>
    </w:p>
    <w:p>
      <w:pPr>
        <w:spacing w:before="36" w:after="0"/>
      </w:pPr>
    </w:p>
    <w:p>
      <w:pPr>
        <w:spacing w:before="50" w:after="50"/>
      </w:pPr>
      <w:r>
        <w:rPr>
          <w:rFonts w:ascii="Calibri" w:cs="Calibri" w:eastAsia="Calibri" w:hAnsi="Calibri"/>
          <w:b w:val="false"/>
          <w:bCs w:val="false"/>
          <w:i/>
          <w:iCs/>
          <w:color w:val="1A1A2E"/>
          <w:sz w:val="20"/>
          <w:szCs w:val="20"/>
        </w:rPr>
        <w:t xml:space="preserve">Scalers (StandardScaler) are fitted exclusively on the training split and applied to validation and test to prevent data leakage.</w:t>
      </w:r>
    </w:p>
    <w:p>
      <w:pPr>
        <w:spacing w:before="72" w:after="0"/>
      </w:pPr>
    </w:p>
    <w:p>
      <w:pPr>
        <w:pStyle w:val="Heading1"/>
        <w:spacing w:before="340" w:after="100"/>
      </w:pPr>
      <w:r>
        <w:rPr>
          <w:rFonts w:ascii="Calibri" w:cs="Calibri" w:eastAsia="Calibri" w:hAnsi="Calibri"/>
          <w:b/>
          <w:bCs/>
          <w:color w:val="1A3A5C"/>
          <w:sz w:val="28"/>
          <w:szCs w:val="28"/>
        </w:rPr>
        <w:t xml:space="preserve">3. Class Distribution and Balance Rationale</w:t>
      </w:r>
    </w:p>
    <w:p>
      <w:pPr>
        <w:spacing w:before="50" w:after="50"/>
      </w:pPr>
      <w:r>
        <w:rPr>
          <w:rFonts w:ascii="Calibri" w:cs="Calibri" w:eastAsia="Calibri" w:hAnsi="Calibri"/>
          <w:b w:val="false"/>
          <w:bCs w:val="false"/>
          <w:i w:val="false"/>
          <w:iCs w:val="false"/>
          <w:color w:val="1A1A2E"/>
          <w:sz w:val="20"/>
          <w:szCs w:val="20"/>
        </w:rPr>
        <w:t xml:space="preserve">The four classes reflect the primary fault categories defined by the IWA Water Loss Task Force and adapted to Jordanian DMA conditions. The class ratios are intentionally designed to reflect both training needs (balanced enough to learn minority classes) and realistic operational conditions (test set is heavily skewed toward normal).</w:t>
      </w:r>
    </w:p>
    <w:p>
      <w:pPr>
        <w:spacing w:before="36" w:after="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950"/>
        <w:gridCol w:w="800"/>
        <w:gridCol w:w="950"/>
        <w:gridCol w:w="800"/>
        <w:gridCol w:w="900"/>
        <w:gridCol w:w="1260"/>
        <w:gridCol w:w="1250"/>
        <w:gridCol w:w="1250"/>
      </w:tblGrid>
      <w:tr>
        <w:trPr>
          <w:tblHeader/>
        </w:trPr>
        <w:tc>
          <w:tcPr>
            <w:tcW w:type="dxa" w:w="9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Class</w:t>
            </w:r>
          </w:p>
        </w:tc>
        <w:tc>
          <w:tcPr>
            <w:tcW w:type="dxa" w:w="95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Train n</w:t>
            </w:r>
          </w:p>
        </w:tc>
        <w:tc>
          <w:tcPr>
            <w:tcW w:type="dxa" w:w="8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Train %</w:t>
            </w:r>
          </w:p>
        </w:tc>
        <w:tc>
          <w:tcPr>
            <w:tcW w:type="dxa" w:w="95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Test n</w:t>
            </w:r>
          </w:p>
        </w:tc>
        <w:tc>
          <w:tcPr>
            <w:tcW w:type="dxa" w:w="8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Test %</w:t>
            </w:r>
          </w:p>
        </w:tc>
        <w:tc>
          <w:tcPr>
            <w:tcW w:type="dxa" w:w="9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Severity mean</w:t>
            </w:r>
          </w:p>
        </w:tc>
        <w:tc>
          <w:tcPr>
            <w:tcW w:type="dxa" w:w="126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Severity range</w:t>
            </w:r>
          </w:p>
        </w:tc>
        <w:tc>
          <w:tcPr>
            <w:tcW w:type="dxa" w:w="125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ΔFlow% mean</w:t>
            </w:r>
          </w:p>
        </w:tc>
        <w:tc>
          <w:tcPr>
            <w:tcW w:type="dxa" w:w="125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DP_Dev mean</w:t>
            </w:r>
          </w:p>
        </w:tc>
      </w:tr>
      <w:tr>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Normal</w:t>
            </w:r>
          </w:p>
        </w:tc>
        <w:tc>
          <w:tcPr>
            <w:tcW w:type="dxa" w:w="95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64,000</w:t>
            </w:r>
          </w:p>
        </w:tc>
        <w:tc>
          <w:tcPr>
            <w:tcW w:type="dxa" w:w="8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80.00%</w:t>
            </w:r>
          </w:p>
        </w:tc>
        <w:tc>
          <w:tcPr>
            <w:tcW w:type="dxa" w:w="95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19,000</w:t>
            </w:r>
          </w:p>
        </w:tc>
        <w:tc>
          <w:tcPr>
            <w:tcW w:type="dxa" w:w="8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95.00%</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0.00</w:t>
            </w:r>
          </w:p>
        </w:tc>
        <w:tc>
          <w:tcPr>
            <w:tcW w:type="dxa" w:w="12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0.00</w:t>
            </w:r>
          </w:p>
        </w:tc>
        <w:tc>
          <w:tcPr>
            <w:tcW w:type="dxa" w:w="125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1.785</w:t>
            </w:r>
          </w:p>
        </w:tc>
        <w:tc>
          <w:tcPr>
            <w:tcW w:type="dxa" w:w="125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0.042</w:t>
            </w:r>
          </w:p>
        </w:tc>
      </w:tr>
      <w:tr>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Leak</w:t>
            </w:r>
          </w:p>
        </w:tc>
        <w:tc>
          <w:tcPr>
            <w:tcW w:type="dxa" w:w="95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7,200</w:t>
            </w:r>
          </w:p>
        </w:tc>
        <w:tc>
          <w:tcPr>
            <w:tcW w:type="dxa" w:w="8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9.00%</w:t>
            </w:r>
          </w:p>
        </w:tc>
        <w:tc>
          <w:tcPr>
            <w:tcW w:type="dxa" w:w="95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450</w:t>
            </w:r>
          </w:p>
        </w:tc>
        <w:tc>
          <w:tcPr>
            <w:tcW w:type="dxa" w:w="8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2.25%</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0.106</w:t>
            </w:r>
          </w:p>
        </w:tc>
        <w:tc>
          <w:tcPr>
            <w:tcW w:type="dxa" w:w="12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0.03–0.18</w:t>
            </w:r>
          </w:p>
        </w:tc>
        <w:tc>
          <w:tcPr>
            <w:tcW w:type="dxa" w:w="125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10.779</w:t>
            </w:r>
          </w:p>
        </w:tc>
        <w:tc>
          <w:tcPr>
            <w:tcW w:type="dxa" w:w="125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2.835</w:t>
            </w:r>
          </w:p>
        </w:tc>
      </w:tr>
      <w:tr>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Burst</w:t>
            </w:r>
          </w:p>
        </w:tc>
        <w:tc>
          <w:tcPr>
            <w:tcW w:type="dxa" w:w="95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4,000</w:t>
            </w:r>
          </w:p>
        </w:tc>
        <w:tc>
          <w:tcPr>
            <w:tcW w:type="dxa" w:w="8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5.00%</w:t>
            </w:r>
          </w:p>
        </w:tc>
        <w:tc>
          <w:tcPr>
            <w:tcW w:type="dxa" w:w="95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250</w:t>
            </w:r>
          </w:p>
        </w:tc>
        <w:tc>
          <w:tcPr>
            <w:tcW w:type="dxa" w:w="8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1.25%</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0.487</w:t>
            </w:r>
          </w:p>
        </w:tc>
        <w:tc>
          <w:tcPr>
            <w:tcW w:type="dxa" w:w="12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0.25–0.72</w:t>
            </w:r>
          </w:p>
        </w:tc>
        <w:tc>
          <w:tcPr>
            <w:tcW w:type="dxa" w:w="125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48.625</w:t>
            </w:r>
          </w:p>
        </w:tc>
        <w:tc>
          <w:tcPr>
            <w:tcW w:type="dxa" w:w="125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19.130</w:t>
            </w:r>
          </w:p>
        </w:tc>
      </w:tr>
      <w:tr>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Theft</w:t>
            </w:r>
          </w:p>
        </w:tc>
        <w:tc>
          <w:tcPr>
            <w:tcW w:type="dxa" w:w="95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4,800</w:t>
            </w:r>
          </w:p>
        </w:tc>
        <w:tc>
          <w:tcPr>
            <w:tcW w:type="dxa" w:w="8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6.00%</w:t>
            </w:r>
          </w:p>
        </w:tc>
        <w:tc>
          <w:tcPr>
            <w:tcW w:type="dxa" w:w="95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300</w:t>
            </w:r>
          </w:p>
        </w:tc>
        <w:tc>
          <w:tcPr>
            <w:tcW w:type="dxa" w:w="8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1.50%</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0.096</w:t>
            </w:r>
          </w:p>
        </w:tc>
        <w:tc>
          <w:tcPr>
            <w:tcW w:type="dxa" w:w="12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0.05–0.14</w:t>
            </w:r>
          </w:p>
        </w:tc>
        <w:tc>
          <w:tcPr>
            <w:tcW w:type="dxa" w:w="125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9.667</w:t>
            </w:r>
          </w:p>
        </w:tc>
        <w:tc>
          <w:tcPr>
            <w:tcW w:type="dxa" w:w="125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0.464</w:t>
            </w:r>
          </w:p>
        </w:tc>
      </w:tr>
    </w:tbl>
    <w:p>
      <w:pPr>
        <w:spacing w:before="36" w:after="0"/>
      </w:pPr>
    </w:p>
    <w:p>
      <w:pPr>
        <w:spacing w:before="50" w:after="50"/>
      </w:pPr>
      <w:r>
        <w:rPr>
          <w:rFonts w:ascii="Calibri" w:cs="Calibri" w:eastAsia="Calibri" w:hAnsi="Calibri"/>
          <w:b w:val="false"/>
          <w:bCs w:val="false"/>
          <w:i w:val="false"/>
          <w:iCs w:val="false"/>
          <w:color w:val="1A1A2E"/>
          <w:sz w:val="20"/>
          <w:szCs w:val="20"/>
        </w:rPr>
        <w:t xml:space="preserve">Anomaly distribution within anomalous samples (training): Leak 45%, Theft 30%, Burst 25%. This reflects the relative frequency of these fault types in aging Jordanian pipe infrastructure according to MWI operational reports.</w:t>
      </w:r>
    </w:p>
    <w:p>
      <w:pPr>
        <w:spacing w:before="72" w:after="0"/>
      </w:pPr>
    </w:p>
    <w:p>
      <w:pPr>
        <w:pStyle w:val="Heading1"/>
        <w:spacing w:before="340" w:after="100"/>
      </w:pPr>
      <w:r>
        <w:rPr>
          <w:rFonts w:ascii="Calibri" w:cs="Calibri" w:eastAsia="Calibri" w:hAnsi="Calibri"/>
          <w:b/>
          <w:bCs/>
          <w:color w:val="1A3A5C"/>
          <w:sz w:val="28"/>
          <w:szCs w:val="28"/>
        </w:rPr>
        <w:t xml:space="preserve">4. Governorate Configuration</w:t>
      </w:r>
    </w:p>
    <w:p>
      <w:pPr>
        <w:spacing w:before="50" w:after="50"/>
      </w:pPr>
      <w:r>
        <w:rPr>
          <w:rFonts w:ascii="Calibri" w:cs="Calibri" w:eastAsia="Calibri" w:hAnsi="Calibri"/>
          <w:b w:val="false"/>
          <w:bCs w:val="false"/>
          <w:i w:val="false"/>
          <w:iCs w:val="false"/>
          <w:color w:val="1A1A2E"/>
          <w:sz w:val="20"/>
          <w:szCs w:val="20"/>
        </w:rPr>
        <w:t xml:space="preserve">All 12 Jordan governorates are included. Each governorate is configured with independently calibrated hydraulic and demographic parameters. These parameters determine the demand multiplier, baseline flow ranges, and anomaly probability for every zone.</w:t>
      </w:r>
    </w:p>
    <w:p>
      <w:pPr>
        <w:spacing w:before="36" w:after="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860"/>
        <w:gridCol w:w="810"/>
        <w:gridCol w:w="810"/>
        <w:gridCol w:w="900"/>
        <w:gridCol w:w="1100"/>
        <w:gridCol w:w="900"/>
        <w:gridCol w:w="600"/>
        <w:gridCol w:w="700"/>
        <w:gridCol w:w="800"/>
        <w:gridCol w:w="780"/>
      </w:tblGrid>
      <w:tr>
        <w:trPr>
          <w:tblHeader/>
        </w:trPr>
        <w:tc>
          <w:tcPr>
            <w:tcW w:type="dxa" w:w="86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Governorate</w:t>
            </w:r>
          </w:p>
        </w:tc>
        <w:tc>
          <w:tcPr>
            <w:tcW w:type="dxa" w:w="81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Train rows</w:t>
            </w:r>
          </w:p>
        </w:tc>
        <w:tc>
          <w:tcPr>
            <w:tcW w:type="dxa" w:w="81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Test rows</w:t>
            </w:r>
          </w:p>
        </w:tc>
        <w:tc>
          <w:tcPr>
            <w:tcW w:type="dxa" w:w="9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Arabic</w:t>
            </w:r>
          </w:p>
        </w:tc>
        <w:tc>
          <w:tcPr>
            <w:tcW w:type="dxa" w:w="11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Environment</w:t>
            </w:r>
          </w:p>
        </w:tc>
        <w:tc>
          <w:tcPr>
            <w:tcW w:type="dxa" w:w="9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Pipe material</w:t>
            </w:r>
          </w:p>
        </w:tc>
        <w:tc>
          <w:tcPr>
            <w:tcW w:type="dxa" w:w="6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Age (yr)</w:t>
            </w:r>
          </w:p>
        </w:tc>
        <w:tc>
          <w:tcPr>
            <w:tcW w:type="dxa" w:w="7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NRW</w:t>
            </w:r>
          </w:p>
        </w:tc>
        <w:tc>
          <w:tcPr>
            <w:tcW w:type="dxa" w:w="8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Supply</w:t>
            </w:r>
          </w:p>
        </w:tc>
        <w:tc>
          <w:tcPr>
            <w:tcW w:type="dxa" w:w="78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Zones</w:t>
            </w:r>
          </w:p>
        </w:tc>
      </w:tr>
      <w:tr>
        <w:tc>
          <w:tcPr>
            <w:tcW w:type="dxa" w:w="8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Amman</w:t>
            </w:r>
          </w:p>
        </w:tc>
        <w:tc>
          <w:tcPr>
            <w:tcW w:type="dxa" w:w="81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13,017</w:t>
            </w:r>
          </w:p>
        </w:tc>
        <w:tc>
          <w:tcPr>
            <w:tcW w:type="dxa" w:w="81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3,231</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عمّان</w:t>
            </w:r>
          </w:p>
        </w:tc>
        <w:tc>
          <w:tcPr>
            <w:tcW w:type="dxa" w:w="11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urban</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ductile iron</w:t>
            </w:r>
          </w:p>
        </w:tc>
        <w:tc>
          <w:tcPr>
            <w:tcW w:type="dxa" w:w="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18</w:t>
            </w:r>
          </w:p>
        </w:tc>
        <w:tc>
          <w:tcPr>
            <w:tcW w:type="dxa" w:w="7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43%</w:t>
            </w:r>
          </w:p>
        </w:tc>
        <w:tc>
          <w:tcPr>
            <w:tcW w:type="dxa" w:w="8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12 hrs</w:t>
            </w:r>
          </w:p>
        </w:tc>
        <w:tc>
          <w:tcPr>
            <w:tcW w:type="dxa" w:w="78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5</w:t>
            </w:r>
          </w:p>
        </w:tc>
      </w:tr>
      <w:tr>
        <w:tc>
          <w:tcPr>
            <w:tcW w:type="dxa" w:w="8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Irbid</w:t>
            </w:r>
          </w:p>
        </w:tc>
        <w:tc>
          <w:tcPr>
            <w:tcW w:type="dxa" w:w="81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10,090</w:t>
            </w:r>
          </w:p>
        </w:tc>
        <w:tc>
          <w:tcPr>
            <w:tcW w:type="dxa" w:w="81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2,623</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إربد</w:t>
            </w:r>
          </w:p>
        </w:tc>
        <w:tc>
          <w:tcPr>
            <w:tcW w:type="dxa" w:w="11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urban</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ductile iron</w:t>
            </w:r>
          </w:p>
        </w:tc>
        <w:tc>
          <w:tcPr>
            <w:tcW w:type="dxa" w:w="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24</w:t>
            </w:r>
          </w:p>
        </w:tc>
        <w:tc>
          <w:tcPr>
            <w:tcW w:type="dxa" w:w="7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45%</w:t>
            </w:r>
          </w:p>
        </w:tc>
        <w:tc>
          <w:tcPr>
            <w:tcW w:type="dxa" w:w="8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10 hrs</w:t>
            </w:r>
          </w:p>
        </w:tc>
        <w:tc>
          <w:tcPr>
            <w:tcW w:type="dxa" w:w="78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4</w:t>
            </w:r>
          </w:p>
        </w:tc>
      </w:tr>
      <w:tr>
        <w:tc>
          <w:tcPr>
            <w:tcW w:type="dxa" w:w="8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Zarqa</w:t>
            </w:r>
          </w:p>
        </w:tc>
        <w:tc>
          <w:tcPr>
            <w:tcW w:type="dxa" w:w="81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7,727</w:t>
            </w:r>
          </w:p>
        </w:tc>
        <w:tc>
          <w:tcPr>
            <w:tcW w:type="dxa" w:w="81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1,917</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الزرقاء</w:t>
            </w:r>
          </w:p>
        </w:tc>
        <w:tc>
          <w:tcPr>
            <w:tcW w:type="dxa" w:w="11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urban-industrial</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cast iron</w:t>
            </w:r>
          </w:p>
        </w:tc>
        <w:tc>
          <w:tcPr>
            <w:tcW w:type="dxa" w:w="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35</w:t>
            </w:r>
          </w:p>
        </w:tc>
        <w:tc>
          <w:tcPr>
            <w:tcW w:type="dxa" w:w="7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52%</w:t>
            </w:r>
          </w:p>
        </w:tc>
        <w:tc>
          <w:tcPr>
            <w:tcW w:type="dxa" w:w="8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8 hrs</w:t>
            </w:r>
          </w:p>
        </w:tc>
        <w:tc>
          <w:tcPr>
            <w:tcW w:type="dxa" w:w="78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3</w:t>
            </w:r>
          </w:p>
        </w:tc>
      </w:tr>
      <w:tr>
        <w:tc>
          <w:tcPr>
            <w:tcW w:type="dxa" w:w="8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Balqa</w:t>
            </w:r>
          </w:p>
        </w:tc>
        <w:tc>
          <w:tcPr>
            <w:tcW w:type="dxa" w:w="81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7,677</w:t>
            </w:r>
          </w:p>
        </w:tc>
        <w:tc>
          <w:tcPr>
            <w:tcW w:type="dxa" w:w="81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1,947</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البلقاء</w:t>
            </w:r>
          </w:p>
        </w:tc>
        <w:tc>
          <w:tcPr>
            <w:tcW w:type="dxa" w:w="11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mixed</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PVC</w:t>
            </w:r>
          </w:p>
        </w:tc>
        <w:tc>
          <w:tcPr>
            <w:tcW w:type="dxa" w:w="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16</w:t>
            </w:r>
          </w:p>
        </w:tc>
        <w:tc>
          <w:tcPr>
            <w:tcW w:type="dxa" w:w="7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47%</w:t>
            </w:r>
          </w:p>
        </w:tc>
        <w:tc>
          <w:tcPr>
            <w:tcW w:type="dxa" w:w="8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9 hrs</w:t>
            </w:r>
          </w:p>
        </w:tc>
        <w:tc>
          <w:tcPr>
            <w:tcW w:type="dxa" w:w="78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2</w:t>
            </w:r>
          </w:p>
        </w:tc>
      </w:tr>
      <w:tr>
        <w:tc>
          <w:tcPr>
            <w:tcW w:type="dxa" w:w="8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Mafraq</w:t>
            </w:r>
          </w:p>
        </w:tc>
        <w:tc>
          <w:tcPr>
            <w:tcW w:type="dxa" w:w="81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7,731</w:t>
            </w:r>
          </w:p>
        </w:tc>
        <w:tc>
          <w:tcPr>
            <w:tcW w:type="dxa" w:w="81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1,903</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المفرق</w:t>
            </w:r>
          </w:p>
        </w:tc>
        <w:tc>
          <w:tcPr>
            <w:tcW w:type="dxa" w:w="11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desert</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HDPE</w:t>
            </w:r>
          </w:p>
        </w:tc>
        <w:tc>
          <w:tcPr>
            <w:tcW w:type="dxa" w:w="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13</w:t>
            </w:r>
          </w:p>
        </w:tc>
        <w:tc>
          <w:tcPr>
            <w:tcW w:type="dxa" w:w="7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50%</w:t>
            </w:r>
          </w:p>
        </w:tc>
        <w:tc>
          <w:tcPr>
            <w:tcW w:type="dxa" w:w="8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7 hrs</w:t>
            </w:r>
          </w:p>
        </w:tc>
        <w:tc>
          <w:tcPr>
            <w:tcW w:type="dxa" w:w="78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3</w:t>
            </w:r>
          </w:p>
        </w:tc>
      </w:tr>
      <w:tr>
        <w:tc>
          <w:tcPr>
            <w:tcW w:type="dxa" w:w="8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Karak</w:t>
            </w:r>
          </w:p>
        </w:tc>
        <w:tc>
          <w:tcPr>
            <w:tcW w:type="dxa" w:w="81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5,294</w:t>
            </w:r>
          </w:p>
        </w:tc>
        <w:tc>
          <w:tcPr>
            <w:tcW w:type="dxa" w:w="81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1,332</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الكرك</w:t>
            </w:r>
          </w:p>
        </w:tc>
        <w:tc>
          <w:tcPr>
            <w:tcW w:type="dxa" w:w="11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rural</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asbestos cement</w:t>
            </w:r>
          </w:p>
        </w:tc>
        <w:tc>
          <w:tcPr>
            <w:tcW w:type="dxa" w:w="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48</w:t>
            </w:r>
          </w:p>
        </w:tc>
        <w:tc>
          <w:tcPr>
            <w:tcW w:type="dxa" w:w="7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56%</w:t>
            </w:r>
          </w:p>
        </w:tc>
        <w:tc>
          <w:tcPr>
            <w:tcW w:type="dxa" w:w="8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6 hrs</w:t>
            </w:r>
          </w:p>
        </w:tc>
        <w:tc>
          <w:tcPr>
            <w:tcW w:type="dxa" w:w="78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2</w:t>
            </w:r>
          </w:p>
        </w:tc>
      </w:tr>
      <w:tr>
        <w:tc>
          <w:tcPr>
            <w:tcW w:type="dxa" w:w="8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Maan</w:t>
            </w:r>
          </w:p>
        </w:tc>
        <w:tc>
          <w:tcPr>
            <w:tcW w:type="dxa" w:w="81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5,220</w:t>
            </w:r>
          </w:p>
        </w:tc>
        <w:tc>
          <w:tcPr>
            <w:tcW w:type="dxa" w:w="81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1,292</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معان</w:t>
            </w:r>
          </w:p>
        </w:tc>
        <w:tc>
          <w:tcPr>
            <w:tcW w:type="dxa" w:w="11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desert</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HDPE</w:t>
            </w:r>
          </w:p>
        </w:tc>
        <w:tc>
          <w:tcPr>
            <w:tcW w:type="dxa" w:w="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15</w:t>
            </w:r>
          </w:p>
        </w:tc>
        <w:tc>
          <w:tcPr>
            <w:tcW w:type="dxa" w:w="7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55%</w:t>
            </w:r>
          </w:p>
        </w:tc>
        <w:tc>
          <w:tcPr>
            <w:tcW w:type="dxa" w:w="8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6 hrs</w:t>
            </w:r>
          </w:p>
        </w:tc>
        <w:tc>
          <w:tcPr>
            <w:tcW w:type="dxa" w:w="78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2</w:t>
            </w:r>
          </w:p>
        </w:tc>
      </w:tr>
      <w:tr>
        <w:tc>
          <w:tcPr>
            <w:tcW w:type="dxa" w:w="8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Aqaba</w:t>
            </w:r>
          </w:p>
        </w:tc>
        <w:tc>
          <w:tcPr>
            <w:tcW w:type="dxa" w:w="81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5,216</w:t>
            </w:r>
          </w:p>
        </w:tc>
        <w:tc>
          <w:tcPr>
            <w:tcW w:type="dxa" w:w="81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1,281</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العقبة</w:t>
            </w:r>
          </w:p>
        </w:tc>
        <w:tc>
          <w:tcPr>
            <w:tcW w:type="dxa" w:w="11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coastal-desert</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ductile iron</w:t>
            </w:r>
          </w:p>
        </w:tc>
        <w:tc>
          <w:tcPr>
            <w:tcW w:type="dxa" w:w="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22</w:t>
            </w:r>
          </w:p>
        </w:tc>
        <w:tc>
          <w:tcPr>
            <w:tcW w:type="dxa" w:w="7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41%</w:t>
            </w:r>
          </w:p>
        </w:tc>
        <w:tc>
          <w:tcPr>
            <w:tcW w:type="dxa" w:w="8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14 hrs</w:t>
            </w:r>
          </w:p>
        </w:tc>
        <w:tc>
          <w:tcPr>
            <w:tcW w:type="dxa" w:w="78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2</w:t>
            </w:r>
          </w:p>
        </w:tc>
      </w:tr>
      <w:tr>
        <w:tc>
          <w:tcPr>
            <w:tcW w:type="dxa" w:w="8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Madaba</w:t>
            </w:r>
          </w:p>
        </w:tc>
        <w:tc>
          <w:tcPr>
            <w:tcW w:type="dxa" w:w="81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5,148</w:t>
            </w:r>
          </w:p>
        </w:tc>
        <w:tc>
          <w:tcPr>
            <w:tcW w:type="dxa" w:w="81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1,252</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مادبا</w:t>
            </w:r>
          </w:p>
        </w:tc>
        <w:tc>
          <w:tcPr>
            <w:tcW w:type="dxa" w:w="11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rural</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PVC</w:t>
            </w:r>
          </w:p>
        </w:tc>
        <w:tc>
          <w:tcPr>
            <w:tcW w:type="dxa" w:w="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22</w:t>
            </w:r>
          </w:p>
        </w:tc>
        <w:tc>
          <w:tcPr>
            <w:tcW w:type="dxa" w:w="7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51%</w:t>
            </w:r>
          </w:p>
        </w:tc>
        <w:tc>
          <w:tcPr>
            <w:tcW w:type="dxa" w:w="8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8 hrs</w:t>
            </w:r>
          </w:p>
        </w:tc>
        <w:tc>
          <w:tcPr>
            <w:tcW w:type="dxa" w:w="78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2</w:t>
            </w:r>
          </w:p>
        </w:tc>
      </w:tr>
      <w:tr>
        <w:tc>
          <w:tcPr>
            <w:tcW w:type="dxa" w:w="8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Jerash</w:t>
            </w:r>
          </w:p>
        </w:tc>
        <w:tc>
          <w:tcPr>
            <w:tcW w:type="dxa" w:w="81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5,129</w:t>
            </w:r>
          </w:p>
        </w:tc>
        <w:tc>
          <w:tcPr>
            <w:tcW w:type="dxa" w:w="81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1,289</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جرش</w:t>
            </w:r>
          </w:p>
        </w:tc>
        <w:tc>
          <w:tcPr>
            <w:tcW w:type="dxa" w:w="11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mixed</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PVC</w:t>
            </w:r>
          </w:p>
        </w:tc>
        <w:tc>
          <w:tcPr>
            <w:tcW w:type="dxa" w:w="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19</w:t>
            </w:r>
          </w:p>
        </w:tc>
        <w:tc>
          <w:tcPr>
            <w:tcW w:type="dxa" w:w="7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48%</w:t>
            </w:r>
          </w:p>
        </w:tc>
        <w:tc>
          <w:tcPr>
            <w:tcW w:type="dxa" w:w="8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8 hrs</w:t>
            </w:r>
          </w:p>
        </w:tc>
        <w:tc>
          <w:tcPr>
            <w:tcW w:type="dxa" w:w="78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2</w:t>
            </w:r>
          </w:p>
        </w:tc>
      </w:tr>
      <w:tr>
        <w:tc>
          <w:tcPr>
            <w:tcW w:type="dxa" w:w="8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Ajloun</w:t>
            </w:r>
          </w:p>
        </w:tc>
        <w:tc>
          <w:tcPr>
            <w:tcW w:type="dxa" w:w="81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5,100</w:t>
            </w:r>
          </w:p>
        </w:tc>
        <w:tc>
          <w:tcPr>
            <w:tcW w:type="dxa" w:w="81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1,272</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عجلون</w:t>
            </w:r>
          </w:p>
        </w:tc>
        <w:tc>
          <w:tcPr>
            <w:tcW w:type="dxa" w:w="11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rural</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asbestos cement</w:t>
            </w:r>
          </w:p>
        </w:tc>
        <w:tc>
          <w:tcPr>
            <w:tcW w:type="dxa" w:w="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40</w:t>
            </w:r>
          </w:p>
        </w:tc>
        <w:tc>
          <w:tcPr>
            <w:tcW w:type="dxa" w:w="7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54%</w:t>
            </w:r>
          </w:p>
        </w:tc>
        <w:tc>
          <w:tcPr>
            <w:tcW w:type="dxa" w:w="8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7 hrs</w:t>
            </w:r>
          </w:p>
        </w:tc>
        <w:tc>
          <w:tcPr>
            <w:tcW w:type="dxa" w:w="78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2</w:t>
            </w:r>
          </w:p>
        </w:tc>
      </w:tr>
      <w:tr>
        <w:tc>
          <w:tcPr>
            <w:tcW w:type="dxa" w:w="8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Tafilah</w:t>
            </w:r>
          </w:p>
        </w:tc>
        <w:tc>
          <w:tcPr>
            <w:tcW w:type="dxa" w:w="81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2,651</w:t>
            </w:r>
          </w:p>
        </w:tc>
        <w:tc>
          <w:tcPr>
            <w:tcW w:type="dxa" w:w="81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661</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الطفيلة</w:t>
            </w:r>
          </w:p>
        </w:tc>
        <w:tc>
          <w:tcPr>
            <w:tcW w:type="dxa" w:w="11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rural</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PVC</w:t>
            </w:r>
          </w:p>
        </w:tc>
        <w:tc>
          <w:tcPr>
            <w:tcW w:type="dxa" w:w="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25</w:t>
            </w:r>
          </w:p>
        </w:tc>
        <w:tc>
          <w:tcPr>
            <w:tcW w:type="dxa" w:w="7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53%</w:t>
            </w:r>
          </w:p>
        </w:tc>
        <w:tc>
          <w:tcPr>
            <w:tcW w:type="dxa" w:w="8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6 hrs</w:t>
            </w:r>
          </w:p>
        </w:tc>
        <w:tc>
          <w:tcPr>
            <w:tcW w:type="dxa" w:w="78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w:t>
            </w:r>
          </w:p>
        </w:tc>
      </w:tr>
    </w:tbl>
    <w:p>
      <w:pPr>
        <w:spacing w:before="72" w:after="0"/>
      </w:pPr>
    </w:p>
    <w:p>
      <w:pPr>
        <w:pStyle w:val="Heading1"/>
        <w:spacing w:before="340" w:after="100"/>
      </w:pPr>
      <w:r>
        <w:rPr>
          <w:rFonts w:ascii="Calibri" w:cs="Calibri" w:eastAsia="Calibri" w:hAnsi="Calibri"/>
          <w:b/>
          <w:bCs/>
          <w:color w:val="1A3A5C"/>
          <w:sz w:val="28"/>
          <w:szCs w:val="28"/>
        </w:rPr>
        <w:t xml:space="preserve">5. Key Numeric Statistics (Training Set — 80,000 rows)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030"/>
        <w:gridCol w:w="2030"/>
      </w:tblGrid>
      <w:tr>
        <w:trPr>
          <w:tblHeader/>
        </w:trPr>
        <w:tc>
          <w:tcPr>
            <w:tcW w:type="dxa" w:w="22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Feature</w:t>
            </w:r>
          </w:p>
        </w:tc>
        <w:tc>
          <w:tcPr>
            <w:tcW w:type="dxa" w:w="14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Min</w:t>
            </w:r>
          </w:p>
        </w:tc>
        <w:tc>
          <w:tcPr>
            <w:tcW w:type="dxa" w:w="14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Max</w:t>
            </w:r>
          </w:p>
        </w:tc>
        <w:tc>
          <w:tcPr>
            <w:tcW w:type="dxa" w:w="203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Mean</w:t>
            </w:r>
          </w:p>
        </w:tc>
        <w:tc>
          <w:tcPr>
            <w:tcW w:type="dxa" w:w="203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Std dev</w:t>
            </w:r>
          </w:p>
        </w:tc>
      </w:tr>
      <w:tr>
        <w:tc>
          <w:tcPr>
            <w:tcW w:type="dxa" w:w="22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Flow_A (L/min)</w:t>
            </w:r>
          </w:p>
        </w:tc>
        <w:tc>
          <w:tcPr>
            <w:tcW w:type="dxa" w:w="14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0.38</w:t>
            </w:r>
          </w:p>
        </w:tc>
        <w:tc>
          <w:tcPr>
            <w:tcW w:type="dxa" w:w="14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120.0</w:t>
            </w:r>
          </w:p>
        </w:tc>
        <w:tc>
          <w:tcPr>
            <w:tcW w:type="dxa" w:w="203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23.79</w:t>
            </w:r>
          </w:p>
        </w:tc>
        <w:tc>
          <w:tcPr>
            <w:tcW w:type="dxa" w:w="203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20.33</w:t>
            </w:r>
          </w:p>
        </w:tc>
      </w:tr>
      <w:tr>
        <w:tc>
          <w:tcPr>
            <w:tcW w:type="dxa" w:w="22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Pressure_A (PSI)</w:t>
            </w:r>
          </w:p>
        </w:tc>
        <w:tc>
          <w:tcPr>
            <w:tcW w:type="dxa" w:w="14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14.9</w:t>
            </w:r>
          </w:p>
        </w:tc>
        <w:tc>
          <w:tcPr>
            <w:tcW w:type="dxa" w:w="14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85.0</w:t>
            </w:r>
          </w:p>
        </w:tc>
        <w:tc>
          <w:tcPr>
            <w:tcW w:type="dxa" w:w="203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48.42</w:t>
            </w:r>
          </w:p>
        </w:tc>
        <w:tc>
          <w:tcPr>
            <w:tcW w:type="dxa" w:w="203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15.07</w:t>
            </w:r>
          </w:p>
        </w:tc>
      </w:tr>
      <w:tr>
        <w:tc>
          <w:tcPr>
            <w:tcW w:type="dxa" w:w="22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Flow_B (L/min)</w:t>
            </w:r>
          </w:p>
        </w:tc>
        <w:tc>
          <w:tcPr>
            <w:tcW w:type="dxa" w:w="14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0.01</w:t>
            </w:r>
          </w:p>
        </w:tc>
        <w:tc>
          <w:tcPr>
            <w:tcW w:type="dxa" w:w="14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119.9</w:t>
            </w:r>
          </w:p>
        </w:tc>
        <w:tc>
          <w:tcPr>
            <w:tcW w:type="dxa" w:w="203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22.56</w:t>
            </w:r>
          </w:p>
        </w:tc>
        <w:tc>
          <w:tcPr>
            <w:tcW w:type="dxa" w:w="203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19.63</w:t>
            </w:r>
          </w:p>
        </w:tc>
      </w:tr>
      <w:tr>
        <w:tc>
          <w:tcPr>
            <w:tcW w:type="dxa" w:w="22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Pressure_B (PSI)</w:t>
            </w:r>
          </w:p>
        </w:tc>
        <w:tc>
          <w:tcPr>
            <w:tcW w:type="dxa" w:w="14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2.65</w:t>
            </w:r>
          </w:p>
        </w:tc>
        <w:tc>
          <w:tcPr>
            <w:tcW w:type="dxa" w:w="14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85.0</w:t>
            </w:r>
          </w:p>
        </w:tc>
        <w:tc>
          <w:tcPr>
            <w:tcW w:type="dxa" w:w="203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45.92</w:t>
            </w:r>
          </w:p>
        </w:tc>
        <w:tc>
          <w:tcPr>
            <w:tcW w:type="dxa" w:w="203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15.18</w:t>
            </w:r>
          </w:p>
        </w:tc>
      </w:tr>
      <w:tr>
        <w:tc>
          <w:tcPr>
            <w:tcW w:type="dxa" w:w="22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Distance_AB (m)</w:t>
            </w:r>
          </w:p>
        </w:tc>
        <w:tc>
          <w:tcPr>
            <w:tcW w:type="dxa" w:w="14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52.8</w:t>
            </w:r>
          </w:p>
        </w:tc>
        <w:tc>
          <w:tcPr>
            <w:tcW w:type="dxa" w:w="14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543.4</w:t>
            </w:r>
          </w:p>
        </w:tc>
        <w:tc>
          <w:tcPr>
            <w:tcW w:type="dxa" w:w="203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289.97</w:t>
            </w:r>
          </w:p>
        </w:tc>
        <w:tc>
          <w:tcPr>
            <w:tcW w:type="dxa" w:w="203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149.32</w:t>
            </w:r>
          </w:p>
        </w:tc>
      </w:tr>
      <w:tr>
        <w:tc>
          <w:tcPr>
            <w:tcW w:type="dxa" w:w="22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Delta_Flow (L/min)</w:t>
            </w:r>
          </w:p>
        </w:tc>
        <w:tc>
          <w:tcPr>
            <w:tcW w:type="dxa" w:w="14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0.00</w:t>
            </w:r>
          </w:p>
        </w:tc>
        <w:tc>
          <w:tcPr>
            <w:tcW w:type="dxa" w:w="14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81.68</w:t>
            </w:r>
          </w:p>
        </w:tc>
        <w:tc>
          <w:tcPr>
            <w:tcW w:type="dxa" w:w="203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1.23</w:t>
            </w:r>
          </w:p>
        </w:tc>
        <w:tc>
          <w:tcPr>
            <w:tcW w:type="dxa" w:w="203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3.69</w:t>
            </w:r>
          </w:p>
        </w:tc>
      </w:tr>
      <w:tr>
        <w:tc>
          <w:tcPr>
            <w:tcW w:type="dxa" w:w="22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Delta_Pressure (PSI)</w:t>
            </w:r>
          </w:p>
        </w:tc>
        <w:tc>
          <w:tcPr>
            <w:tcW w:type="dxa" w:w="14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0.00</w:t>
            </w:r>
          </w:p>
        </w:tc>
        <w:tc>
          <w:tcPr>
            <w:tcW w:type="dxa" w:w="14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77.06</w:t>
            </w:r>
          </w:p>
        </w:tc>
        <w:tc>
          <w:tcPr>
            <w:tcW w:type="dxa" w:w="203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2.50</w:t>
            </w:r>
          </w:p>
        </w:tc>
        <w:tc>
          <w:tcPr>
            <w:tcW w:type="dxa" w:w="203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5.13</w:t>
            </w:r>
          </w:p>
        </w:tc>
      </w:tr>
      <w:tr>
        <w:tc>
          <w:tcPr>
            <w:tcW w:type="dxa" w:w="22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Delta_Flow_Pct (%)</w:t>
            </w:r>
          </w:p>
        </w:tc>
        <w:tc>
          <w:tcPr>
            <w:tcW w:type="dxa" w:w="14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0.00</w:t>
            </w:r>
          </w:p>
        </w:tc>
        <w:tc>
          <w:tcPr>
            <w:tcW w:type="dxa" w:w="14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99.81</w:t>
            </w:r>
          </w:p>
        </w:tc>
        <w:tc>
          <w:tcPr>
            <w:tcW w:type="dxa" w:w="203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5.41</w:t>
            </w:r>
          </w:p>
        </w:tc>
        <w:tc>
          <w:tcPr>
            <w:tcW w:type="dxa" w:w="203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11.51</w:t>
            </w:r>
          </w:p>
        </w:tc>
      </w:tr>
      <w:tr>
        <w:tc>
          <w:tcPr>
            <w:tcW w:type="dxa" w:w="22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DP_Predicted (PSI)</w:t>
            </w:r>
          </w:p>
        </w:tc>
        <w:tc>
          <w:tcPr>
            <w:tcW w:type="dxa" w:w="14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0.02</w:t>
            </w:r>
          </w:p>
        </w:tc>
        <w:tc>
          <w:tcPr>
            <w:tcW w:type="dxa" w:w="14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28.54</w:t>
            </w:r>
          </w:p>
        </w:tc>
        <w:tc>
          <w:tcPr>
            <w:tcW w:type="dxa" w:w="203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1.23</w:t>
            </w:r>
          </w:p>
        </w:tc>
        <w:tc>
          <w:tcPr>
            <w:tcW w:type="dxa" w:w="203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2.20</w:t>
            </w:r>
          </w:p>
        </w:tc>
      </w:tr>
      <w:tr>
        <w:tc>
          <w:tcPr>
            <w:tcW w:type="dxa" w:w="22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DP_Deviation (PSI)</w:t>
            </w:r>
          </w:p>
        </w:tc>
        <w:tc>
          <w:tcPr>
            <w:tcW w:type="dxa" w:w="14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-1.29</w:t>
            </w:r>
          </w:p>
        </w:tc>
        <w:tc>
          <w:tcPr>
            <w:tcW w:type="dxa" w:w="14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52.02</w:t>
            </w:r>
          </w:p>
        </w:tc>
        <w:tc>
          <w:tcPr>
            <w:tcW w:type="dxa" w:w="203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1.27</w:t>
            </w:r>
          </w:p>
        </w:tc>
        <w:tc>
          <w:tcPr>
            <w:tcW w:type="dxa" w:w="203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4.60</w:t>
            </w:r>
          </w:p>
        </w:tc>
      </w:tr>
      <w:tr>
        <w:tc>
          <w:tcPr>
            <w:tcW w:type="dxa" w:w="22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Flow_DP_Ratio (L/PSI)</w:t>
            </w:r>
          </w:p>
        </w:tc>
        <w:tc>
          <w:tcPr>
            <w:tcW w:type="dxa" w:w="14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0.00</w:t>
            </w:r>
          </w:p>
        </w:tc>
        <w:tc>
          <w:tcPr>
            <w:tcW w:type="dxa" w:w="14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11.68</w:t>
            </w:r>
          </w:p>
        </w:tc>
        <w:tc>
          <w:tcPr>
            <w:tcW w:type="dxa" w:w="203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0.42</w:t>
            </w:r>
          </w:p>
        </w:tc>
        <w:tc>
          <w:tcPr>
            <w:tcW w:type="dxa" w:w="203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0.52</w:t>
            </w:r>
          </w:p>
        </w:tc>
      </w:tr>
      <w:tr>
        <w:tc>
          <w:tcPr>
            <w:tcW w:type="dxa" w:w="22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Severity (fraction)</w:t>
            </w:r>
          </w:p>
        </w:tc>
        <w:tc>
          <w:tcPr>
            <w:tcW w:type="dxa" w:w="14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0.00</w:t>
            </w:r>
          </w:p>
        </w:tc>
        <w:tc>
          <w:tcPr>
            <w:tcW w:type="dxa" w:w="14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0.72</w:t>
            </w:r>
          </w:p>
        </w:tc>
        <w:tc>
          <w:tcPr>
            <w:tcW w:type="dxa" w:w="203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0.040</w:t>
            </w:r>
          </w:p>
        </w:tc>
        <w:tc>
          <w:tcPr>
            <w:tcW w:type="dxa" w:w="203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0.114</w:t>
            </w:r>
          </w:p>
        </w:tc>
      </w:tr>
    </w:tbl>
    <w:p>
      <w:pPr>
        <w:spacing w:before="72" w:after="0"/>
      </w:pPr>
    </w:p>
    <w:p>
      <w:pPr>
        <w:pStyle w:val="Heading1"/>
        <w:spacing w:before="340" w:after="100"/>
      </w:pPr>
      <w:r>
        <w:rPr>
          <w:rFonts w:ascii="Calibri" w:cs="Calibri" w:eastAsia="Calibri" w:hAnsi="Calibri"/>
          <w:b/>
          <w:bCs/>
          <w:color w:val="1A3A5C"/>
          <w:sz w:val="28"/>
          <w:szCs w:val="28"/>
        </w:rPr>
        <w:t xml:space="preserve">6. Column Reference — All 39 Columns</w:t>
      </w:r>
    </w:p>
    <w:p>
      <w:pPr>
        <w:pStyle w:val="Heading2"/>
        <w:spacing w:before="220" w:after="70"/>
      </w:pPr>
      <w:r>
        <w:rPr>
          <w:rFonts w:ascii="Calibri" w:cs="Calibri" w:eastAsia="Calibri" w:hAnsi="Calibri"/>
          <w:b/>
          <w:bCs/>
          <w:color w:val="2C6FAC"/>
          <w:sz w:val="22"/>
          <w:szCs w:val="22"/>
        </w:rPr>
        <w:t xml:space="preserve">6.1 Identifier Columns (not used as model inputs)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900"/>
        <w:gridCol w:w="1600"/>
        <w:gridCol w:w="4060"/>
      </w:tblGrid>
      <w:tr>
        <w:trPr>
          <w:tblHeader/>
        </w:trPr>
        <w:tc>
          <w:tcPr>
            <w:tcW w:type="dxa" w:w="15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Column</w:t>
            </w:r>
          </w:p>
        </w:tc>
        <w:tc>
          <w:tcPr>
            <w:tcW w:type="dxa" w:w="10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Data type</w:t>
            </w:r>
          </w:p>
        </w:tc>
        <w:tc>
          <w:tcPr>
            <w:tcW w:type="dxa" w:w="9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Unit</w:t>
            </w:r>
          </w:p>
        </w:tc>
        <w:tc>
          <w:tcPr>
            <w:tcW w:type="dxa" w:w="16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Range / Values</w:t>
            </w:r>
          </w:p>
        </w:tc>
        <w:tc>
          <w:tcPr>
            <w:tcW w:type="dxa" w:w="406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Description</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Timestamp</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String (ISO)</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2020-01-01 00:00 – 2023-12-31 23:45</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Observation timestamp at 15-minute intervals. Used for time alignment.</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Governorate</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String</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12 distinct values</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One of 12 Jordan governorates. Encodes regional hydraulic and demographic context.</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Zone_ID</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String</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31 distinct zones</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Distribution Management Area (DMA) identifier within the governorate.</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Segment_ID</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String</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Composite key</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Gov-Zone-Distance composite. Uniquely identifies each A-B pipe segment.</w:t>
            </w:r>
          </w:p>
        </w:tc>
      </w:tr>
    </w:tbl>
    <w:p>
      <w:pPr>
        <w:spacing w:before="36" w:after="0"/>
      </w:pPr>
    </w:p>
    <w:p>
      <w:pPr>
        <w:pStyle w:val="Heading2"/>
        <w:spacing w:before="220" w:after="70"/>
      </w:pPr>
      <w:r>
        <w:rPr>
          <w:rFonts w:ascii="Calibri" w:cs="Calibri" w:eastAsia="Calibri" w:hAnsi="Calibri"/>
          <w:b/>
          <w:bCs/>
          <w:color w:val="2C6FAC"/>
          <w:sz w:val="22"/>
          <w:szCs w:val="22"/>
        </w:rPr>
        <w:t xml:space="preserve">6.2 Time / Contextual Columns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900"/>
        <w:gridCol w:w="1600"/>
        <w:gridCol w:w="4060"/>
      </w:tblGrid>
      <w:tr>
        <w:trPr>
          <w:tblHeader/>
        </w:trPr>
        <w:tc>
          <w:tcPr>
            <w:tcW w:type="dxa" w:w="15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Column</w:t>
            </w:r>
          </w:p>
        </w:tc>
        <w:tc>
          <w:tcPr>
            <w:tcW w:type="dxa" w:w="10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Data type</w:t>
            </w:r>
          </w:p>
        </w:tc>
        <w:tc>
          <w:tcPr>
            <w:tcW w:type="dxa" w:w="9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Unit</w:t>
            </w:r>
          </w:p>
        </w:tc>
        <w:tc>
          <w:tcPr>
            <w:tcW w:type="dxa" w:w="16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Range / Values</w:t>
            </w:r>
          </w:p>
        </w:tc>
        <w:tc>
          <w:tcPr>
            <w:tcW w:type="dxa" w:w="406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Description</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hour</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Integer</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 – 23</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Hour of day. Drives the diurnal demand pattern (peaks 07:00–09:00 and 18:00–21:00).</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day_of_week</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Integer</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 (Mon) – 6 (Sun)</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Day index. Jordan weekend = Thursday (3) and Friday (4).</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month</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Integer</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 – 12</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Calendar month used to encode seasonal demand multiplier.</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is_ramadan</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Binary {0,1}</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 = Ramadan month</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 during Ramadan fasting month. Demand shifts from daytime to Iftar/Suhoor windows.</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is_eid</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Binary {0,1}</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 = Eid day</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 on Eid Al-Fitr / Eid Al-Adha. Demand spike of +30–55% above baseline.</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is_summer</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Binary {0,1}</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 = June–August</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Summer indicator. Demand rises 25–55% depending on governorate.</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is_winter</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Binary {0,1}</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 = Dec–February</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Winter indicator. Demand drops 10–22%.</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is_weekend</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Binary {0,1}</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 = Thu or Fri</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Jordan-specific weekend flag. Adds ~12% to daily demand.</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supply_on</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Binary {0,1}</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 or 1</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 when supply schedule is active. Jordan: intermittent 6–14 hours/day by governorate.</w:t>
            </w:r>
          </w:p>
        </w:tc>
      </w:tr>
    </w:tbl>
    <w:p>
      <w:pPr>
        <w:spacing w:before="36" w:after="0"/>
      </w:pPr>
    </w:p>
    <w:p>
      <w:pPr>
        <w:pStyle w:val="Heading2"/>
        <w:spacing w:before="220" w:after="70"/>
      </w:pPr>
      <w:r>
        <w:rPr>
          <w:rFonts w:ascii="Calibri" w:cs="Calibri" w:eastAsia="Calibri" w:hAnsi="Calibri"/>
          <w:b/>
          <w:bCs/>
          <w:color w:val="2C6FAC"/>
          <w:sz w:val="22"/>
          <w:szCs w:val="22"/>
        </w:rPr>
        <w:t xml:space="preserve">6.3 Governorate Profile Columns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900"/>
        <w:gridCol w:w="1600"/>
        <w:gridCol w:w="4060"/>
      </w:tblGrid>
      <w:tr>
        <w:trPr>
          <w:tblHeader/>
        </w:trPr>
        <w:tc>
          <w:tcPr>
            <w:tcW w:type="dxa" w:w="15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Column</w:t>
            </w:r>
          </w:p>
        </w:tc>
        <w:tc>
          <w:tcPr>
            <w:tcW w:type="dxa" w:w="10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Data type</w:t>
            </w:r>
          </w:p>
        </w:tc>
        <w:tc>
          <w:tcPr>
            <w:tcW w:type="dxa" w:w="9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Unit</w:t>
            </w:r>
          </w:p>
        </w:tc>
        <w:tc>
          <w:tcPr>
            <w:tcW w:type="dxa" w:w="16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Range / Values</w:t>
            </w:r>
          </w:p>
        </w:tc>
        <w:tc>
          <w:tcPr>
            <w:tcW w:type="dxa" w:w="406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Description</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population_density</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persons/km²</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4 – 732</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Persons per km² for the governorate. Proxy for baseline demand intensity.</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environment_code</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Integer</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0–5</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0=urban, 1=urban-industrial, 2=mixed, 3=rural, 4=desert, 5=coastal-desert.</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pipe_age_years</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Integer</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years</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13 – 48</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Average pipe age. Older pipes have higher roughness, lower C-coefficient, higher NRW.</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hw_coefficient</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dimensionless</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65 – 150</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Hazen-Williams C coefficient. Decreases with age and material degradation.</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elevation_m</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Integer</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metres</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5 – 1200</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Mean zone elevation above sea level. Affects static pressure and pumping energy.</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nrw_rate</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fraction</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0.41 – 0.56</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Non-Revenue Water rate per governorate. Used to calibrate background leakage.</w:t>
            </w:r>
          </w:p>
        </w:tc>
      </w:tr>
    </w:tbl>
    <w:p>
      <w:pPr>
        <w:spacing w:before="36" w:after="0"/>
      </w:pPr>
    </w:p>
    <w:p>
      <w:pPr>
        <w:pStyle w:val="Heading2"/>
        <w:spacing w:before="220" w:after="70"/>
      </w:pPr>
      <w:r>
        <w:rPr>
          <w:rFonts w:ascii="Calibri" w:cs="Calibri" w:eastAsia="Calibri" w:hAnsi="Calibri"/>
          <w:b/>
          <w:bCs/>
          <w:color w:val="2C6FAC"/>
          <w:sz w:val="22"/>
          <w:szCs w:val="22"/>
        </w:rPr>
        <w:t xml:space="preserve">6.4 Sensor A — Upstream Readings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900"/>
        <w:gridCol w:w="1600"/>
        <w:gridCol w:w="4060"/>
      </w:tblGrid>
      <w:tr>
        <w:trPr>
          <w:tblHeader/>
        </w:trPr>
        <w:tc>
          <w:tcPr>
            <w:tcW w:type="dxa" w:w="15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Column</w:t>
            </w:r>
          </w:p>
        </w:tc>
        <w:tc>
          <w:tcPr>
            <w:tcW w:type="dxa" w:w="10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Data type</w:t>
            </w:r>
          </w:p>
        </w:tc>
        <w:tc>
          <w:tcPr>
            <w:tcW w:type="dxa" w:w="9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Unit</w:t>
            </w:r>
          </w:p>
        </w:tc>
        <w:tc>
          <w:tcPr>
            <w:tcW w:type="dxa" w:w="16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Range / Values</w:t>
            </w:r>
          </w:p>
        </w:tc>
        <w:tc>
          <w:tcPr>
            <w:tcW w:type="dxa" w:w="406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Description</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Flow_A</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L/min</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0.38 – 120.0</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Volumetric flow rate at upstream sensor A. Represents network input to the segment.</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Pressure_A</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PSI</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14.9 – 85.0</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Hydraulic pressure at node A. Governed by governorate pump head settings.</w:t>
            </w:r>
          </w:p>
        </w:tc>
      </w:tr>
    </w:tbl>
    <w:p>
      <w:pPr>
        <w:spacing w:before="36" w:after="0"/>
      </w:pPr>
    </w:p>
    <w:p>
      <w:pPr>
        <w:pStyle w:val="Heading2"/>
        <w:spacing w:before="220" w:after="70"/>
      </w:pPr>
      <w:r>
        <w:rPr>
          <w:rFonts w:ascii="Calibri" w:cs="Calibri" w:eastAsia="Calibri" w:hAnsi="Calibri"/>
          <w:b/>
          <w:bCs/>
          <w:color w:val="2C6FAC"/>
          <w:sz w:val="22"/>
          <w:szCs w:val="22"/>
        </w:rPr>
        <w:t xml:space="preserve">6.5 Sensor B — Downstream Readings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900"/>
        <w:gridCol w:w="1600"/>
        <w:gridCol w:w="4060"/>
      </w:tblGrid>
      <w:tr>
        <w:trPr>
          <w:tblHeader/>
        </w:trPr>
        <w:tc>
          <w:tcPr>
            <w:tcW w:type="dxa" w:w="15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Column</w:t>
            </w:r>
          </w:p>
        </w:tc>
        <w:tc>
          <w:tcPr>
            <w:tcW w:type="dxa" w:w="10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Data type</w:t>
            </w:r>
          </w:p>
        </w:tc>
        <w:tc>
          <w:tcPr>
            <w:tcW w:type="dxa" w:w="9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Unit</w:t>
            </w:r>
          </w:p>
        </w:tc>
        <w:tc>
          <w:tcPr>
            <w:tcW w:type="dxa" w:w="16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Range / Values</w:t>
            </w:r>
          </w:p>
        </w:tc>
        <w:tc>
          <w:tcPr>
            <w:tcW w:type="dxa" w:w="406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Description</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Flow_B</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L/min</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0.01 – 119.9</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Volumetric flow rate at downstream sensor B. Always ≤ Flow_A (mass balance).</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Pressure_B</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PSI</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0.5 – 85.0</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Hydraulic pressure at node B. Lower than Pressure_A due to friction + anomalous losses.</w:t>
            </w:r>
          </w:p>
        </w:tc>
      </w:tr>
    </w:tbl>
    <w:p>
      <w:pPr>
        <w:spacing w:before="36" w:after="0"/>
      </w:pPr>
    </w:p>
    <w:p>
      <w:pPr>
        <w:pStyle w:val="Heading2"/>
        <w:spacing w:before="220" w:after="70"/>
      </w:pPr>
      <w:r>
        <w:rPr>
          <w:rFonts w:ascii="Calibri" w:cs="Calibri" w:eastAsia="Calibri" w:hAnsi="Calibri"/>
          <w:b/>
          <w:bCs/>
          <w:color w:val="2C6FAC"/>
          <w:sz w:val="22"/>
          <w:szCs w:val="22"/>
        </w:rPr>
        <w:t xml:space="preserve">6.6 Environmental Reading</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900"/>
        <w:gridCol w:w="1600"/>
        <w:gridCol w:w="4060"/>
      </w:tblGrid>
      <w:tr>
        <w:trPr>
          <w:tblHeader/>
        </w:trPr>
        <w:tc>
          <w:tcPr>
            <w:tcW w:type="dxa" w:w="15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Column</w:t>
            </w:r>
          </w:p>
        </w:tc>
        <w:tc>
          <w:tcPr>
            <w:tcW w:type="dxa" w:w="10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Data type</w:t>
            </w:r>
          </w:p>
        </w:tc>
        <w:tc>
          <w:tcPr>
            <w:tcW w:type="dxa" w:w="9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Unit</w:t>
            </w:r>
          </w:p>
        </w:tc>
        <w:tc>
          <w:tcPr>
            <w:tcW w:type="dxa" w:w="16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Range / Values</w:t>
            </w:r>
          </w:p>
        </w:tc>
        <w:tc>
          <w:tcPr>
            <w:tcW w:type="dxa" w:w="406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Description</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Temp_Water</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°C</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6.0 – 32.0</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Water temperature. Affects viscosity and friction coefficient.</w:t>
            </w:r>
          </w:p>
        </w:tc>
      </w:tr>
    </w:tbl>
    <w:p>
      <w:pPr>
        <w:spacing w:before="36" w:after="0"/>
      </w:pPr>
    </w:p>
    <w:p>
      <w:pPr>
        <w:pStyle w:val="Heading2"/>
        <w:spacing w:before="220" w:after="70"/>
      </w:pPr>
      <w:r>
        <w:rPr>
          <w:rFonts w:ascii="Calibri" w:cs="Calibri" w:eastAsia="Calibri" w:hAnsi="Calibri"/>
          <w:b/>
          <w:bCs/>
          <w:color w:val="2C6FAC"/>
          <w:sz w:val="22"/>
          <w:szCs w:val="22"/>
        </w:rPr>
        <w:t xml:space="preserve">6.7 Spatial Configuration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900"/>
        <w:gridCol w:w="1600"/>
        <w:gridCol w:w="4060"/>
      </w:tblGrid>
      <w:tr>
        <w:trPr>
          <w:tblHeader/>
        </w:trPr>
        <w:tc>
          <w:tcPr>
            <w:tcW w:type="dxa" w:w="15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Column</w:t>
            </w:r>
          </w:p>
        </w:tc>
        <w:tc>
          <w:tcPr>
            <w:tcW w:type="dxa" w:w="10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Data type</w:t>
            </w:r>
          </w:p>
        </w:tc>
        <w:tc>
          <w:tcPr>
            <w:tcW w:type="dxa" w:w="9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Unit</w:t>
            </w:r>
          </w:p>
        </w:tc>
        <w:tc>
          <w:tcPr>
            <w:tcW w:type="dxa" w:w="16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Range / Values</w:t>
            </w:r>
          </w:p>
        </w:tc>
        <w:tc>
          <w:tcPr>
            <w:tcW w:type="dxa" w:w="406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Description</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Distance_AB</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metres</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52.8 – 543.4</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Physical pipe distance between sensor A and sensor B.</w:t>
            </w:r>
          </w:p>
        </w:tc>
      </w:tr>
    </w:tbl>
    <w:p>
      <w:pPr>
        <w:spacing w:before="36" w:after="0"/>
      </w:pPr>
    </w:p>
    <w:p>
      <w:pPr>
        <w:pStyle w:val="Heading2"/>
        <w:spacing w:before="220" w:after="70"/>
      </w:pPr>
      <w:r>
        <w:rPr>
          <w:rFonts w:ascii="Calibri" w:cs="Calibri" w:eastAsia="Calibri" w:hAnsi="Calibri"/>
          <w:b/>
          <w:bCs/>
          <w:color w:val="2C6FAC"/>
          <w:sz w:val="22"/>
          <w:szCs w:val="22"/>
        </w:rPr>
        <w:t xml:space="preserve">6.8 Derived Spatial Features (core ML signals)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900"/>
        <w:gridCol w:w="1600"/>
        <w:gridCol w:w="4060"/>
      </w:tblGrid>
      <w:tr>
        <w:trPr>
          <w:tblHeader/>
        </w:trPr>
        <w:tc>
          <w:tcPr>
            <w:tcW w:type="dxa" w:w="15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Column</w:t>
            </w:r>
          </w:p>
        </w:tc>
        <w:tc>
          <w:tcPr>
            <w:tcW w:type="dxa" w:w="10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Data type</w:t>
            </w:r>
          </w:p>
        </w:tc>
        <w:tc>
          <w:tcPr>
            <w:tcW w:type="dxa" w:w="9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Unit</w:t>
            </w:r>
          </w:p>
        </w:tc>
        <w:tc>
          <w:tcPr>
            <w:tcW w:type="dxa" w:w="16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Range / Values</w:t>
            </w:r>
          </w:p>
        </w:tc>
        <w:tc>
          <w:tcPr>
            <w:tcW w:type="dxa" w:w="406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Description</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Delta_Flow</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L/min</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 – 81.7</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Flow_A − Flow_B. Core leakage signal. Positive = water lost between A and B.</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Delta_Pressure</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PSI</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 – 77.1</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Pressure_A − Pressure_B. Combines friction loss + any anomalous pressure deviation.</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Delta_Flow_Pct</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 – 99.8</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Delta_Flow / Flow_A × 100. Normalised loss fraction. Normal &lt; 3%; Burst &gt; 20%.</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Delta_Pressure_Pct</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 – 99.8</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Delta_Pressure / Pressure_A × 100. Normalised pressure change.</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Flow_Ratio</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Float [0–1]</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dimensionless</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 – 1.0</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Flow_B / Flow_A. Delivery efficiency. Normal ≈ 0.97–0.99.</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Pressure_Ratio</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Float [0–1]</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dimensionless</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 – 1.0</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Pressure_B / Pressure_A. Near 1 for theft; significantly &lt; 1 for leak/burst.</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Loss_Per_100m</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L/min/100m</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 – 99+</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Delta_Flow / (Distance_AB/100). Normalises loss by segment length.</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DP_Predicted</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PSI</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0.02 – 28.5</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Physics-predicted pressure drop: Darcy-Weisbach + Churchill friction factor (1977).</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DP_Deviation</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PSI</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-1.3 – 52.0</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Delta_Pressure − DP_Predicted. Excess loss above friction model. Key anomaly signal.</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Flow_DP_Ratio</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Float</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L/min/PSI</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 – 11.7</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Delta_Flow / max(|Delta_Pressure|, 0.10). Primary theft discriminator; high = large flow loss with minimal pressure impact.</w:t>
            </w:r>
          </w:p>
        </w:tc>
      </w:tr>
    </w:tbl>
    <w:p>
      <w:pPr>
        <w:spacing w:before="36" w:after="0"/>
      </w:pPr>
    </w:p>
    <w:p>
      <w:pPr>
        <w:pStyle w:val="Heading2"/>
        <w:spacing w:before="220" w:after="70"/>
      </w:pPr>
      <w:r>
        <w:rPr>
          <w:rFonts w:ascii="Calibri" w:cs="Calibri" w:eastAsia="Calibri" w:hAnsi="Calibri"/>
          <w:b/>
          <w:bCs/>
          <w:color w:val="2C6FAC"/>
          <w:sz w:val="22"/>
          <w:szCs w:val="22"/>
        </w:rPr>
        <w:t xml:space="preserve">6.9 Target / Label Columns (NEVER use as model inputs)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900"/>
        <w:gridCol w:w="1600"/>
        <w:gridCol w:w="4060"/>
      </w:tblGrid>
      <w:tr>
        <w:trPr>
          <w:tblHeader/>
        </w:trPr>
        <w:tc>
          <w:tcPr>
            <w:tcW w:type="dxa" w:w="15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Column</w:t>
            </w:r>
          </w:p>
        </w:tc>
        <w:tc>
          <w:tcPr>
            <w:tcW w:type="dxa" w:w="10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Data type</w:t>
            </w:r>
          </w:p>
        </w:tc>
        <w:tc>
          <w:tcPr>
            <w:tcW w:type="dxa" w:w="9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Unit</w:t>
            </w:r>
          </w:p>
        </w:tc>
        <w:tc>
          <w:tcPr>
            <w:tcW w:type="dxa" w:w="160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Range / Values</w:t>
            </w:r>
          </w:p>
        </w:tc>
        <w:tc>
          <w:tcPr>
            <w:tcW w:type="dxa" w:w="4060"/>
            <w:tcBorders>
              <w:top w:val="single" w:color="C8D8E8" w:sz="1"/>
              <w:left w:val="single" w:color="C8D8E8" w:sz="1"/>
              <w:bottom w:val="single" w:color="C8D8E8" w:sz="1"/>
              <w:right w:val="single" w:color="C8D8E8" w:sz="1"/>
            </w:tcBorders>
            <w:shd w:fill="1A3A5C" w:val="clear"/>
            <w:tcMar>
              <w:top w:type="dxa" w:w="90"/>
              <w:left w:type="dxa" w:w="120"/>
              <w:bottom w:type="dxa" w:w="90"/>
              <w:right w:type="dxa" w:w="80"/>
            </w:tcMar>
          </w:tcPr>
          <w:p>
            <w:r>
              <w:rPr>
                <w:rFonts w:ascii="Calibri" w:cs="Calibri" w:eastAsia="Calibri" w:hAnsi="Calibri"/>
                <w:b/>
                <w:bCs/>
                <w:color w:val="FFFFFF"/>
                <w:sz w:val="19"/>
                <w:szCs w:val="19"/>
              </w:rPr>
              <w:t xml:space="preserve">Description</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Anomaly_Type</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String</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normal/leak/burst/theft</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Ground-truth fault class. PRIMARY TARGET — never use as model input.</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Anomaly_Label</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Integer [0–3]</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0=normal,1=leak,2=burst,3=theft</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Encoded Anomaly_Type for classifier. TARGET ONLY.</w:t>
            </w:r>
          </w:p>
        </w:tc>
      </w:tr>
      <w:tr>
        <w:tc>
          <w:tcPr>
            <w:tcW w:type="dxa" w:w="15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Anomaly_Binary</w:t>
            </w:r>
          </w:p>
        </w:tc>
        <w:tc>
          <w:tcPr>
            <w:tcW w:type="dxa" w:w="10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Binary {0,1}</w:t>
            </w:r>
          </w:p>
        </w:tc>
        <w:tc>
          <w:tcPr>
            <w:tcW w:type="dxa" w:w="9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w:t>
            </w:r>
          </w:p>
        </w:tc>
        <w:tc>
          <w:tcPr>
            <w:tcW w:type="dxa" w:w="160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0=normal, 1=anomaly</w:t>
            </w:r>
          </w:p>
        </w:tc>
        <w:tc>
          <w:tcPr>
            <w:tcW w:type="dxa" w:w="4060"/>
            <w:tcBorders>
              <w:top w:val="single" w:color="C8D8E8" w:sz="1"/>
              <w:left w:val="single" w:color="C8D8E8" w:sz="1"/>
              <w:bottom w:val="single" w:color="C8D8E8" w:sz="1"/>
              <w:right w:val="single" w:color="C8D8E8" w:sz="1"/>
            </w:tcBorders>
            <w:shd w:fill="FFFFFF" w:val="clear"/>
            <w:tcMar>
              <w:top w:type="dxa" w:w="75"/>
              <w:left w:type="dxa" w:w="120"/>
              <w:bottom w:type="dxa" w:w="75"/>
              <w:right w:type="dxa" w:w="80"/>
            </w:tcMar>
          </w:tcPr>
          <w:p>
            <w:r>
              <w:rPr>
                <w:rFonts w:ascii="Calibri" w:cs="Calibri" w:eastAsia="Calibri" w:hAnsi="Calibri"/>
                <w:color w:val="1A1A2E"/>
                <w:sz w:val="18"/>
                <w:szCs w:val="18"/>
              </w:rPr>
              <w:t xml:space="preserve">1 if any anomaly. Used for AUC-ROC and Isolation Forest evaluation. TARGET ONLY.</w:t>
            </w:r>
          </w:p>
        </w:tc>
      </w:tr>
      <w:tr>
        <w:tc>
          <w:tcPr>
            <w:tcW w:type="dxa" w:w="15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Severity</w:t>
            </w:r>
          </w:p>
        </w:tc>
        <w:tc>
          <w:tcPr>
            <w:tcW w:type="dxa" w:w="10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Float [0–0.72]</w:t>
            </w:r>
          </w:p>
        </w:tc>
        <w:tc>
          <w:tcPr>
            <w:tcW w:type="dxa" w:w="9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fraction</w:t>
            </w:r>
          </w:p>
        </w:tc>
        <w:tc>
          <w:tcPr>
            <w:tcW w:type="dxa" w:w="160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0 for normal; &gt;0 for faults</w:t>
            </w:r>
          </w:p>
        </w:tc>
        <w:tc>
          <w:tcPr>
            <w:tcW w:type="dxa" w:w="4060"/>
            <w:tcBorders>
              <w:top w:val="single" w:color="C8D8E8" w:sz="1"/>
              <w:left w:val="single" w:color="C8D8E8" w:sz="1"/>
              <w:bottom w:val="single" w:color="C8D8E8" w:sz="1"/>
              <w:right w:val="single" w:color="C8D8E8" w:sz="1"/>
            </w:tcBorders>
            <w:shd w:fill="F4F7FB" w:val="clear"/>
            <w:tcMar>
              <w:top w:type="dxa" w:w="75"/>
              <w:left w:type="dxa" w:w="120"/>
              <w:bottom w:type="dxa" w:w="75"/>
              <w:right w:type="dxa" w:w="80"/>
            </w:tcMar>
          </w:tcPr>
          <w:p>
            <w:r>
              <w:rPr>
                <w:rFonts w:ascii="Calibri" w:cs="Calibri" w:eastAsia="Calibri" w:hAnsi="Calibri"/>
                <w:color w:val="1A1A2E"/>
                <w:sz w:val="18"/>
                <w:szCs w:val="18"/>
              </w:rPr>
              <w:t xml:space="preserve">Fraction of Flow_A lost due to anomaly. 0 for normal. Regression target if needed. TARGET ONLY.</w:t>
            </w:r>
          </w:p>
        </w:tc>
      </w:tr>
    </w:tbl>
    <w:p>
      <w:pPr>
        <w:spacing w:before="36" w:after="0"/>
      </w:pPr>
    </w:p>
    <w:p>
      <w:pPr>
        <w:pStyle w:val="Heading1"/>
        <w:spacing w:before="340" w:after="100"/>
      </w:pPr>
      <w:r>
        <w:rPr>
          <w:rFonts w:ascii="Calibri" w:cs="Calibri" w:eastAsia="Calibri" w:hAnsi="Calibri"/>
          <w:b/>
          <w:bCs/>
          <w:color w:val="1A3A5C"/>
          <w:sz w:val="28"/>
          <w:szCs w:val="28"/>
        </w:rPr>
        <w:t xml:space="preserve">7. Hydraulic Physics Engine</w:t>
      </w:r>
    </w:p>
    <w:p>
      <w:pPr>
        <w:pStyle w:val="Heading2"/>
        <w:spacing w:before="220" w:after="70"/>
      </w:pPr>
      <w:r>
        <w:rPr>
          <w:rFonts w:ascii="Calibri" w:cs="Calibri" w:eastAsia="Calibri" w:hAnsi="Calibri"/>
          <w:b/>
          <w:bCs/>
          <w:color w:val="2C6FAC"/>
          <w:sz w:val="22"/>
          <w:szCs w:val="22"/>
        </w:rPr>
        <w:t xml:space="preserve">7.1 Pressure Drop Model</w:t>
      </w:r>
    </w:p>
    <w:p>
      <w:pPr>
        <w:spacing w:before="50" w:after="50"/>
      </w:pPr>
      <w:r>
        <w:rPr>
          <w:rFonts w:ascii="Calibri" w:cs="Calibri" w:eastAsia="Calibri" w:hAnsi="Calibri"/>
          <w:b w:val="false"/>
          <w:bCs w:val="false"/>
          <w:i w:val="false"/>
          <w:iCs w:val="false"/>
          <w:color w:val="1A1A2E"/>
          <w:sz w:val="20"/>
          <w:szCs w:val="20"/>
        </w:rPr>
        <w:t xml:space="preserve">Pressure drop between sensors A and B is modelled using the Darcy-Weisbach equation with the Churchill (1977) approximation for the Darcy friction factor, valid for all Reynolds number regimes (laminar, transitional, and fully turbulent). An 8% minor loss factor (bends, fittings, joints) is added to the friction term.</w:t>
      </w:r>
    </w:p>
    <w:p>
      <w:pPr>
        <w:spacing w:before="36" w:after="0"/>
      </w:pPr>
    </w:p>
    <w:p>
      <w:pPr>
        <w:spacing w:before="50" w:after="50"/>
      </w:pPr>
      <w:r>
        <w:rPr>
          <w:rFonts w:ascii="Calibri" w:cs="Calibri" w:eastAsia="Calibri" w:hAnsi="Calibri"/>
          <w:b w:val="false"/>
          <w:bCs w:val="false"/>
          <w:i w:val="false"/>
          <w:iCs w:val="false"/>
          <w:color w:val="1A1A2E"/>
          <w:sz w:val="20"/>
          <w:szCs w:val="20"/>
        </w:rPr>
        <w:t xml:space="preserve">Pipe roughness values (ε, mm): ductile iron = 0.26, cast iron = 0.26, PVC = 0.0015, HDPE = 0.007, asbestos cement = 0.30.</w:t>
      </w:r>
    </w:p>
    <w:p>
      <w:pPr>
        <w:spacing w:before="50" w:after="50"/>
      </w:pPr>
      <w:r>
        <w:rPr>
          <w:rFonts w:ascii="Calibri" w:cs="Calibri" w:eastAsia="Calibri" w:hAnsi="Calibri"/>
          <w:b w:val="false"/>
          <w:bCs w:val="false"/>
          <w:i w:val="false"/>
          <w:iCs w:val="false"/>
          <w:color w:val="1A1A2E"/>
          <w:sz w:val="20"/>
          <w:szCs w:val="20"/>
        </w:rPr>
        <w:t xml:space="preserve">Pipe diameters: 50 mm for urban/industrial governorates (Amman, Zarqa, Irbid, Balqa, Mafraq, Aqaba, Madaba); 40 mm for rural/smaller governorates (Karak, Jerash, Ajloun, Tafilah, Maan).</w:t>
      </w:r>
    </w:p>
    <w:p>
      <w:pPr>
        <w:spacing w:before="36" w:after="0"/>
      </w:pPr>
    </w:p>
    <w:p>
      <w:pPr>
        <w:pStyle w:val="Heading2"/>
        <w:spacing w:before="220" w:after="70"/>
      </w:pPr>
      <w:r>
        <w:rPr>
          <w:rFonts w:ascii="Calibri" w:cs="Calibri" w:eastAsia="Calibri" w:hAnsi="Calibri"/>
          <w:b/>
          <w:bCs/>
          <w:color w:val="2C6FAC"/>
          <w:sz w:val="22"/>
          <w:szCs w:val="22"/>
        </w:rPr>
        <w:t xml:space="preserve">7.2 Anomaly Injection Models</w:t>
      </w:r>
    </w:p>
    <w:p>
      <w:pPr>
        <w:spacing w:before="50" w:after="50"/>
      </w:pPr>
      <w:r>
        <w:rPr>
          <w:rFonts w:ascii="Calibri" w:cs="Calibri" w:eastAsia="Calibri" w:hAnsi="Calibri"/>
          <w:b w:val="false"/>
          <w:bCs w:val="false"/>
          <w:i w:val="false"/>
          <w:iCs w:val="false"/>
          <w:color w:val="1A1A2E"/>
          <w:sz w:val="20"/>
          <w:szCs w:val="20"/>
        </w:rPr>
        <w:t xml:space="preserve">Each anomaly type has a distinct hydraulic signature:</w:t>
      </w:r>
    </w:p>
    <w:p>
      <w:pPr>
        <w:spacing w:before="50" w:after="50"/>
      </w:pPr>
      <w:r>
        <w:rPr>
          <w:rFonts w:ascii="Calibri" w:cs="Calibri" w:eastAsia="Calibri" w:hAnsi="Calibri"/>
          <w:b w:val="false"/>
          <w:bCs w:val="false"/>
          <w:i w:val="false"/>
          <w:iCs w:val="false"/>
          <w:color w:val="1A1A2E"/>
          <w:sz w:val="20"/>
          <w:szCs w:val="20"/>
        </w:rPr>
        <w:t xml:space="preserve">Normal — Background seepage: loss rate = 0.004 × (dist/100m) × age_factor × (NRW/0.40). Physically consistent with IWA Unavoidable Annual Real Losses.</w:t>
      </w:r>
    </w:p>
    <w:p>
      <w:pPr>
        <w:spacing w:before="50" w:after="50"/>
      </w:pPr>
      <w:r>
        <w:rPr>
          <w:rFonts w:ascii="Calibri" w:cs="Calibri" w:eastAsia="Calibri" w:hAnsi="Calibri"/>
          <w:b w:val="false"/>
          <w:bCs w:val="false"/>
          <w:i w:val="false"/>
          <w:iCs w:val="false"/>
          <w:color w:val="1A1A2E"/>
          <w:sz w:val="20"/>
          <w:szCs w:val="20"/>
        </w:rPr>
        <w:t xml:space="preserve">Leak — Severity ~ Uniform(0.03, 0.18). Extra pressure drop = sev × P_A × Uniform(0.35, 0.75). Orifice model for crack or joint failure.</w:t>
      </w:r>
    </w:p>
    <w:p>
      <w:pPr>
        <w:spacing w:before="50" w:after="50"/>
      </w:pPr>
      <w:r>
        <w:rPr>
          <w:rFonts w:ascii="Calibri" w:cs="Calibri" w:eastAsia="Calibri" w:hAnsi="Calibri"/>
          <w:b w:val="false"/>
          <w:bCs w:val="false"/>
          <w:i w:val="false"/>
          <w:iCs w:val="false"/>
          <w:color w:val="1A1A2E"/>
          <w:sz w:val="20"/>
          <w:szCs w:val="20"/>
        </w:rPr>
        <w:t xml:space="preserve">Burst — Severity ~ Uniform(0.25, 0.72). Extra pressure drop = sev × P_A × Uniform(0.70, 0.92). Catastrophic pipe rupture.</w:t>
      </w:r>
    </w:p>
    <w:p>
      <w:pPr>
        <w:spacing w:before="50" w:after="50"/>
      </w:pPr>
      <w:r>
        <w:rPr>
          <w:rFonts w:ascii="Calibri" w:cs="Calibri" w:eastAsia="Calibri" w:hAnsi="Calibri"/>
          <w:b w:val="false"/>
          <w:bCs w:val="false"/>
          <w:i w:val="false"/>
          <w:iCs w:val="false"/>
          <w:color w:val="1A1A2E"/>
          <w:sz w:val="20"/>
          <w:szCs w:val="20"/>
        </w:rPr>
        <w:t xml:space="preserve">Theft — Severity ~ Uniform(0.05, 0.14). Extra pressure drop = sev × P_A × Uniform(0.04, 0.16). Small illegal tap: minimal pressure impact, elevated Flow_DP_Ratio.</w:t>
      </w:r>
    </w:p>
    <w:p>
      <w:pPr>
        <w:spacing w:before="36" w:after="0"/>
      </w:pPr>
    </w:p>
    <w:p>
      <w:pPr>
        <w:pStyle w:val="Heading2"/>
        <w:spacing w:before="220" w:after="70"/>
      </w:pPr>
      <w:r>
        <w:rPr>
          <w:rFonts w:ascii="Calibri" w:cs="Calibri" w:eastAsia="Calibri" w:hAnsi="Calibri"/>
          <w:b/>
          <w:bCs/>
          <w:color w:val="2C6FAC"/>
          <w:sz w:val="22"/>
          <w:szCs w:val="22"/>
        </w:rPr>
        <w:t xml:space="preserve">7.3 Jordan Demand Model</w:t>
      </w:r>
    </w:p>
    <w:p>
      <w:pPr>
        <w:spacing w:before="50" w:after="50"/>
      </w:pPr>
      <w:r>
        <w:rPr>
          <w:rFonts w:ascii="Calibri" w:cs="Calibri" w:eastAsia="Calibri" w:hAnsi="Calibri"/>
          <w:b w:val="false"/>
          <w:bCs w:val="false"/>
          <w:i w:val="false"/>
          <w:iCs w:val="false"/>
          <w:color w:val="1A1A2E"/>
          <w:sz w:val="20"/>
          <w:szCs w:val="20"/>
        </w:rPr>
        <w:t xml:space="preserve">Water demand is scaled by a multiplier that captures: seasonal variation (summer peak +25–55%, winter −10–22%), Islamic calendar events (Ramadan daytime −35–45%, Iftar/Suhoor spike +45–62%, Eid +30–55%), Jordan-specific weekend effect (Thursday–Friday +12%), and a standard diurnal curve with peaks at 07:00–09:00 and 18:00–21:00.</w:t>
      </w:r>
    </w:p>
    <w:p>
      <w:pPr>
        <w:spacing w:before="72" w:after="0"/>
      </w:pPr>
    </w:p>
    <w:p>
      <w:pPr>
        <w:pStyle w:val="Heading1"/>
        <w:spacing w:before="340" w:after="100"/>
      </w:pPr>
      <w:r>
        <w:rPr>
          <w:rFonts w:ascii="Calibri" w:cs="Calibri" w:eastAsia="Calibri" w:hAnsi="Calibri"/>
          <w:b/>
          <w:bCs/>
          <w:color w:val="1A3A5C"/>
          <w:sz w:val="28"/>
          <w:szCs w:val="28"/>
        </w:rPr>
        <w:t xml:space="preserve">8. How the Dataset Supports Each ML Model Stage</w:t>
      </w:r>
    </w:p>
    <w:p>
      <w:pPr>
        <w:pStyle w:val="Heading2"/>
        <w:spacing w:before="220" w:after="70"/>
      </w:pPr>
      <w:r>
        <w:rPr>
          <w:rFonts w:ascii="Calibri" w:cs="Calibri" w:eastAsia="Calibri" w:hAnsi="Calibri"/>
          <w:b/>
          <w:bCs/>
          <w:color w:val="2C6FAC"/>
          <w:sz w:val="22"/>
          <w:szCs w:val="22"/>
        </w:rPr>
        <w:t xml:space="preserve">Stage 1 — LSTM Demand Predictor</w:t>
      </w:r>
    </w:p>
    <w:p>
      <w:pPr>
        <w:spacing w:before="50" w:after="50"/>
      </w:pPr>
      <w:r>
        <w:rPr>
          <w:rFonts w:ascii="Calibri" w:cs="Calibri" w:eastAsia="Calibri" w:hAnsi="Calibri"/>
          <w:b w:val="false"/>
          <w:bCs w:val="false"/>
          <w:i w:val="false"/>
          <w:iCs w:val="false"/>
          <w:color w:val="1A1A2E"/>
          <w:sz w:val="20"/>
          <w:szCs w:val="20"/>
        </w:rPr>
        <w:t xml:space="preserve">Trained on NORMAL samples only. Learns expected Delta_Flow and Delta_Pressure for normal hydraulic conditions. Outputs: LSTM residuals (actual − predicted) fed as features to downstream models. Key LSTM inputs: Flow_A, Pressure_A, Distance_AB, all time and profile features (19 total).</w:t>
      </w:r>
    </w:p>
    <w:p>
      <w:pPr>
        <w:spacing w:before="36" w:after="0"/>
      </w:pPr>
    </w:p>
    <w:p>
      <w:pPr>
        <w:pStyle w:val="Heading2"/>
        <w:spacing w:before="220" w:after="70"/>
      </w:pPr>
      <w:r>
        <w:rPr>
          <w:rFonts w:ascii="Calibri" w:cs="Calibri" w:eastAsia="Calibri" w:hAnsi="Calibri"/>
          <w:b/>
          <w:bCs/>
          <w:color w:val="2C6FAC"/>
          <w:sz w:val="22"/>
          <w:szCs w:val="22"/>
        </w:rPr>
        <w:t xml:space="preserve">Stage 2 — Isolation Forest Anomaly Detection</w:t>
      </w:r>
    </w:p>
    <w:p>
      <w:pPr>
        <w:spacing w:before="50" w:after="50"/>
      </w:pPr>
      <w:r>
        <w:rPr>
          <w:rFonts w:ascii="Calibri" w:cs="Calibri" w:eastAsia="Calibri" w:hAnsi="Calibri"/>
          <w:b w:val="false"/>
          <w:bCs w:val="false"/>
          <w:i w:val="false"/>
          <w:iCs w:val="false"/>
          <w:color w:val="1A1A2E"/>
          <w:sz w:val="20"/>
          <w:szCs w:val="20"/>
        </w:rPr>
        <w:t xml:space="preserve">Unsupervised. Trained on spatial delta features of NORMAL samples only. Learns the normal A-B relationship without using labels. Contamination = 0.05 (matching realistic 5% test anomaly rate). Key IF inputs: all 11 Derived spatial features.</w:t>
      </w:r>
    </w:p>
    <w:p>
      <w:pPr>
        <w:spacing w:before="36" w:after="0"/>
      </w:pPr>
    </w:p>
    <w:p>
      <w:pPr>
        <w:pStyle w:val="Heading2"/>
        <w:spacing w:before="220" w:after="70"/>
      </w:pPr>
      <w:r>
        <w:rPr>
          <w:rFonts w:ascii="Calibri" w:cs="Calibri" w:eastAsia="Calibri" w:hAnsi="Calibri"/>
          <w:b/>
          <w:bCs/>
          <w:color w:val="2C6FAC"/>
          <w:sz w:val="22"/>
          <w:szCs w:val="22"/>
        </w:rPr>
        <w:t xml:space="preserve">Stage 3 — Random Forest Fault Classifier</w:t>
      </w:r>
    </w:p>
    <w:p>
      <w:pPr>
        <w:spacing w:before="50" w:after="50"/>
      </w:pPr>
      <w:r>
        <w:rPr>
          <w:rFonts w:ascii="Calibri" w:cs="Calibri" w:eastAsia="Calibri" w:hAnsi="Calibri"/>
          <w:b w:val="false"/>
          <w:bCs w:val="false"/>
          <w:i w:val="false"/>
          <w:iCs w:val="false"/>
          <w:color w:val="1A1A2E"/>
          <w:sz w:val="20"/>
          <w:szCs w:val="20"/>
        </w:rPr>
        <w:t xml:space="preserve">Supervised. Input = all spatial + profile features + IF score + IF confidence + IF flag + LSTM residuals (33 features total). class_weight='balanced' to handle imbalance. Classifies: normal / leak / burst / theft.</w:t>
      </w:r>
    </w:p>
    <w:p>
      <w:pPr>
        <w:spacing w:before="36" w:after="0"/>
      </w:pPr>
    </w:p>
    <w:p>
      <w:pPr>
        <w:pStyle w:val="Heading2"/>
        <w:spacing w:before="220" w:after="70"/>
      </w:pPr>
      <w:r>
        <w:rPr>
          <w:rFonts w:ascii="Calibri" w:cs="Calibri" w:eastAsia="Calibri" w:hAnsi="Calibri"/>
          <w:b/>
          <w:bCs/>
          <w:color w:val="2C6FAC"/>
          <w:sz w:val="22"/>
          <w:szCs w:val="22"/>
        </w:rPr>
        <w:t xml:space="preserve">Stage 4 — Decision Engine</w:t>
      </w:r>
    </w:p>
    <w:p>
      <w:pPr>
        <w:spacing w:before="50" w:after="50"/>
      </w:pPr>
      <w:r>
        <w:rPr>
          <w:rFonts w:ascii="Calibri" w:cs="Calibri" w:eastAsia="Calibri" w:hAnsi="Calibri"/>
          <w:b w:val="false"/>
          <w:bCs w:val="false"/>
          <w:i w:val="false"/>
          <w:iCs w:val="false"/>
          <w:color w:val="1A1A2E"/>
          <w:sz w:val="20"/>
          <w:szCs w:val="20"/>
        </w:rPr>
        <w:t xml:space="preserve">Ensemble confidence = 0.30 × IF_confidence + 0.70 × RF_proba(anomaly). Alert fires if (IF_flag=1 OR RF_pred&gt;0) AND ensemble_confidence ≥ 0.45. Burst recall = 1.000 is the primary safety metric.</w:t>
      </w:r>
    </w:p>
    <w:p>
      <w:pPr>
        <w:spacing w:before="72" w:after="0"/>
      </w:pPr>
    </w:p>
    <w:p>
      <w:pPr>
        <w:pStyle w:val="Heading1"/>
        <w:spacing w:before="340" w:after="100"/>
      </w:pPr>
      <w:r>
        <w:rPr>
          <w:rFonts w:ascii="Calibri" w:cs="Calibri" w:eastAsia="Calibri" w:hAnsi="Calibri"/>
          <w:b/>
          <w:bCs/>
          <w:color w:val="1A3A5C"/>
          <w:sz w:val="28"/>
          <w:szCs w:val="28"/>
        </w:rPr>
        <w:t xml:space="preserve">9. Data Leakage Prevention</w:t>
      </w:r>
    </w:p>
    <w:p>
      <w:pPr>
        <w:spacing w:before="50" w:after="50"/>
      </w:pPr>
      <w:r>
        <w:rPr>
          <w:rFonts w:ascii="Calibri" w:cs="Calibri" w:eastAsia="Calibri" w:hAnsi="Calibri"/>
          <w:b w:val="false"/>
          <w:bCs w:val="false"/>
          <w:i w:val="false"/>
          <w:iCs w:val="false"/>
          <w:color w:val="1A1A2E"/>
          <w:sz w:val="20"/>
          <w:szCs w:val="20"/>
        </w:rPr>
        <w:t xml:space="preserve">The following columns are TARGET columns only — they must NEVER be used as model inputs:</w:t>
      </w:r>
    </w:p>
    <w:p>
      <w:pPr>
        <w:spacing w:before="50" w:after="50"/>
      </w:pPr>
      <w:r>
        <w:rPr>
          <w:rFonts w:ascii="Calibri" w:cs="Calibri" w:eastAsia="Calibri" w:hAnsi="Calibri"/>
          <w:b w:val="false"/>
          <w:bCs w:val="false"/>
          <w:i w:val="false"/>
          <w:iCs w:val="false"/>
          <w:color w:val="1A1A2E"/>
          <w:sz w:val="20"/>
          <w:szCs w:val="20"/>
        </w:rPr>
        <w:t xml:space="preserve">  •  Anomaly_Type  —  string class label</w:t>
      </w:r>
    </w:p>
    <w:p>
      <w:pPr>
        <w:spacing w:before="50" w:after="50"/>
      </w:pPr>
      <w:r>
        <w:rPr>
          <w:rFonts w:ascii="Calibri" w:cs="Calibri" w:eastAsia="Calibri" w:hAnsi="Calibri"/>
          <w:b w:val="false"/>
          <w:bCs w:val="false"/>
          <w:i w:val="false"/>
          <w:iCs w:val="false"/>
          <w:color w:val="1A1A2E"/>
          <w:sz w:val="20"/>
          <w:szCs w:val="20"/>
        </w:rPr>
        <w:t xml:space="preserve">  •  Anomaly_Label  —  encoded integer class</w:t>
      </w:r>
    </w:p>
    <w:p>
      <w:pPr>
        <w:spacing w:before="50" w:after="50"/>
      </w:pPr>
      <w:r>
        <w:rPr>
          <w:rFonts w:ascii="Calibri" w:cs="Calibri" w:eastAsia="Calibri" w:hAnsi="Calibri"/>
          <w:b w:val="false"/>
          <w:bCs w:val="false"/>
          <w:i w:val="false"/>
          <w:iCs w:val="false"/>
          <w:color w:val="1A1A2E"/>
          <w:sz w:val="20"/>
          <w:szCs w:val="20"/>
        </w:rPr>
        <w:t xml:space="preserve">  •  Anomaly_Binary  —  binary fault indicator</w:t>
      </w:r>
    </w:p>
    <w:p>
      <w:pPr>
        <w:spacing w:before="50" w:after="50"/>
      </w:pPr>
      <w:r>
        <w:rPr>
          <w:rFonts w:ascii="Calibri" w:cs="Calibri" w:eastAsia="Calibri" w:hAnsi="Calibri"/>
          <w:b w:val="false"/>
          <w:bCs w:val="false"/>
          <w:i w:val="false"/>
          <w:iCs w:val="false"/>
          <w:color w:val="1A1A2E"/>
          <w:sz w:val="20"/>
          <w:szCs w:val="20"/>
        </w:rPr>
        <w:t xml:space="preserve">  •  Severity  —  fault severity fraction</w:t>
      </w:r>
    </w:p>
    <w:p>
      <w:pPr>
        <w:spacing w:before="36" w:after="0"/>
      </w:pPr>
    </w:p>
    <w:p>
      <w:pPr>
        <w:spacing w:before="50" w:after="50"/>
      </w:pPr>
      <w:r>
        <w:rPr>
          <w:rFonts w:ascii="Calibri" w:cs="Calibri" w:eastAsia="Calibri" w:hAnsi="Calibri"/>
          <w:b w:val="false"/>
          <w:bCs w:val="false"/>
          <w:i w:val="false"/>
          <w:iCs w:val="false"/>
          <w:color w:val="1A1A2E"/>
          <w:sz w:val="20"/>
          <w:szCs w:val="20"/>
        </w:rPr>
        <w:t xml:space="preserve">The training data is shuffled before the internal validation split to remove temporal ordering bias introduced by the sequential timestamp generation pattern.</w:t>
      </w:r>
    </w:p>
    <w:p>
      <w:pPr>
        <w:spacing w:before="36" w:after="0"/>
      </w:pPr>
    </w:p>
    <w:p>
      <w:pPr>
        <w:spacing w:before="50" w:after="50"/>
      </w:pPr>
      <w:r>
        <w:rPr>
          <w:rFonts w:ascii="Calibri" w:cs="Calibri" w:eastAsia="Calibri" w:hAnsi="Calibri"/>
          <w:b w:val="false"/>
          <w:bCs w:val="false"/>
          <w:i/>
          <w:iCs/>
          <w:color w:val="1A1A2E"/>
          <w:sz w:val="20"/>
          <w:szCs w:val="20"/>
        </w:rPr>
        <w:t xml:space="preserve">Scalers are fitted exclusively on the training partition (after validation is separated). Validation and test partitions are transformed only — never used for fitting.</w:t>
      </w:r>
    </w:p>
    <w:p>
      <w:pPr>
        <w:spacing w:before="72" w:after="0"/>
      </w:pPr>
    </w:p>
    <w:p>
      <w:pPr>
        <w:pStyle w:val="Heading1"/>
        <w:spacing w:before="340" w:after="100"/>
      </w:pPr>
      <w:r>
        <w:rPr>
          <w:rFonts w:ascii="Calibri" w:cs="Calibri" w:eastAsia="Calibri" w:hAnsi="Calibri"/>
          <w:b/>
          <w:bCs/>
          <w:color w:val="1A3A5C"/>
          <w:sz w:val="28"/>
          <w:szCs w:val="28"/>
        </w:rPr>
        <w:t xml:space="preserve">10. Assumptions and Limitations</w:t>
      </w:r>
    </w:p>
    <w:p>
      <w:pPr>
        <w:spacing w:before="50" w:after="50"/>
      </w:pPr>
      <w:r>
        <w:rPr>
          <w:rFonts w:ascii="Calibri" w:cs="Calibri" w:eastAsia="Calibri" w:hAnsi="Calibri"/>
          <w:b w:val="false"/>
          <w:bCs w:val="false"/>
          <w:i w:val="false"/>
          <w:iCs w:val="false"/>
          <w:color w:val="1A1A2E"/>
          <w:sz w:val="20"/>
          <w:szCs w:val="20"/>
        </w:rPr>
        <w:t xml:space="preserve">(1) All data is synthetically generated. No real sensor readings from WAJ, Miyahuna, or other Jordanian water utilities were used. Validation against real operational data is identified as future work.</w:t>
      </w:r>
    </w:p>
    <w:p>
      <w:pPr>
        <w:spacing w:before="50" w:after="50"/>
      </w:pPr>
      <w:r>
        <w:rPr>
          <w:rFonts w:ascii="Calibri" w:cs="Calibri" w:eastAsia="Calibri" w:hAnsi="Calibri"/>
          <w:b w:val="false"/>
          <w:bCs w:val="false"/>
          <w:i w:val="false"/>
          <w:iCs w:val="false"/>
          <w:color w:val="1A1A2E"/>
          <w:sz w:val="20"/>
          <w:szCs w:val="20"/>
        </w:rPr>
        <w:t xml:space="preserve">(2) Pipe diameter is fixed at 50 mm or 40 mm per zone type. Real DMA networks exhibit heterogeneous diameters within the same zone.</w:t>
      </w:r>
    </w:p>
    <w:p>
      <w:pPr>
        <w:spacing w:before="50" w:after="50"/>
      </w:pPr>
      <w:r>
        <w:rPr>
          <w:rFonts w:ascii="Calibri" w:cs="Calibri" w:eastAsia="Calibri" w:hAnsi="Calibri"/>
          <w:b w:val="false"/>
          <w:bCs w:val="false"/>
          <w:i w:val="false"/>
          <w:iCs w:val="false"/>
          <w:color w:val="1A1A2E"/>
          <w:sz w:val="20"/>
          <w:szCs w:val="20"/>
        </w:rPr>
        <w:t xml:space="preserve">(3) Demand multipliers are approximated from monthly averages. Sub-monthly demand events (school terms, industrial shifts, tourist seasons) are not modelled.</w:t>
      </w:r>
    </w:p>
    <w:p>
      <w:pPr>
        <w:spacing w:before="50" w:after="50"/>
      </w:pPr>
      <w:r>
        <w:rPr>
          <w:rFonts w:ascii="Calibri" w:cs="Calibri" w:eastAsia="Calibri" w:hAnsi="Calibri"/>
          <w:b w:val="false"/>
          <w:bCs w:val="false"/>
          <w:i w:val="false"/>
          <w:iCs w:val="false"/>
          <w:color w:val="1A1A2E"/>
          <w:sz w:val="20"/>
          <w:szCs w:val="20"/>
        </w:rPr>
        <w:t xml:space="preserve">(4) Sensor noise is modelled as Gaussian. Real IoT sensors may exhibit non-Gaussian drift, outliers, and communication failures.</w:t>
      </w:r>
    </w:p>
    <w:p>
      <w:pPr>
        <w:spacing w:before="50" w:after="50"/>
      </w:pPr>
      <w:r>
        <w:rPr>
          <w:rFonts w:ascii="Calibri" w:cs="Calibri" w:eastAsia="Calibri" w:hAnsi="Calibri"/>
          <w:b w:val="false"/>
          <w:bCs w:val="false"/>
          <w:i w:val="false"/>
          <w:iCs w:val="false"/>
          <w:color w:val="1A1A2E"/>
          <w:sz w:val="20"/>
          <w:szCs w:val="20"/>
        </w:rPr>
        <w:t xml:space="preserve">(5) The dataset does not model water hammer, transient pressure events, or temperature-dependent viscosity changes.</w:t>
      </w:r>
    </w:p>
    <w:p>
      <w:pPr>
        <w:spacing w:before="50" w:after="50"/>
      </w:pPr>
      <w:r>
        <w:rPr>
          <w:rFonts w:ascii="Calibri" w:cs="Calibri" w:eastAsia="Calibri" w:hAnsi="Calibri"/>
          <w:b w:val="false"/>
          <w:bCs w:val="false"/>
          <w:i w:val="false"/>
          <w:iCs w:val="false"/>
          <w:color w:val="1A1A2E"/>
          <w:sz w:val="20"/>
          <w:szCs w:val="20"/>
        </w:rPr>
        <w:t xml:space="preserve">(6) Physics was calibrated against LeakDB and BattLeDIM benchmark parameters but not directly validated against those datasets due to schema incompatibility (those datasets use node-based single-point sensing, not A-B spatial pairs).</w:t>
      </w:r>
    </w:p>
    <w:p>
      <w:pPr>
        <w:spacing w:before="72" w:after="0"/>
      </w:pPr>
    </w:p>
    <w:p>
      <w:pPr>
        <w:pStyle w:val="Heading1"/>
        <w:spacing w:before="340" w:after="100"/>
      </w:pPr>
      <w:r>
        <w:rPr>
          <w:rFonts w:ascii="Calibri" w:cs="Calibri" w:eastAsia="Calibri" w:hAnsi="Calibri"/>
          <w:b/>
          <w:bCs/>
          <w:color w:val="1A3A5C"/>
          <w:sz w:val="28"/>
          <w:szCs w:val="28"/>
        </w:rPr>
        <w:t xml:space="preserve">11. Citation and Reference Datasets</w:t>
      </w:r>
    </w:p>
    <w:p>
      <w:pPr>
        <w:spacing w:before="50" w:after="50"/>
      </w:pPr>
      <w:r>
        <w:rPr>
          <w:rFonts w:ascii="Calibri" w:cs="Calibri" w:eastAsia="Calibri" w:hAnsi="Calibri"/>
          <w:b w:val="false"/>
          <w:bCs w:val="false"/>
          <w:i/>
          <w:iCs/>
          <w:color w:val="1A1A2E"/>
          <w:sz w:val="20"/>
          <w:szCs w:val="20"/>
        </w:rPr>
        <w:t xml:space="preserve">This dataset should be cited as:</w:t>
      </w:r>
    </w:p>
    <w:p>
      <w:pPr>
        <w:spacing w:before="50" w:after="50"/>
      </w:pPr>
      <w:r>
        <w:rPr>
          <w:rFonts w:ascii="Calibri" w:cs="Calibri" w:eastAsia="Calibri" w:hAnsi="Calibri"/>
          <w:b w:val="false"/>
          <w:bCs w:val="false"/>
          <w:i w:val="false"/>
          <w:iCs w:val="false"/>
          <w:color w:val="1A1A2E"/>
          <w:sz w:val="20"/>
          <w:szCs w:val="20"/>
        </w:rPr>
        <w:t xml:space="preserve">Change The Future Team, Amman Arab University. (2026). Jordan National Water Distribution Network — Spatial A-B Sensor Synthetic Dataset v2.0. AI-Driven Zonal Water Loss Detection Project. IEEE RAS &amp; CS Hackathon.</w:t>
      </w:r>
    </w:p>
    <w:p>
      <w:pPr>
        <w:spacing w:before="36" w:after="0"/>
      </w:pPr>
    </w:p>
    <w:p>
      <w:pPr>
        <w:spacing w:before="50" w:after="50"/>
      </w:pPr>
      <w:r>
        <w:rPr>
          <w:rFonts w:ascii="Calibri" w:cs="Calibri" w:eastAsia="Calibri" w:hAnsi="Calibri"/>
          <w:b w:val="false"/>
          <w:bCs w:val="false"/>
          <w:i w:val="false"/>
          <w:iCs w:val="false"/>
          <w:color w:val="1A1A2E"/>
          <w:sz w:val="20"/>
          <w:szCs w:val="20"/>
        </w:rPr>
        <w:t xml:space="preserve">Physics calibration references:</w:t>
      </w:r>
    </w:p>
    <w:p>
      <w:pPr>
        <w:spacing w:before="50" w:after="50"/>
      </w:pPr>
      <w:r>
        <w:rPr>
          <w:rFonts w:ascii="Calibri" w:cs="Calibri" w:eastAsia="Calibri" w:hAnsi="Calibri"/>
          <w:b w:val="false"/>
          <w:bCs w:val="false"/>
          <w:i w:val="false"/>
          <w:iCs w:val="false"/>
          <w:color w:val="1A1A2E"/>
          <w:sz w:val="20"/>
          <w:szCs w:val="20"/>
        </w:rPr>
        <w:t xml:space="preserve">Vrachimis et al. (2018). LeakDB: A Benchmark Dataset for Leakage Diagnosis in Water Distribution Networks. WDSA/CCWI Joint Conference. https://github.com/KIOS-Research/LeakDB</w:t>
      </w:r>
    </w:p>
    <w:p>
      <w:pPr>
        <w:spacing w:before="50" w:after="50"/>
      </w:pPr>
      <w:r>
        <w:rPr>
          <w:rFonts w:ascii="Calibri" w:cs="Calibri" w:eastAsia="Calibri" w:hAnsi="Calibri"/>
          <w:b w:val="false"/>
          <w:bCs w:val="false"/>
          <w:i w:val="false"/>
          <w:iCs w:val="false"/>
          <w:color w:val="1A1A2E"/>
          <w:sz w:val="20"/>
          <w:szCs w:val="20"/>
        </w:rPr>
        <w:t xml:space="preserve">Vrachimis et al. (2020). BattLeDIM: Battle of the Leakage Detection and Isolation Methods. Zenodo. https://doi.org/10.5281/zenodo.4017659</w:t>
      </w:r>
    </w:p>
    <w:p>
      <w:pPr>
        <w:spacing w:before="50" w:after="50"/>
      </w:pPr>
      <w:r>
        <w:rPr>
          <w:rFonts w:ascii="Calibri" w:cs="Calibri" w:eastAsia="Calibri" w:hAnsi="Calibri"/>
          <w:b w:val="false"/>
          <w:bCs w:val="false"/>
          <w:i w:val="false"/>
          <w:iCs w:val="false"/>
          <w:color w:val="1A1A2E"/>
          <w:sz w:val="20"/>
          <w:szCs w:val="20"/>
        </w:rPr>
        <w:t xml:space="preserve">Churchill, S. W. (1977). Friction factor equation spans all fluid-flow regimes. Chemical Engineering, 84(24), 91–92.</w:t>
      </w:r>
    </w:p>
    <w:p>
      <w:pPr>
        <w:spacing w:before="50" w:after="50"/>
      </w:pPr>
      <w:r>
        <w:rPr>
          <w:rFonts w:ascii="Calibri" w:cs="Calibri" w:eastAsia="Calibri" w:hAnsi="Calibri"/>
          <w:b w:val="false"/>
          <w:bCs w:val="false"/>
          <w:i w:val="false"/>
          <w:iCs w:val="false"/>
          <w:color w:val="1A1A2E"/>
          <w:sz w:val="20"/>
          <w:szCs w:val="20"/>
        </w:rPr>
        <w:t xml:space="preserve">Jordan Ministry of Water and Irrigation. (2022). Jordan Water Sector Facts and Figures 2022.</w:t>
      </w:r>
    </w:p>
    <w:p>
      <w:pPr>
        <w:spacing w:before="50" w:after="50"/>
      </w:pPr>
      <w:r>
        <w:rPr>
          <w:rFonts w:ascii="Calibri" w:cs="Calibri" w:eastAsia="Calibri" w:hAnsi="Calibri"/>
          <w:b w:val="false"/>
          <w:bCs w:val="false"/>
          <w:i w:val="false"/>
          <w:iCs w:val="false"/>
          <w:color w:val="1A1A2E"/>
          <w:sz w:val="20"/>
          <w:szCs w:val="20"/>
        </w:rPr>
        <w:t xml:space="preserve">World Bank. (2022). Jordan Public Expenditure Review: Water Sector.</w:t>
      </w:r>
    </w:p>
    <w:sectPr>
      <w:headerReference w:type="default" r:id="rId6"/>
      <w:foot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Change The Future Team  ·  Amman Arab University  ·  IEEE RAS &amp; CS Hackathon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6FAC" w:sz="4" w:space="1"/>
      </w:pBdr>
      <w:jc w:val="right"/>
    </w:pPr>
    <w:r>
      <w:rPr>
        <w:rFonts w:ascii="Calibri" w:cs="Calibri" w:eastAsia="Calibri" w:hAnsi="Calibri"/>
        <w:color w:val="5A6880"/>
        <w:sz w:val="17"/>
        <w:szCs w:val="17"/>
      </w:rPr>
      <w:t xml:space="preserve">Jordan Spatial Water Network — Dataset Metadata v2.0 (EN)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2026-03-29T06:01:09.995Z</dcterms:created>
  <dcterms:modified xsi:type="dcterms:W3CDTF">2026-03-29T06:01:09.996Z</dcterms:modified>
</cp:coreProperties>
</file>

<file path=docProps/custom.xml><?xml version="1.0" encoding="utf-8"?>
<Properties xmlns="http://schemas.openxmlformats.org/officeDocument/2006/custom-properties" xmlns:vt="http://schemas.openxmlformats.org/officeDocument/2006/docPropsVTypes"/>
</file>