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453AA">
      <w:pPr>
        <w:pStyle w:val="2"/>
      </w:pPr>
      <w:bookmarkStart w:id="0" w:name="_GoBack"/>
      <w:bookmarkEnd w:id="0"/>
      <w:r>
        <w:t>Business Requirements Document (BRD)</w:t>
      </w:r>
    </w:p>
    <w:p w14:paraId="331B1C12">
      <w:pPr>
        <w:pStyle w:val="3"/>
      </w:pPr>
      <w:r>
        <w:t>Loan Performance &amp; Risk Insight Dashboard</w:t>
      </w:r>
    </w:p>
    <w:p w14:paraId="51C15AF3">
      <w:pPr>
        <w:pStyle w:val="3"/>
      </w:pPr>
      <w:r>
        <w:t>1. Business Problem</w:t>
      </w:r>
    </w:p>
    <w:p w14:paraId="78CAC1AB">
      <w:r>
        <w:t>- The financial institution lacks a consolidated and interactive view of loan performance, borrower demographics, risk indicators, and default patterns.</w:t>
      </w:r>
    </w:p>
    <w:p w14:paraId="62A3307F">
      <w:pPr>
        <w:pStyle w:val="3"/>
      </w:pPr>
      <w:r>
        <w:t>2. Business Goals</w:t>
      </w:r>
    </w:p>
    <w:p w14:paraId="591390B5">
      <w:r>
        <w:t>- Identify high-risk borrower segments.</w:t>
      </w:r>
    </w:p>
    <w:p w14:paraId="2DD70960">
      <w:r>
        <w:t>- Analyze year-over-year loan and default trends.</w:t>
      </w:r>
    </w:p>
    <w:p w14:paraId="27C3D241">
      <w:r>
        <w:t>- Understand demographic and credit-score-driven risk factors.</w:t>
      </w:r>
    </w:p>
    <w:p w14:paraId="4312934E">
      <w:r>
        <w:t>- Support data-driven lending decisions.</w:t>
      </w:r>
    </w:p>
    <w:p w14:paraId="24EF9B30">
      <w:pPr>
        <w:pStyle w:val="3"/>
      </w:pPr>
      <w:r>
        <w:t>3. Scope</w:t>
      </w:r>
    </w:p>
    <w:p w14:paraId="39DE620C">
      <w:r>
        <w:t>- Includes: Applicant demographics dashboard, loan trends, credit score analysis, employment-type analysis, income segmentation.</w:t>
      </w:r>
    </w:p>
    <w:p w14:paraId="1E2F9EFA">
      <w:r>
        <w:t>- Excludes: Real-time integration, predictive modeling, collections reporting.</w:t>
      </w:r>
    </w:p>
    <w:p w14:paraId="7EB7C083">
      <w:pPr>
        <w:pStyle w:val="3"/>
      </w:pPr>
      <w:r>
        <w:t>4. Business Requirements</w:t>
      </w:r>
    </w:p>
    <w:p w14:paraId="0B18ED0C">
      <w:r>
        <w:t>- BR-1: Loan Overview metrics like loan amount by purpose, income by employment type, default rates.</w:t>
      </w:r>
    </w:p>
    <w:p w14:paraId="6F8D59A8">
      <w:r>
        <w:t>- BR-2: Demographics insights such as credit score bins, marital status, education levels.</w:t>
      </w:r>
    </w:p>
    <w:p w14:paraId="295BFDDF">
      <w:r>
        <w:t>- BR-3: Financial risk metrics including YoY loan change, default change, YTD distribution.</w:t>
      </w:r>
    </w:p>
    <w:p w14:paraId="496F7E37">
      <w:r>
        <w:t>- BR-4: User experience with filters and interactive elements.</w:t>
      </w:r>
    </w:p>
    <w:p w14:paraId="6EACE3B7">
      <w:pPr>
        <w:pStyle w:val="3"/>
      </w:pPr>
      <w:r>
        <w:t>5. Stakeholders</w:t>
      </w:r>
    </w:p>
    <w:p w14:paraId="7E56AD3E">
      <w:r>
        <w:t>- Credit Risk Team, Underwriting Team, Analytics Team, Senior Management.</w:t>
      </w:r>
    </w:p>
    <w:p w14:paraId="47C81A22">
      <w:pPr>
        <w:pStyle w:val="3"/>
      </w:pPr>
      <w:r>
        <w:t>6. Assumptions</w:t>
      </w:r>
    </w:p>
    <w:p w14:paraId="207820D9">
      <w:r>
        <w:t>- Data is clean and pre-aggregated. Regular refresh cycles are available.</w:t>
      </w:r>
    </w:p>
    <w:p w14:paraId="4C3C17CD">
      <w:pPr>
        <w:pStyle w:val="3"/>
      </w:pPr>
      <w:r>
        <w:t>7. Constraints</w:t>
      </w:r>
    </w:p>
    <w:p w14:paraId="4E100FAF">
      <w:r>
        <w:t>- Dependent on source system accuracy and historical completeness.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19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Ayesha Siddiqua</cp:lastModifiedBy>
  <dcterms:modified xsi:type="dcterms:W3CDTF">2025-11-17T20:22:15Z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1114ABD4B8BB43A8BE9BE4C5F2EA5F89_13</vt:lpwstr>
  </property>
</Properties>
</file>