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3C6E71"/>
          <w:sz w:val="30"/>
        </w:rPr>
        <w:t>YouTube Retrofit Comments</w:t>
        <w:br/>
      </w:r>
      <w:r>
        <w:rPr>
          <w:b/>
          <w:color w:val="284B63"/>
          <w:sz w:val="50"/>
        </w:rPr>
        <w:t>NMF Topic Modeling and Standalone Analysis Report</w:t>
      </w:r>
    </w:p>
    <w:p>
      <w:pPr>
        <w:spacing w:before="360"/>
        <w:jc w:val="center"/>
      </w:pPr>
      <w:r>
        <w:rPr>
          <w:i/>
          <w:sz w:val="26"/>
        </w:rPr>
        <w:t>Frozen inclusive TF-IDF NMF solution, k = 16</w:t>
      </w:r>
    </w:p>
    <w:p>
      <w:pPr>
        <w:spacing w:before="700"/>
        <w:jc w:val="center"/>
      </w:pPr>
      <w:r>
        <w:rPr>
          <w:sz w:val="21"/>
        </w:rPr>
        <w:t>Standalone unsupervised analysis completed before any comparison with the predefined rule-based framework.</w:t>
      </w:r>
    </w:p>
    <w:p>
      <w:pPr>
        <w:spacing w:before="1700"/>
        <w:jc w:val="center"/>
      </w:pPr>
      <w:r>
        <w:rPr>
          <w:b/>
        </w:rPr>
        <w:t>Analysis status: model selection, validation, interpretation, contextual analysis and robustness complete</w:t>
        <w:br/>
      </w:r>
      <w:r>
        <w:rPr>
          <w:sz w:val="18"/>
        </w:rPr>
        <w:t>Report prepared from locked project outputs through Stage 08d.</w:t>
      </w:r>
    </w:p>
    <w:p>
      <w:r>
        <w:br w:type="page"/>
      </w:r>
    </w:p>
    <w:p>
      <w:pPr>
        <w:pStyle w:val="Heading1"/>
        <w:keepNext/>
      </w:pPr>
      <w:r>
        <w:t>Executive summary</w:t>
      </w:r>
    </w:p>
    <w:p>
      <w:pPr>
        <w:spacing w:after="80" w:line="259" w:lineRule="auto"/>
      </w:pPr>
      <w:r>
        <w:t>This report documents the complete unsupervised Non-negative Matrix Factorization (NMF) analysis of substantive YouTube comments about practical energy retrofit. It covers corpus preparation, TF-IDF design, candidate-model selection, interpretability review, subsampling stability, preprocessing sensitivity, final topic locking, standalone topic prevalence, video-level context, engagement associations and equal-comment robustness. The predefined rule-based comment analysis is deliberately excluded from this report so that the unsupervised findings remain analytically independent before later comparison.</w:t>
      </w:r>
    </w:p>
    <w:p>
      <w:pPr>
        <w:pStyle w:val="ListBullet"/>
        <w:spacing w:after="40"/>
      </w:pPr>
      <w:r>
        <w:t>The modeling corpus contains 42,443 comments from 1,158 videos after 44 zero-vector comments were removed from the 42,487-comment substantive corpus.</w:t>
      </w:r>
    </w:p>
    <w:p>
      <w:pPr>
        <w:pStyle w:val="ListBullet"/>
        <w:spacing w:after="40"/>
      </w:pPr>
      <w:r>
        <w:t>Six candidate topic counts were evaluated (k = 8, 10, 12, 14, 16 and 20). Quantitative screening advanced k = 12, 16 and 20; human interpretability review retained k = 12 and k = 16; stability and preprocessing-sensitivity evidence favoured k = 16.</w:t>
      </w:r>
    </w:p>
    <w:p>
      <w:pPr>
        <w:pStyle w:val="ListBullet"/>
        <w:spacing w:after="40"/>
      </w:pPr>
      <w:r>
        <w:t>The final solution contains 16 retained components: 7 technical subjects, 7 knowledge-sharing behaviours, 1 social-interaction topic and 1 mixed/contextual topic.</w:t>
      </w:r>
    </w:p>
    <w:p>
      <w:pPr>
        <w:pStyle w:val="ListBullet"/>
        <w:spacing w:after="40"/>
      </w:pPr>
      <w:r>
        <w:t>The solution is intrinsically multi-topic. At comment level, the median dominant relative weight is 0.473 and the median effective topic count is 3.81. At video level, the median effective topic count rises to 8.81.</w:t>
      </w:r>
    </w:p>
    <w:p>
      <w:pPr>
        <w:pStyle w:val="ListBullet"/>
        <w:spacing w:after="40"/>
      </w:pPr>
      <w:r>
        <w:t>Technical subjects are often concentrated in specific video clusters, while interactional behaviours are more widely distributed across the corpus. Spray-foam discussion is the most concentrated technical component.</w:t>
      </w:r>
    </w:p>
    <w:p>
      <w:pPr>
        <w:pStyle w:val="ListBullet"/>
        <w:spacing w:after="40"/>
      </w:pPr>
      <w:r>
        <w:t>Engagement relationships are observational and compositional. Equal-comment resampling showed that 74 of 128 topic-metadata associations had empirical intervals excluding zero under both 10- and 20-comments-per-video conditions.</w:t>
      </w:r>
    </w:p>
    <w:p>
      <w:pPr>
        <w:pStyle w:val="ListBullet"/>
        <w:spacing w:after="40"/>
      </w:pPr>
      <w:r>
        <w:t>The NMF model and its interpretation are now frozen. The next analytical phase should compare this independent solution with the predefined rule-based framework; that comparison is outside the scope of this report.</w:t>
      </w:r>
    </w:p>
    <w:p>
      <w:pPr>
        <w:keepNext/>
        <w:jc w:val="center"/>
      </w:pPr>
      <w:r>
        <w:drawing>
          <wp:inline xmlns:a="http://schemas.openxmlformats.org/drawingml/2006/main" xmlns:pic="http://schemas.openxmlformats.org/drawingml/2006/picture">
            <wp:extent cx="6217920" cy="2066242"/>
            <wp:docPr id="1" name="Picture 1"/>
            <wp:cNvGraphicFramePr>
              <a:graphicFrameLocks noChangeAspect="1"/>
            </wp:cNvGraphicFramePr>
            <a:graphic>
              <a:graphicData uri="http://schemas.openxmlformats.org/drawingml/2006/picture">
                <pic:pic>
                  <pic:nvPicPr>
                    <pic:cNvPr id="0" name="12_methodological_funnel.png"/>
                    <pic:cNvPicPr/>
                  </pic:nvPicPr>
                  <pic:blipFill>
                    <a:blip r:embed="rId10"/>
                    <a:stretch>
                      <a:fillRect/>
                    </a:stretch>
                  </pic:blipFill>
                  <pic:spPr>
                    <a:xfrm>
                      <a:off x="0" y="0"/>
                      <a:ext cx="6217920" cy="2066242"/>
                    </a:xfrm>
                    <a:prstGeom prst="rect"/>
                  </pic:spPr>
                </pic:pic>
              </a:graphicData>
            </a:graphic>
          </wp:inline>
        </w:drawing>
      </w:r>
    </w:p>
    <w:p>
      <w:pPr>
        <w:pStyle w:val="FigureCaption"/>
        <w:jc w:val="center"/>
      </w:pPr>
      <w:r>
        <w:t>Figure 1. NMF model-selection and validation funnel. The final model was locked only after quantitative screening, interpretability review, repeated corpus perturbation and preprocessing sensitivity testing.</w:t>
      </w:r>
    </w:p>
    <w:p>
      <w:pPr>
        <w:pStyle w:val="TableNote"/>
        <w:spacing w:after="80" w:line="259" w:lineRule="auto"/>
      </w:pPr>
      <w:r>
        <w:t>The report proceeds from corpus construction and model selection through validation, locked-topic interpretation, standalone results, contextual analysis, engagement analysis and robustness, followed by methodological limitations and reproducibility appendices.</w:t>
      </w:r>
    </w:p>
    <w:p>
      <w:r>
        <w:br w:type="page"/>
      </w:r>
    </w:p>
    <w:p>
      <w:pPr>
        <w:pStyle w:val="Heading1"/>
        <w:keepNext/>
      </w:pPr>
      <w:r>
        <w:t>1. Research purpose and analytical scope</w:t>
      </w:r>
    </w:p>
    <w:p>
      <w:pPr>
        <w:spacing w:after="80" w:line="259" w:lineRule="auto"/>
      </w:pPr>
      <w:r>
        <w:t>The aim of this NMF analysis is to discover latent structures in substantive retrofit-related YouTube comments without requiring comments to conform to the project’s existing predefined theme system. The model is therefore used as an independent unsupervised analytical pathway. Its value lies not in producing a single “correct” classification, but in revealing recurring technical subjects, question forms, troubleshooting behaviours, social interaction and contextual patterns that emerge from the comment text itself.</w:t>
      </w:r>
    </w:p>
    <w:p>
      <w:pPr>
        <w:spacing w:after="80" w:line="259" w:lineRule="auto"/>
      </w:pPr>
      <w:r>
        <w:t>The report treats NMF weights as continuous component loadings. Row-normalised weights are used descriptively to compare relative topic composition within a comment or video; they are not posterior probabilities. Dominant-topic assignments are used only for interpretable summaries and never as a claim that comments belong to mutually exclusive categories.</w:t>
      </w:r>
    </w:p>
    <w:p>
      <w:pPr>
        <w:pStyle w:val="Heading1"/>
        <w:keepNext/>
      </w:pPr>
      <w:r>
        <w:t>2. Corpus and TF-IDF representation</w:t>
      </w:r>
    </w:p>
    <w:p>
      <w:pPr>
        <w:spacing w:after="80" w:line="259" w:lineRule="auto"/>
      </w:pPr>
      <w:r>
        <w:t>The starting substantive corpus contained 42,487 comments from 1,159 videos. Conservative text preparation used comment_text_no_urls, HTML unescaping, Unicode NFKC normalisation, lowercase conversion, contraction expansion, URL removal and whitespace normalisation. Stemming and lemmatisation were not used. English stop words were applied conservatively while preserving negation, questioning and comparison terms relevant to troubleshooting discourse.</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4195"/>
            <w:shd w:fill="284B63"/>
            <w:vAlign w:val="center"/>
          </w:tcPr>
          <w:p>
            <w:r>
              <w:rPr>
                <w:b/>
                <w:color w:val="FFFFFF"/>
                <w:sz w:val="16"/>
              </w:rPr>
              <w:t>Element</w:t>
            </w:r>
          </w:p>
        </w:tc>
        <w:tc>
          <w:tcPr>
            <w:tcW w:type="dxa" w:w="4762"/>
            <w:shd w:fill="284B63"/>
            <w:vAlign w:val="center"/>
          </w:tcPr>
          <w:p>
            <w:r>
              <w:rPr>
                <w:b/>
                <w:color w:val="FFFFFF"/>
                <w:sz w:val="16"/>
              </w:rPr>
              <w:t>Frozen value</w:t>
            </w:r>
          </w:p>
        </w:tc>
      </w:tr>
      <w:tr>
        <w:trPr>
          <w:cantSplit/>
        </w:trPr>
        <w:tc>
          <w:tcPr>
            <w:tcW w:type="dxa" w:w="4195"/>
            <w:vAlign w:val="center"/>
          </w:tcPr>
          <w:p>
            <w:pPr>
              <w:spacing w:after="0"/>
            </w:pPr>
            <w:r>
              <w:rPr>
                <w:sz w:val="16"/>
              </w:rPr>
              <w:t>Substantive corpus before TF-IDF</w:t>
            </w:r>
          </w:p>
        </w:tc>
        <w:tc>
          <w:tcPr>
            <w:tcW w:type="dxa" w:w="4762"/>
            <w:vAlign w:val="center"/>
          </w:tcPr>
          <w:p>
            <w:pPr>
              <w:spacing w:after="0"/>
            </w:pPr>
            <w:r>
              <w:rPr>
                <w:sz w:val="16"/>
              </w:rPr>
              <w:t>42,487 comments / 1,159 videos</w:t>
            </w:r>
          </w:p>
        </w:tc>
      </w:tr>
      <w:tr>
        <w:trPr>
          <w:cantSplit/>
        </w:trPr>
        <w:tc>
          <w:tcPr>
            <w:tcW w:type="dxa" w:w="4195"/>
            <w:vAlign w:val="center"/>
          </w:tcPr>
          <w:p>
            <w:pPr>
              <w:spacing w:after="0"/>
            </w:pPr>
            <w:r>
              <w:rPr>
                <w:sz w:val="16"/>
              </w:rPr>
              <w:t>Primary NMF corpus</w:t>
            </w:r>
          </w:p>
        </w:tc>
        <w:tc>
          <w:tcPr>
            <w:tcW w:type="dxa" w:w="4762"/>
            <w:vAlign w:val="center"/>
          </w:tcPr>
          <w:p>
            <w:pPr>
              <w:spacing w:after="0"/>
            </w:pPr>
            <w:r>
              <w:rPr>
                <w:sz w:val="16"/>
              </w:rPr>
              <w:t>42,443 comments / 1,158 videos</w:t>
            </w:r>
          </w:p>
        </w:tc>
      </w:tr>
      <w:tr>
        <w:trPr>
          <w:cantSplit/>
        </w:trPr>
        <w:tc>
          <w:tcPr>
            <w:tcW w:type="dxa" w:w="4195"/>
            <w:vAlign w:val="center"/>
          </w:tcPr>
          <w:p>
            <w:pPr>
              <w:spacing w:after="0"/>
            </w:pPr>
            <w:r>
              <w:rPr>
                <w:sz w:val="16"/>
              </w:rPr>
              <w:t>Zero-vector removals</w:t>
            </w:r>
          </w:p>
        </w:tc>
        <w:tc>
          <w:tcPr>
            <w:tcW w:type="dxa" w:w="4762"/>
            <w:vAlign w:val="center"/>
          </w:tcPr>
          <w:p>
            <w:pPr>
              <w:spacing w:after="0"/>
            </w:pPr>
            <w:r>
              <w:rPr>
                <w:sz w:val="16"/>
              </w:rPr>
              <w:t>44 comments; one video entirely removed</w:t>
            </w:r>
          </w:p>
        </w:tc>
      </w:tr>
      <w:tr>
        <w:trPr>
          <w:cantSplit/>
        </w:trPr>
        <w:tc>
          <w:tcPr>
            <w:tcW w:type="dxa" w:w="4195"/>
            <w:vAlign w:val="center"/>
          </w:tcPr>
          <w:p>
            <w:pPr>
              <w:spacing w:after="0"/>
            </w:pPr>
            <w:r>
              <w:rPr>
                <w:sz w:val="16"/>
              </w:rPr>
              <w:t>Primary TF-IDF vocabulary</w:t>
            </w:r>
          </w:p>
        </w:tc>
        <w:tc>
          <w:tcPr>
            <w:tcW w:type="dxa" w:w="4762"/>
            <w:vAlign w:val="center"/>
          </w:tcPr>
          <w:p>
            <w:pPr>
              <w:spacing w:after="0"/>
            </w:pPr>
            <w:r>
              <w:rPr>
                <w:sz w:val="16"/>
              </w:rPr>
              <w:t>14,427 features</w:t>
            </w:r>
          </w:p>
        </w:tc>
      </w:tr>
      <w:tr>
        <w:trPr>
          <w:cantSplit/>
        </w:trPr>
        <w:tc>
          <w:tcPr>
            <w:tcW w:type="dxa" w:w="4195"/>
            <w:vAlign w:val="center"/>
          </w:tcPr>
          <w:p>
            <w:pPr>
              <w:spacing w:after="0"/>
            </w:pPr>
            <w:r>
              <w:rPr>
                <w:sz w:val="16"/>
              </w:rPr>
              <w:t>Unigrams / bigrams</w:t>
            </w:r>
          </w:p>
        </w:tc>
        <w:tc>
          <w:tcPr>
            <w:tcW w:type="dxa" w:w="4762"/>
            <w:vAlign w:val="center"/>
          </w:tcPr>
          <w:p>
            <w:pPr>
              <w:spacing w:after="0"/>
            </w:pPr>
            <w:r>
              <w:rPr>
                <w:sz w:val="16"/>
              </w:rPr>
              <w:t>6,433 / 7,994</w:t>
            </w:r>
          </w:p>
        </w:tc>
      </w:tr>
      <w:tr>
        <w:trPr>
          <w:cantSplit/>
        </w:trPr>
        <w:tc>
          <w:tcPr>
            <w:tcW w:type="dxa" w:w="4195"/>
            <w:vAlign w:val="center"/>
          </w:tcPr>
          <w:p>
            <w:pPr>
              <w:spacing w:after="0"/>
            </w:pPr>
            <w:r>
              <w:rPr>
                <w:sz w:val="16"/>
              </w:rPr>
              <w:t>Primary matrix non-zero entries</w:t>
            </w:r>
          </w:p>
        </w:tc>
        <w:tc>
          <w:tcPr>
            <w:tcW w:type="dxa" w:w="4762"/>
            <w:vAlign w:val="center"/>
          </w:tcPr>
          <w:p>
            <w:pPr>
              <w:spacing w:after="0"/>
            </w:pPr>
            <w:r>
              <w:rPr>
                <w:sz w:val="16"/>
              </w:rPr>
              <w:t>1,013,411</w:t>
            </w:r>
          </w:p>
        </w:tc>
      </w:tr>
      <w:tr>
        <w:trPr>
          <w:cantSplit/>
        </w:trPr>
        <w:tc>
          <w:tcPr>
            <w:tcW w:type="dxa" w:w="4195"/>
            <w:vAlign w:val="center"/>
          </w:tcPr>
          <w:p>
            <w:pPr>
              <w:spacing w:after="0"/>
            </w:pPr>
            <w:r>
              <w:rPr>
                <w:sz w:val="16"/>
              </w:rPr>
              <w:t>Content-focused sensitivity corpus</w:t>
            </w:r>
          </w:p>
        </w:tc>
        <w:tc>
          <w:tcPr>
            <w:tcW w:type="dxa" w:w="4762"/>
            <w:vAlign w:val="center"/>
          </w:tcPr>
          <w:p>
            <w:pPr>
              <w:spacing w:after="0"/>
            </w:pPr>
            <w:r>
              <w:rPr>
                <w:sz w:val="16"/>
              </w:rPr>
              <w:t>42,424 comments</w:t>
            </w:r>
          </w:p>
        </w:tc>
      </w:tr>
      <w:tr>
        <w:trPr>
          <w:cantSplit/>
        </w:trPr>
        <w:tc>
          <w:tcPr>
            <w:tcW w:type="dxa" w:w="4195"/>
            <w:vAlign w:val="center"/>
          </w:tcPr>
          <w:p>
            <w:pPr>
              <w:spacing w:after="0"/>
            </w:pPr>
            <w:r>
              <w:rPr>
                <w:sz w:val="16"/>
              </w:rPr>
              <w:t>Content-focused vocabulary</w:t>
            </w:r>
          </w:p>
        </w:tc>
        <w:tc>
          <w:tcPr>
            <w:tcW w:type="dxa" w:w="4762"/>
            <w:vAlign w:val="center"/>
          </w:tcPr>
          <w:p>
            <w:pPr>
              <w:spacing w:after="0"/>
            </w:pPr>
            <w:r>
              <w:rPr>
                <w:sz w:val="16"/>
              </w:rPr>
              <w:t>14,084 features</w:t>
            </w:r>
          </w:p>
        </w:tc>
      </w:tr>
    </w:tbl>
    <w:p>
      <w:pPr>
        <w:spacing w:after="40"/>
      </w:pPr>
    </w:p>
    <w:p>
      <w:pPr>
        <w:spacing w:after="80" w:line="259" w:lineRule="auto"/>
      </w:pPr>
      <w:r>
        <w:t>Two representations were frozen. The inclusive representation was designated primary because praise and gratitude are substantively relevant to trust and social endorsement. A content-focused representation removed platform terms, generic gratitude/strong praise and web residue to test whether substantive technical topics survived preprocessing changes. Ambiguous words such as “good”, “love”, “liked”, “like” and “just” were retained in the sensitivity representation rather than being removed automatically.</w:t>
      </w:r>
    </w:p>
    <w:p>
      <w:pPr>
        <w:pStyle w:val="Heading1"/>
        <w:keepNext/>
      </w:pPr>
      <w:r>
        <w:t>3. Candidate NMF model selection</w:t>
      </w:r>
    </w:p>
    <w:p>
      <w:pPr>
        <w:spacing w:after="80" w:line="259" w:lineRule="auto"/>
      </w:pPr>
      <w:r>
        <w:t>Candidate NMF models were fit at k = 8, 10, 12, 14, 16 and 20 using NNDSVDa initialisation, coordinate descent, Frobenius loss, tolerance 1e-4, maximum 500 iterations and a fixed random state. Model selection was intentionally multi-criterion: reconstruction error alone was not treated as decisive because it predictably improves as topic count increases.</w:t>
      </w:r>
    </w:p>
    <w:p>
      <w:pPr>
        <w:keepNext/>
        <w:jc w:val="center"/>
      </w:pPr>
      <w:r>
        <w:drawing>
          <wp:inline xmlns:a="http://schemas.openxmlformats.org/drawingml/2006/main" xmlns:pic="http://schemas.openxmlformats.org/drawingml/2006/picture">
            <wp:extent cx="6126480" cy="4766182"/>
            <wp:docPr id="2" name="Picture 2"/>
            <wp:cNvGraphicFramePr>
              <a:graphicFrameLocks noChangeAspect="1"/>
            </wp:cNvGraphicFramePr>
            <a:graphic>
              <a:graphicData uri="http://schemas.openxmlformats.org/drawingml/2006/picture">
                <pic:pic>
                  <pic:nvPicPr>
                    <pic:cNvPr id="0" name="01_candidate_model_diagnostics.png"/>
                    <pic:cNvPicPr/>
                  </pic:nvPicPr>
                  <pic:blipFill>
                    <a:blip r:embed="rId11"/>
                    <a:stretch>
                      <a:fillRect/>
                    </a:stretch>
                  </pic:blipFill>
                  <pic:spPr>
                    <a:xfrm>
                      <a:off x="0" y="0"/>
                      <a:ext cx="6126480" cy="4766182"/>
                    </a:xfrm>
                    <a:prstGeom prst="rect"/>
                  </pic:spPr>
                </pic:pic>
              </a:graphicData>
            </a:graphic>
          </wp:inline>
        </w:drawing>
      </w:r>
    </w:p>
    <w:p>
      <w:pPr>
        <w:pStyle w:val="FigureCaption"/>
        <w:jc w:val="center"/>
      </w:pPr>
      <w:r>
        <w:t>Figure 2. Candidate-model diagnostics. Lower reconstruction error and inter-topic similarity favour larger models, while coherence and diversity show a less monotonic pattern. The selected k=16 solution reflects the combined evidence rather than a single metric.</w:t>
      </w:r>
    </w:p>
    <w:tbl>
      <w:tblPr>
        <w:tblStyle w:val="TableGrid"/>
        <w:tblW w:type="auto" w:w="0"/>
        <w:jc w:val="center"/>
        <w:tblLook w:firstColumn="1" w:firstRow="1" w:lastColumn="0" w:lastRow="0" w:noHBand="0" w:noVBand="1" w:val="04A0"/>
      </w:tblPr>
      <w:tblGrid>
        <w:gridCol w:w="1643"/>
        <w:gridCol w:w="1643"/>
        <w:gridCol w:w="1643"/>
        <w:gridCol w:w="1643"/>
        <w:gridCol w:w="1643"/>
        <w:gridCol w:w="1643"/>
      </w:tblGrid>
      <w:tr>
        <w:trPr>
          <w:tblHeader w:val="true"/>
        </w:trPr>
        <w:tc>
          <w:tcPr>
            <w:tcW w:type="dxa" w:w="1643"/>
            <w:shd w:fill="284B63"/>
            <w:vAlign w:val="center"/>
          </w:tcPr>
          <w:p>
            <w:r>
              <w:rPr>
                <w:b/>
                <w:color w:val="FFFFFF"/>
                <w:sz w:val="15"/>
              </w:rPr>
              <w:t>k</w:t>
            </w:r>
          </w:p>
        </w:tc>
        <w:tc>
          <w:tcPr>
            <w:tcW w:type="dxa" w:w="1643"/>
            <w:shd w:fill="284B63"/>
            <w:vAlign w:val="center"/>
          </w:tcPr>
          <w:p>
            <w:r>
              <w:rPr>
                <w:b/>
                <w:color w:val="FFFFFF"/>
                <w:sz w:val="15"/>
              </w:rPr>
              <w:t>Relative error</w:t>
            </w:r>
          </w:p>
        </w:tc>
        <w:tc>
          <w:tcPr>
            <w:tcW w:type="dxa" w:w="1643"/>
            <w:shd w:fill="284B63"/>
            <w:vAlign w:val="center"/>
          </w:tcPr>
          <w:p>
            <w:r>
              <w:rPr>
                <w:b/>
                <w:color w:val="FFFFFF"/>
                <w:sz w:val="15"/>
              </w:rPr>
              <w:t>NPMI</w:t>
            </w:r>
          </w:p>
        </w:tc>
        <w:tc>
          <w:tcPr>
            <w:tcW w:type="dxa" w:w="1643"/>
            <w:shd w:fill="284B63"/>
            <w:vAlign w:val="center"/>
          </w:tcPr>
          <w:p>
            <w:r>
              <w:rPr>
                <w:b/>
                <w:color w:val="FFFFFF"/>
                <w:sz w:val="15"/>
              </w:rPr>
              <w:t>Diversity</w:t>
            </w:r>
          </w:p>
        </w:tc>
        <w:tc>
          <w:tcPr>
            <w:tcW w:type="dxa" w:w="1643"/>
            <w:shd w:fill="284B63"/>
            <w:vAlign w:val="center"/>
          </w:tcPr>
          <w:p>
            <w:r>
              <w:rPr>
                <w:b/>
                <w:color w:val="FFFFFF"/>
                <w:sz w:val="15"/>
              </w:rPr>
              <w:t>Max topic cosine</w:t>
            </w:r>
          </w:p>
        </w:tc>
        <w:tc>
          <w:tcPr>
            <w:tcW w:type="dxa" w:w="1643"/>
            <w:shd w:fill="284B63"/>
            <w:vAlign w:val="center"/>
          </w:tcPr>
          <w:p>
            <w:r>
              <w:rPr>
                <w:b/>
                <w:color w:val="FFFFFF"/>
                <w:sz w:val="15"/>
              </w:rPr>
              <w:t>Iterations</w:t>
            </w:r>
          </w:p>
        </w:tc>
      </w:tr>
      <w:tr>
        <w:trPr>
          <w:cantSplit/>
        </w:trPr>
        <w:tc>
          <w:tcPr>
            <w:tcW w:type="dxa" w:w="1643"/>
            <w:vAlign w:val="center"/>
          </w:tcPr>
          <w:p>
            <w:pPr>
              <w:spacing w:after="0"/>
            </w:pPr>
            <w:r>
              <w:rPr>
                <w:sz w:val="15"/>
              </w:rPr>
              <w:t>8</w:t>
            </w:r>
          </w:p>
        </w:tc>
        <w:tc>
          <w:tcPr>
            <w:tcW w:type="dxa" w:w="1643"/>
            <w:vAlign w:val="center"/>
          </w:tcPr>
          <w:p>
            <w:pPr>
              <w:spacing w:after="0"/>
            </w:pPr>
            <w:r>
              <w:rPr>
                <w:sz w:val="15"/>
              </w:rPr>
              <w:t>0.98292</w:t>
            </w:r>
          </w:p>
        </w:tc>
        <w:tc>
          <w:tcPr>
            <w:tcW w:type="dxa" w:w="1643"/>
            <w:vAlign w:val="center"/>
          </w:tcPr>
          <w:p>
            <w:pPr>
              <w:spacing w:after="0"/>
            </w:pPr>
            <w:r>
              <w:rPr>
                <w:sz w:val="15"/>
              </w:rPr>
              <w:t>0.1605</w:t>
            </w:r>
          </w:p>
        </w:tc>
        <w:tc>
          <w:tcPr>
            <w:tcW w:type="dxa" w:w="1643"/>
            <w:vAlign w:val="center"/>
          </w:tcPr>
          <w:p>
            <w:pPr>
              <w:spacing w:after="0"/>
            </w:pPr>
            <w:r>
              <w:rPr>
                <w:sz w:val="15"/>
              </w:rPr>
              <w:t>0.875</w:t>
            </w:r>
          </w:p>
        </w:tc>
        <w:tc>
          <w:tcPr>
            <w:tcW w:type="dxa" w:w="1643"/>
            <w:vAlign w:val="center"/>
          </w:tcPr>
          <w:p>
            <w:pPr>
              <w:spacing w:after="0"/>
            </w:pPr>
            <w:r>
              <w:rPr>
                <w:sz w:val="15"/>
              </w:rPr>
              <w:t>0.258</w:t>
            </w:r>
          </w:p>
        </w:tc>
        <w:tc>
          <w:tcPr>
            <w:tcW w:type="dxa" w:w="1643"/>
            <w:vAlign w:val="center"/>
          </w:tcPr>
          <w:p>
            <w:pPr>
              <w:spacing w:after="0"/>
            </w:pPr>
            <w:r>
              <w:rPr>
                <w:sz w:val="15"/>
              </w:rPr>
              <w:t>239</w:t>
            </w:r>
          </w:p>
        </w:tc>
      </w:tr>
      <w:tr>
        <w:trPr>
          <w:cantSplit/>
        </w:trPr>
        <w:tc>
          <w:tcPr>
            <w:tcW w:type="dxa" w:w="1643"/>
            <w:vAlign w:val="center"/>
          </w:tcPr>
          <w:p>
            <w:pPr>
              <w:spacing w:after="0"/>
            </w:pPr>
            <w:r>
              <w:rPr>
                <w:sz w:val="15"/>
              </w:rPr>
              <w:t>10</w:t>
            </w:r>
          </w:p>
        </w:tc>
        <w:tc>
          <w:tcPr>
            <w:tcW w:type="dxa" w:w="1643"/>
            <w:vAlign w:val="center"/>
          </w:tcPr>
          <w:p>
            <w:pPr>
              <w:spacing w:after="0"/>
            </w:pPr>
            <w:r>
              <w:rPr>
                <w:sz w:val="15"/>
              </w:rPr>
              <w:t>0.98074</w:t>
            </w:r>
          </w:p>
        </w:tc>
        <w:tc>
          <w:tcPr>
            <w:tcW w:type="dxa" w:w="1643"/>
            <w:vAlign w:val="center"/>
          </w:tcPr>
          <w:p>
            <w:pPr>
              <w:spacing w:after="0"/>
            </w:pPr>
            <w:r>
              <w:rPr>
                <w:sz w:val="15"/>
              </w:rPr>
              <w:t>0.1454</w:t>
            </w:r>
          </w:p>
        </w:tc>
        <w:tc>
          <w:tcPr>
            <w:tcW w:type="dxa" w:w="1643"/>
            <w:vAlign w:val="center"/>
          </w:tcPr>
          <w:p>
            <w:pPr>
              <w:spacing w:after="0"/>
            </w:pPr>
            <w:r>
              <w:rPr>
                <w:sz w:val="15"/>
              </w:rPr>
              <w:t>0.840</w:t>
            </w:r>
          </w:p>
        </w:tc>
        <w:tc>
          <w:tcPr>
            <w:tcW w:type="dxa" w:w="1643"/>
            <w:vAlign w:val="center"/>
          </w:tcPr>
          <w:p>
            <w:pPr>
              <w:spacing w:after="0"/>
            </w:pPr>
            <w:r>
              <w:rPr>
                <w:sz w:val="15"/>
              </w:rPr>
              <w:t>0.237</w:t>
            </w:r>
          </w:p>
        </w:tc>
        <w:tc>
          <w:tcPr>
            <w:tcW w:type="dxa" w:w="1643"/>
            <w:vAlign w:val="center"/>
          </w:tcPr>
          <w:p>
            <w:pPr>
              <w:spacing w:after="0"/>
            </w:pPr>
            <w:r>
              <w:rPr>
                <w:sz w:val="15"/>
              </w:rPr>
              <w:t>201</w:t>
            </w:r>
          </w:p>
        </w:tc>
      </w:tr>
      <w:tr>
        <w:trPr>
          <w:cantSplit/>
        </w:trPr>
        <w:tc>
          <w:tcPr>
            <w:tcW w:type="dxa" w:w="1643"/>
            <w:vAlign w:val="center"/>
          </w:tcPr>
          <w:p>
            <w:pPr>
              <w:spacing w:after="0"/>
            </w:pPr>
            <w:r>
              <w:rPr>
                <w:sz w:val="15"/>
              </w:rPr>
              <w:t>12</w:t>
            </w:r>
          </w:p>
        </w:tc>
        <w:tc>
          <w:tcPr>
            <w:tcW w:type="dxa" w:w="1643"/>
            <w:vAlign w:val="center"/>
          </w:tcPr>
          <w:p>
            <w:pPr>
              <w:spacing w:after="0"/>
            </w:pPr>
            <w:r>
              <w:rPr>
                <w:sz w:val="15"/>
              </w:rPr>
              <w:t>0.97874</w:t>
            </w:r>
          </w:p>
        </w:tc>
        <w:tc>
          <w:tcPr>
            <w:tcW w:type="dxa" w:w="1643"/>
            <w:vAlign w:val="center"/>
          </w:tcPr>
          <w:p>
            <w:pPr>
              <w:spacing w:after="0"/>
            </w:pPr>
            <w:r>
              <w:rPr>
                <w:sz w:val="15"/>
              </w:rPr>
              <w:t>0.1839</w:t>
            </w:r>
          </w:p>
        </w:tc>
        <w:tc>
          <w:tcPr>
            <w:tcW w:type="dxa" w:w="1643"/>
            <w:vAlign w:val="center"/>
          </w:tcPr>
          <w:p>
            <w:pPr>
              <w:spacing w:after="0"/>
            </w:pPr>
            <w:r>
              <w:rPr>
                <w:sz w:val="15"/>
              </w:rPr>
              <w:t>0.867</w:t>
            </w:r>
          </w:p>
        </w:tc>
        <w:tc>
          <w:tcPr>
            <w:tcW w:type="dxa" w:w="1643"/>
            <w:vAlign w:val="center"/>
          </w:tcPr>
          <w:p>
            <w:pPr>
              <w:spacing w:after="0"/>
            </w:pPr>
            <w:r>
              <w:rPr>
                <w:sz w:val="15"/>
              </w:rPr>
              <w:t>0.201</w:t>
            </w:r>
          </w:p>
        </w:tc>
        <w:tc>
          <w:tcPr>
            <w:tcW w:type="dxa" w:w="1643"/>
            <w:vAlign w:val="center"/>
          </w:tcPr>
          <w:p>
            <w:pPr>
              <w:spacing w:after="0"/>
            </w:pPr>
            <w:r>
              <w:rPr>
                <w:sz w:val="15"/>
              </w:rPr>
              <w:t>149</w:t>
            </w:r>
          </w:p>
        </w:tc>
      </w:tr>
      <w:tr>
        <w:trPr>
          <w:cantSplit/>
        </w:trPr>
        <w:tc>
          <w:tcPr>
            <w:tcW w:type="dxa" w:w="1643"/>
            <w:vAlign w:val="center"/>
          </w:tcPr>
          <w:p>
            <w:pPr>
              <w:spacing w:after="0"/>
            </w:pPr>
            <w:r>
              <w:rPr>
                <w:sz w:val="15"/>
              </w:rPr>
              <w:t>14</w:t>
            </w:r>
          </w:p>
        </w:tc>
        <w:tc>
          <w:tcPr>
            <w:tcW w:type="dxa" w:w="1643"/>
            <w:vAlign w:val="center"/>
          </w:tcPr>
          <w:p>
            <w:pPr>
              <w:spacing w:after="0"/>
            </w:pPr>
            <w:r>
              <w:rPr>
                <w:sz w:val="15"/>
              </w:rPr>
              <w:t>0.97674</w:t>
            </w:r>
          </w:p>
        </w:tc>
        <w:tc>
          <w:tcPr>
            <w:tcW w:type="dxa" w:w="1643"/>
            <w:vAlign w:val="center"/>
          </w:tcPr>
          <w:p>
            <w:pPr>
              <w:spacing w:after="0"/>
            </w:pPr>
            <w:r>
              <w:rPr>
                <w:sz w:val="15"/>
              </w:rPr>
              <w:t>0.1755</w:t>
            </w:r>
          </w:p>
        </w:tc>
        <w:tc>
          <w:tcPr>
            <w:tcW w:type="dxa" w:w="1643"/>
            <w:vAlign w:val="center"/>
          </w:tcPr>
          <w:p>
            <w:pPr>
              <w:spacing w:after="0"/>
            </w:pPr>
            <w:r>
              <w:rPr>
                <w:sz w:val="15"/>
              </w:rPr>
              <w:t>0.825</w:t>
            </w:r>
          </w:p>
        </w:tc>
        <w:tc>
          <w:tcPr>
            <w:tcW w:type="dxa" w:w="1643"/>
            <w:vAlign w:val="center"/>
          </w:tcPr>
          <w:p>
            <w:pPr>
              <w:spacing w:after="0"/>
            </w:pPr>
            <w:r>
              <w:rPr>
                <w:sz w:val="15"/>
              </w:rPr>
              <w:t>0.221</w:t>
            </w:r>
          </w:p>
        </w:tc>
        <w:tc>
          <w:tcPr>
            <w:tcW w:type="dxa" w:w="1643"/>
            <w:vAlign w:val="center"/>
          </w:tcPr>
          <w:p>
            <w:pPr>
              <w:spacing w:after="0"/>
            </w:pPr>
            <w:r>
              <w:rPr>
                <w:sz w:val="15"/>
              </w:rPr>
              <w:t>487</w:t>
            </w:r>
          </w:p>
        </w:tc>
      </w:tr>
      <w:tr>
        <w:trPr>
          <w:cantSplit/>
        </w:trPr>
        <w:tc>
          <w:tcPr>
            <w:tcW w:type="dxa" w:w="1643"/>
            <w:vAlign w:val="center"/>
          </w:tcPr>
          <w:p>
            <w:pPr>
              <w:spacing w:after="0"/>
            </w:pPr>
            <w:r>
              <w:rPr>
                <w:sz w:val="15"/>
              </w:rPr>
              <w:t>16</w:t>
            </w:r>
          </w:p>
        </w:tc>
        <w:tc>
          <w:tcPr>
            <w:tcW w:type="dxa" w:w="1643"/>
            <w:vAlign w:val="center"/>
          </w:tcPr>
          <w:p>
            <w:pPr>
              <w:spacing w:after="0"/>
            </w:pPr>
            <w:r>
              <w:rPr>
                <w:sz w:val="15"/>
              </w:rPr>
              <w:t>0.97485</w:t>
            </w:r>
          </w:p>
        </w:tc>
        <w:tc>
          <w:tcPr>
            <w:tcW w:type="dxa" w:w="1643"/>
            <w:vAlign w:val="center"/>
          </w:tcPr>
          <w:p>
            <w:pPr>
              <w:spacing w:after="0"/>
            </w:pPr>
            <w:r>
              <w:rPr>
                <w:sz w:val="15"/>
              </w:rPr>
              <w:t>0.1783</w:t>
            </w:r>
          </w:p>
        </w:tc>
        <w:tc>
          <w:tcPr>
            <w:tcW w:type="dxa" w:w="1643"/>
            <w:vAlign w:val="center"/>
          </w:tcPr>
          <w:p>
            <w:pPr>
              <w:spacing w:after="0"/>
            </w:pPr>
            <w:r>
              <w:rPr>
                <w:sz w:val="15"/>
              </w:rPr>
              <w:t>0.841</w:t>
            </w:r>
          </w:p>
        </w:tc>
        <w:tc>
          <w:tcPr>
            <w:tcW w:type="dxa" w:w="1643"/>
            <w:vAlign w:val="center"/>
          </w:tcPr>
          <w:p>
            <w:pPr>
              <w:spacing w:after="0"/>
            </w:pPr>
            <w:r>
              <w:rPr>
                <w:sz w:val="15"/>
              </w:rPr>
              <w:t>0.162</w:t>
            </w:r>
          </w:p>
        </w:tc>
        <w:tc>
          <w:tcPr>
            <w:tcW w:type="dxa" w:w="1643"/>
            <w:vAlign w:val="center"/>
          </w:tcPr>
          <w:p>
            <w:pPr>
              <w:spacing w:after="0"/>
            </w:pPr>
            <w:r>
              <w:rPr>
                <w:sz w:val="15"/>
              </w:rPr>
              <w:t>62</w:t>
            </w:r>
          </w:p>
        </w:tc>
      </w:tr>
      <w:tr>
        <w:trPr>
          <w:cantSplit/>
        </w:trPr>
        <w:tc>
          <w:tcPr>
            <w:tcW w:type="dxa" w:w="1643"/>
            <w:vAlign w:val="center"/>
          </w:tcPr>
          <w:p>
            <w:pPr>
              <w:spacing w:after="0"/>
            </w:pPr>
            <w:r>
              <w:rPr>
                <w:sz w:val="15"/>
              </w:rPr>
              <w:t>20</w:t>
            </w:r>
          </w:p>
        </w:tc>
        <w:tc>
          <w:tcPr>
            <w:tcW w:type="dxa" w:w="1643"/>
            <w:vAlign w:val="center"/>
          </w:tcPr>
          <w:p>
            <w:pPr>
              <w:spacing w:after="0"/>
            </w:pPr>
            <w:r>
              <w:rPr>
                <w:sz w:val="15"/>
              </w:rPr>
              <w:t>0.97137</w:t>
            </w:r>
          </w:p>
        </w:tc>
        <w:tc>
          <w:tcPr>
            <w:tcW w:type="dxa" w:w="1643"/>
            <w:vAlign w:val="center"/>
          </w:tcPr>
          <w:p>
            <w:pPr>
              <w:spacing w:after="0"/>
            </w:pPr>
            <w:r>
              <w:rPr>
                <w:sz w:val="15"/>
              </w:rPr>
              <w:t>0.1805</w:t>
            </w:r>
          </w:p>
        </w:tc>
        <w:tc>
          <w:tcPr>
            <w:tcW w:type="dxa" w:w="1643"/>
            <w:vAlign w:val="center"/>
          </w:tcPr>
          <w:p>
            <w:pPr>
              <w:spacing w:after="0"/>
            </w:pPr>
            <w:r>
              <w:rPr>
                <w:sz w:val="15"/>
              </w:rPr>
              <w:t>0.820</w:t>
            </w:r>
          </w:p>
        </w:tc>
        <w:tc>
          <w:tcPr>
            <w:tcW w:type="dxa" w:w="1643"/>
            <w:vAlign w:val="center"/>
          </w:tcPr>
          <w:p>
            <w:pPr>
              <w:spacing w:after="0"/>
            </w:pPr>
            <w:r>
              <w:rPr>
                <w:sz w:val="15"/>
              </w:rPr>
              <w:t>0.140</w:t>
            </w:r>
          </w:p>
        </w:tc>
        <w:tc>
          <w:tcPr>
            <w:tcW w:type="dxa" w:w="1643"/>
            <w:vAlign w:val="center"/>
          </w:tcPr>
          <w:p>
            <w:pPr>
              <w:spacing w:after="0"/>
            </w:pPr>
            <w:r>
              <w:rPr>
                <w:sz w:val="15"/>
              </w:rPr>
              <w:t>282</w:t>
            </w:r>
          </w:p>
        </w:tc>
      </w:tr>
    </w:tbl>
    <w:p>
      <w:pPr>
        <w:spacing w:after="40"/>
      </w:pPr>
    </w:p>
    <w:p>
      <w:pPr>
        <w:spacing w:after="80" w:line="259" w:lineRule="auto"/>
      </w:pPr>
      <w:r>
        <w:t>Quantitative screening advanced k = 12, 16 and 20. Human interpretability review found k = 12 coherent but relatively compact, k = 16 better separated key technical subjects, and k = 20 increasingly fragmented and noisy. The interpretability stage therefore retained k = 12 and k = 16 for formal stability testing.</w:t>
      </w:r>
    </w:p>
    <w:p>
      <w:pPr>
        <w:pStyle w:val="Heading1"/>
        <w:keepNext/>
      </w:pPr>
      <w:r>
        <w:t>4. Stability and preprocessing sensitivity</w:t>
      </w:r>
    </w:p>
    <w:p>
      <w:pPr>
        <w:spacing w:after="80" w:line="259" w:lineRule="auto"/>
      </w:pPr>
      <w:r>
        <w:t>Because NNDSVDa is largely deterministic on an unchanged matrix, stability was assessed through corpus perturbation rather than merely changing random seeds. For k = 12 and k = 16, ten independent runs were fit to 80% subsamples of the corpus. Topics were aligned to the full-corpus reference solution using Hungarian matching on cosine similarity; top-20-term Jaccard overlap and prevalence differences were also recorded.</w:t>
      </w:r>
    </w:p>
    <w:p>
      <w:pPr>
        <w:keepNext/>
        <w:jc w:val="center"/>
      </w:pPr>
      <w:r>
        <w:drawing>
          <wp:inline xmlns:a="http://schemas.openxmlformats.org/drawingml/2006/main" xmlns:pic="http://schemas.openxmlformats.org/drawingml/2006/picture">
            <wp:extent cx="5760720" cy="3405686"/>
            <wp:docPr id="3" name="Picture 3"/>
            <wp:cNvGraphicFramePr>
              <a:graphicFrameLocks noChangeAspect="1"/>
            </wp:cNvGraphicFramePr>
            <a:graphic>
              <a:graphicData uri="http://schemas.openxmlformats.org/drawingml/2006/picture">
                <pic:pic>
                  <pic:nvPicPr>
                    <pic:cNvPr id="0" name="02_global_stability_k12_k16.png"/>
                    <pic:cNvPicPr/>
                  </pic:nvPicPr>
                  <pic:blipFill>
                    <a:blip r:embed="rId12"/>
                    <a:stretch>
                      <a:fillRect/>
                    </a:stretch>
                  </pic:blipFill>
                  <pic:spPr>
                    <a:xfrm>
                      <a:off x="0" y="0"/>
                      <a:ext cx="5760720" cy="3405686"/>
                    </a:xfrm>
                    <a:prstGeom prst="rect"/>
                  </pic:spPr>
                </pic:pic>
              </a:graphicData>
            </a:graphic>
          </wp:inline>
        </w:drawing>
      </w:r>
    </w:p>
    <w:p>
      <w:pPr>
        <w:pStyle w:val="FigureCaption"/>
        <w:jc w:val="center"/>
      </w:pPr>
      <w:r>
        <w:t>Figure 3. Global subsampling stability. k=16 outperformed k=12 on matched cosine similarity, top-term overlap and pairwise run stability, with lower mean absolute prevalence difference and no convergence-warning runs.</w:t>
      </w:r>
    </w:p>
    <w:p>
      <w:pPr>
        <w:spacing w:after="80" w:line="259" w:lineRule="auto"/>
      </w:pPr>
      <w:r>
        <w:t>For k=16, mean matched cosine similarity was 0.947, median 0.998, and 93.8% of matched topics were at least 0.90 similar to their reference topic. Mean top-20 Jaccard overlap was 0.784 and pairwise run cosine was 0.917. The corresponding k=12 values were 0.918, 0.995, 81.7%, 0.708 and 0.880. k=16 also had a smaller mean absolute prevalence difference (0.89 percentage points versus 1.28) and no convergence warnings.</w:t>
      </w:r>
    </w:p>
    <w:p>
      <w:pPr>
        <w:keepNext/>
        <w:jc w:val="center"/>
      </w:pPr>
      <w:r>
        <w:drawing>
          <wp:inline xmlns:a="http://schemas.openxmlformats.org/drawingml/2006/main" xmlns:pic="http://schemas.openxmlformats.org/drawingml/2006/picture">
            <wp:extent cx="5532120" cy="3140505"/>
            <wp:docPr id="4" name="Picture 4"/>
            <wp:cNvGraphicFramePr>
              <a:graphicFrameLocks noChangeAspect="1"/>
            </wp:cNvGraphicFramePr>
            <a:graphic>
              <a:graphicData uri="http://schemas.openxmlformats.org/drawingml/2006/picture">
                <pic:pic>
                  <pic:nvPicPr>
                    <pic:cNvPr id="0" name="03_topic_stability_and_sensitivity.png"/>
                    <pic:cNvPicPr/>
                  </pic:nvPicPr>
                  <pic:blipFill>
                    <a:blip r:embed="rId13"/>
                    <a:stretch>
                      <a:fillRect/>
                    </a:stretch>
                  </pic:blipFill>
                  <pic:spPr>
                    <a:xfrm>
                      <a:off x="0" y="0"/>
                      <a:ext cx="5532120" cy="3140505"/>
                    </a:xfrm>
                    <a:prstGeom prst="rect"/>
                  </pic:spPr>
                </pic:pic>
              </a:graphicData>
            </a:graphic>
          </wp:inline>
        </w:drawing>
      </w:r>
    </w:p>
    <w:p>
      <w:pPr>
        <w:pStyle w:val="FigureCaption"/>
        <w:jc w:val="center"/>
      </w:pPr>
      <w:r>
        <w:t>Figure 4. Topic-level stability and preprocessing sensitivity for the final k=16 solution. Most technical topics are extremely stable. Topic 6 changes sharply when praise vocabulary is deliberately removed, while Topic 16 is more diffuse and preprocessing-sensitive.</w:t>
      </w:r>
    </w:p>
    <w:p>
      <w:pPr>
        <w:spacing w:after="80" w:line="259" w:lineRule="auto"/>
      </w:pPr>
      <w:r>
        <w:t>The content-focused preprocessing sensitivity model was fit at k=16 and aligned to the inclusive primary model. The mean matched cosine similarity was 0.893, median 0.994, with 81.2% of topics at or above 0.90 similarity and 87.5% at or above 0.80. Technical topics were highly preserved. Topic 6 (praise, gratitude and social endorsement) largely disappeared, as expected because the sensitivity representation removed its defining vocabulary. Topic 16 was also comparatively sensitive, supporting its lower-confidence cross-cutting interpretation rather than invalidating the overall solution.</w:t>
      </w:r>
    </w:p>
    <w:p>
      <w:pPr>
        <w:pStyle w:val="Heading1"/>
        <w:keepNext/>
      </w:pPr>
      <w:r>
        <w:t>5. Locked k=16 topic solution</w:t>
      </w:r>
    </w:p>
    <w:p>
      <w:pPr>
        <w:spacing w:after="80" w:line="259" w:lineRule="auto"/>
      </w:pPr>
      <w:r>
        <w:t>After stability and sensitivity testing, the inclusive k=16 solution was locked. All 16 topics were retained. The final structure contains seven technical subjects, seven knowledge-sharing behaviours, one social-interaction component and one mixed/contextual component. Confidence scores were 5/5 for eight topics, 4/5 for six topics and 3/5 for two cross-cutting discourse topics (Topics 10 and 16).</w:t>
      </w:r>
    </w:p>
    <w:tbl>
      <w:tblPr>
        <w:tblStyle w:val="TableGrid"/>
        <w:tblW w:type="auto" w:w="0"/>
        <w:jc w:val="center"/>
        <w:tblLook w:firstColumn="1" w:firstRow="1" w:lastColumn="0" w:lastRow="0" w:noHBand="0" w:noVBand="1" w:val="04A0"/>
      </w:tblPr>
      <w:tblGrid>
        <w:gridCol w:w="1643"/>
        <w:gridCol w:w="1643"/>
        <w:gridCol w:w="1643"/>
        <w:gridCol w:w="1643"/>
        <w:gridCol w:w="1643"/>
        <w:gridCol w:w="1643"/>
      </w:tblGrid>
      <w:tr>
        <w:trPr>
          <w:tblHeader w:val="true"/>
        </w:trPr>
        <w:tc>
          <w:tcPr>
            <w:tcW w:type="dxa" w:w="680"/>
            <w:shd w:fill="284B63"/>
            <w:vAlign w:val="center"/>
          </w:tcPr>
          <w:p>
            <w:r>
              <w:rPr>
                <w:b/>
                <w:color w:val="FFFFFF"/>
                <w:sz w:val="13"/>
              </w:rPr>
              <w:t>Topic</w:t>
            </w:r>
          </w:p>
        </w:tc>
        <w:tc>
          <w:tcPr>
            <w:tcW w:type="dxa" w:w="4365"/>
            <w:shd w:fill="284B63"/>
            <w:vAlign w:val="center"/>
          </w:tcPr>
          <w:p>
            <w:r>
              <w:rPr>
                <w:b/>
                <w:color w:val="FFFFFF"/>
                <w:sz w:val="13"/>
              </w:rPr>
              <w:t>Locked label</w:t>
            </w:r>
          </w:p>
        </w:tc>
        <w:tc>
          <w:tcPr>
            <w:tcW w:type="dxa" w:w="1814"/>
            <w:shd w:fill="284B63"/>
            <w:vAlign w:val="center"/>
          </w:tcPr>
          <w:p>
            <w:r>
              <w:rPr>
                <w:b/>
                <w:color w:val="FFFFFF"/>
                <w:sz w:val="13"/>
              </w:rPr>
              <w:t>Type</w:t>
            </w:r>
          </w:p>
        </w:tc>
        <w:tc>
          <w:tcPr>
            <w:tcW w:type="dxa" w:w="680"/>
            <w:shd w:fill="284B63"/>
            <w:vAlign w:val="center"/>
          </w:tcPr>
          <w:p>
            <w:r>
              <w:rPr>
                <w:b/>
                <w:color w:val="FFFFFF"/>
                <w:sz w:val="13"/>
              </w:rPr>
              <w:t>Conf.</w:t>
            </w:r>
          </w:p>
        </w:tc>
        <w:tc>
          <w:tcPr>
            <w:tcW w:type="dxa" w:w="907"/>
            <w:shd w:fill="284B63"/>
            <w:vAlign w:val="center"/>
          </w:tcPr>
          <w:p>
            <w:r>
              <w:rPr>
                <w:b/>
                <w:color w:val="FFFFFF"/>
                <w:sz w:val="13"/>
              </w:rPr>
              <w:t>Dominant</w:t>
            </w:r>
          </w:p>
        </w:tc>
        <w:tc>
          <w:tcPr>
            <w:tcW w:type="dxa" w:w="794"/>
            <w:shd w:fill="284B63"/>
            <w:vAlign w:val="center"/>
          </w:tcPr>
          <w:p>
            <w:r>
              <w:rPr>
                <w:b/>
                <w:color w:val="FFFFFF"/>
                <w:sz w:val="13"/>
              </w:rPr>
              <w:t>Soft</w:t>
            </w:r>
          </w:p>
        </w:tc>
      </w:tr>
      <w:tr>
        <w:trPr>
          <w:cantSplit/>
        </w:trPr>
        <w:tc>
          <w:tcPr>
            <w:tcW w:type="dxa" w:w="680"/>
            <w:vAlign w:val="center"/>
          </w:tcPr>
          <w:p>
            <w:pPr>
              <w:spacing w:after="0"/>
            </w:pPr>
            <w:r>
              <w:rPr>
                <w:sz w:val="13"/>
              </w:rPr>
              <w:t>T01</w:t>
            </w:r>
          </w:p>
        </w:tc>
        <w:tc>
          <w:tcPr>
            <w:tcW w:type="dxa" w:w="4365"/>
            <w:vAlign w:val="center"/>
          </w:tcPr>
          <w:p>
            <w:pPr>
              <w:spacing w:after="0"/>
            </w:pPr>
            <w:r>
              <w:rPr>
                <w:sz w:val="13"/>
              </w:rPr>
              <w:t>Situated household retrofit experience and building context</w:t>
            </w:r>
          </w:p>
        </w:tc>
        <w:tc>
          <w:tcPr>
            <w:tcW w:type="dxa" w:w="1814"/>
            <w:vAlign w:val="center"/>
          </w:tcPr>
          <w:p>
            <w:pPr>
              <w:spacing w:after="0"/>
            </w:pPr>
            <w:r>
              <w:rPr>
                <w:sz w:val="13"/>
              </w:rPr>
              <w:t>mixed</w:t>
            </w:r>
          </w:p>
        </w:tc>
        <w:tc>
          <w:tcPr>
            <w:tcW w:type="dxa" w:w="680"/>
            <w:vAlign w:val="center"/>
          </w:tcPr>
          <w:p>
            <w:pPr>
              <w:spacing w:after="0"/>
            </w:pPr>
            <w:r>
              <w:rPr>
                <w:sz w:val="13"/>
              </w:rPr>
              <w:t>4</w:t>
            </w:r>
          </w:p>
        </w:tc>
        <w:tc>
          <w:tcPr>
            <w:tcW w:type="dxa" w:w="907"/>
            <w:vAlign w:val="center"/>
          </w:tcPr>
          <w:p>
            <w:pPr>
              <w:spacing w:after="0"/>
            </w:pPr>
            <w:r>
              <w:rPr>
                <w:sz w:val="13"/>
              </w:rPr>
              <w:t>12.0%</w:t>
            </w:r>
          </w:p>
        </w:tc>
        <w:tc>
          <w:tcPr>
            <w:tcW w:type="dxa" w:w="794"/>
            <w:vAlign w:val="center"/>
          </w:tcPr>
          <w:p>
            <w:pPr>
              <w:spacing w:after="0"/>
            </w:pPr>
            <w:r>
              <w:rPr>
                <w:sz w:val="13"/>
              </w:rPr>
              <w:t>14.0%</w:t>
            </w:r>
          </w:p>
        </w:tc>
      </w:tr>
      <w:tr>
        <w:trPr>
          <w:cantSplit/>
        </w:trPr>
        <w:tc>
          <w:tcPr>
            <w:tcW w:type="dxa" w:w="680"/>
            <w:vAlign w:val="center"/>
          </w:tcPr>
          <w:p>
            <w:pPr>
              <w:spacing w:after="0"/>
            </w:pPr>
            <w:r>
              <w:rPr>
                <w:sz w:val="13"/>
              </w:rPr>
              <w:t>T02</w:t>
            </w:r>
          </w:p>
        </w:tc>
        <w:tc>
          <w:tcPr>
            <w:tcW w:type="dxa" w:w="4365"/>
            <w:vAlign w:val="center"/>
          </w:tcPr>
          <w:p>
            <w:pPr>
              <w:spacing w:after="0"/>
            </w:pPr>
            <w:r>
              <w:rPr>
                <w:sz w:val="13"/>
              </w:rPr>
              <w:t>Spray foam and foam insulation</w:t>
            </w:r>
          </w:p>
        </w:tc>
        <w:tc>
          <w:tcPr>
            <w:tcW w:type="dxa" w:w="1814"/>
            <w:vAlign w:val="center"/>
          </w:tcPr>
          <w:p>
            <w:pPr>
              <w:spacing w:after="0"/>
            </w:pPr>
            <w:r>
              <w:rPr>
                <w:sz w:val="13"/>
              </w:rPr>
              <w:t>technical subject</w:t>
            </w:r>
          </w:p>
        </w:tc>
        <w:tc>
          <w:tcPr>
            <w:tcW w:type="dxa" w:w="680"/>
            <w:vAlign w:val="center"/>
          </w:tcPr>
          <w:p>
            <w:pPr>
              <w:spacing w:after="0"/>
            </w:pPr>
            <w:r>
              <w:rPr>
                <w:sz w:val="13"/>
              </w:rPr>
              <w:t>5</w:t>
            </w:r>
          </w:p>
        </w:tc>
        <w:tc>
          <w:tcPr>
            <w:tcW w:type="dxa" w:w="907"/>
            <w:vAlign w:val="center"/>
          </w:tcPr>
          <w:p>
            <w:pPr>
              <w:spacing w:after="0"/>
            </w:pPr>
            <w:r>
              <w:rPr>
                <w:sz w:val="13"/>
              </w:rPr>
              <w:t>3.9%</w:t>
            </w:r>
          </w:p>
        </w:tc>
        <w:tc>
          <w:tcPr>
            <w:tcW w:type="dxa" w:w="794"/>
            <w:vAlign w:val="center"/>
          </w:tcPr>
          <w:p>
            <w:pPr>
              <w:spacing w:after="0"/>
            </w:pPr>
            <w:r>
              <w:rPr>
                <w:sz w:val="13"/>
              </w:rPr>
              <w:t>3.4%</w:t>
            </w:r>
          </w:p>
        </w:tc>
      </w:tr>
      <w:tr>
        <w:trPr>
          <w:cantSplit/>
        </w:trPr>
        <w:tc>
          <w:tcPr>
            <w:tcW w:type="dxa" w:w="680"/>
            <w:vAlign w:val="center"/>
          </w:tcPr>
          <w:p>
            <w:pPr>
              <w:spacing w:after="0"/>
            </w:pPr>
            <w:r>
              <w:rPr>
                <w:sz w:val="13"/>
              </w:rPr>
              <w:t>T03</w:t>
            </w:r>
          </w:p>
        </w:tc>
        <w:tc>
          <w:tcPr>
            <w:tcW w:type="dxa" w:w="4365"/>
            <w:vAlign w:val="center"/>
          </w:tcPr>
          <w:p>
            <w:pPr>
              <w:spacing w:after="0"/>
            </w:pPr>
            <w:r>
              <w:rPr>
                <w:sz w:val="13"/>
              </w:rPr>
              <w:t>Clarification and specification questions</w:t>
            </w:r>
          </w:p>
        </w:tc>
        <w:tc>
          <w:tcPr>
            <w:tcW w:type="dxa" w:w="1814"/>
            <w:vAlign w:val="center"/>
          </w:tcPr>
          <w:p>
            <w:pPr>
              <w:spacing w:after="0"/>
            </w:pPr>
            <w:r>
              <w:rPr>
                <w:sz w:val="13"/>
              </w:rPr>
              <w:t>knowledge sharing behaviour</w:t>
            </w:r>
          </w:p>
        </w:tc>
        <w:tc>
          <w:tcPr>
            <w:tcW w:type="dxa" w:w="680"/>
            <w:vAlign w:val="center"/>
          </w:tcPr>
          <w:p>
            <w:pPr>
              <w:spacing w:after="0"/>
            </w:pPr>
            <w:r>
              <w:rPr>
                <w:sz w:val="13"/>
              </w:rPr>
              <w:t>4</w:t>
            </w:r>
          </w:p>
        </w:tc>
        <w:tc>
          <w:tcPr>
            <w:tcW w:type="dxa" w:w="907"/>
            <w:vAlign w:val="center"/>
          </w:tcPr>
          <w:p>
            <w:pPr>
              <w:spacing w:after="0"/>
            </w:pPr>
            <w:r>
              <w:rPr>
                <w:sz w:val="13"/>
              </w:rPr>
              <w:t>6.6%</w:t>
            </w:r>
          </w:p>
        </w:tc>
        <w:tc>
          <w:tcPr>
            <w:tcW w:type="dxa" w:w="794"/>
            <w:vAlign w:val="center"/>
          </w:tcPr>
          <w:p>
            <w:pPr>
              <w:spacing w:after="0"/>
            </w:pPr>
            <w:r>
              <w:rPr>
                <w:sz w:val="13"/>
              </w:rPr>
              <w:t>6.6%</w:t>
            </w:r>
          </w:p>
        </w:tc>
      </w:tr>
      <w:tr>
        <w:trPr>
          <w:cantSplit/>
        </w:trPr>
        <w:tc>
          <w:tcPr>
            <w:tcW w:type="dxa" w:w="680"/>
            <w:vAlign w:val="center"/>
          </w:tcPr>
          <w:p>
            <w:pPr>
              <w:spacing w:after="0"/>
            </w:pPr>
            <w:r>
              <w:rPr>
                <w:sz w:val="13"/>
              </w:rPr>
              <w:t>T04</w:t>
            </w:r>
          </w:p>
        </w:tc>
        <w:tc>
          <w:tcPr>
            <w:tcW w:type="dxa" w:w="4365"/>
            <w:vAlign w:val="center"/>
          </w:tcPr>
          <w:p>
            <w:pPr>
              <w:spacing w:after="0"/>
            </w:pPr>
            <w:r>
              <w:rPr>
                <w:sz w:val="13"/>
              </w:rPr>
              <w:t>Implementation, cost and how-to questions</w:t>
            </w:r>
          </w:p>
        </w:tc>
        <w:tc>
          <w:tcPr>
            <w:tcW w:type="dxa" w:w="1814"/>
            <w:vAlign w:val="center"/>
          </w:tcPr>
          <w:p>
            <w:pPr>
              <w:spacing w:after="0"/>
            </w:pPr>
            <w:r>
              <w:rPr>
                <w:sz w:val="13"/>
              </w:rPr>
              <w:t>knowledge sharing behaviour</w:t>
            </w:r>
          </w:p>
        </w:tc>
        <w:tc>
          <w:tcPr>
            <w:tcW w:type="dxa" w:w="680"/>
            <w:vAlign w:val="center"/>
          </w:tcPr>
          <w:p>
            <w:pPr>
              <w:spacing w:after="0"/>
            </w:pPr>
            <w:r>
              <w:rPr>
                <w:sz w:val="13"/>
              </w:rPr>
              <w:t>4</w:t>
            </w:r>
          </w:p>
        </w:tc>
        <w:tc>
          <w:tcPr>
            <w:tcW w:type="dxa" w:w="907"/>
            <w:vAlign w:val="center"/>
          </w:tcPr>
          <w:p>
            <w:pPr>
              <w:spacing w:after="0"/>
            </w:pPr>
            <w:r>
              <w:rPr>
                <w:sz w:val="13"/>
              </w:rPr>
              <w:t>5.6%</w:t>
            </w:r>
          </w:p>
        </w:tc>
        <w:tc>
          <w:tcPr>
            <w:tcW w:type="dxa" w:w="794"/>
            <w:vAlign w:val="center"/>
          </w:tcPr>
          <w:p>
            <w:pPr>
              <w:spacing w:after="0"/>
            </w:pPr>
            <w:r>
              <w:rPr>
                <w:sz w:val="13"/>
              </w:rPr>
              <w:t>5.4%</w:t>
            </w:r>
          </w:p>
        </w:tc>
      </w:tr>
      <w:tr>
        <w:trPr>
          <w:cantSplit/>
        </w:trPr>
        <w:tc>
          <w:tcPr>
            <w:tcW w:type="dxa" w:w="680"/>
            <w:vAlign w:val="center"/>
          </w:tcPr>
          <w:p>
            <w:pPr>
              <w:spacing w:after="0"/>
            </w:pPr>
            <w:r>
              <w:rPr>
                <w:sz w:val="13"/>
              </w:rPr>
              <w:t>T05</w:t>
            </w:r>
          </w:p>
        </w:tc>
        <w:tc>
          <w:tcPr>
            <w:tcW w:type="dxa" w:w="4365"/>
            <w:vAlign w:val="center"/>
          </w:tcPr>
          <w:p>
            <w:pPr>
              <w:spacing w:after="0"/>
            </w:pPr>
            <w:r>
              <w:rPr>
                <w:sz w:val="13"/>
              </w:rPr>
              <w:t>Heat pumps and heating systems</w:t>
            </w:r>
          </w:p>
        </w:tc>
        <w:tc>
          <w:tcPr>
            <w:tcW w:type="dxa" w:w="1814"/>
            <w:vAlign w:val="center"/>
          </w:tcPr>
          <w:p>
            <w:pPr>
              <w:spacing w:after="0"/>
            </w:pPr>
            <w:r>
              <w:rPr>
                <w:sz w:val="13"/>
              </w:rPr>
              <w:t>technical subject</w:t>
            </w:r>
          </w:p>
        </w:tc>
        <w:tc>
          <w:tcPr>
            <w:tcW w:type="dxa" w:w="680"/>
            <w:vAlign w:val="center"/>
          </w:tcPr>
          <w:p>
            <w:pPr>
              <w:spacing w:after="0"/>
            </w:pPr>
            <w:r>
              <w:rPr>
                <w:sz w:val="13"/>
              </w:rPr>
              <w:t>5</w:t>
            </w:r>
          </w:p>
        </w:tc>
        <w:tc>
          <w:tcPr>
            <w:tcW w:type="dxa" w:w="907"/>
            <w:vAlign w:val="center"/>
          </w:tcPr>
          <w:p>
            <w:pPr>
              <w:spacing w:after="0"/>
            </w:pPr>
            <w:r>
              <w:rPr>
                <w:sz w:val="13"/>
              </w:rPr>
              <w:t>7.0%</w:t>
            </w:r>
          </w:p>
        </w:tc>
        <w:tc>
          <w:tcPr>
            <w:tcW w:type="dxa" w:w="794"/>
            <w:vAlign w:val="center"/>
          </w:tcPr>
          <w:p>
            <w:pPr>
              <w:spacing w:after="0"/>
            </w:pPr>
            <w:r>
              <w:rPr>
                <w:sz w:val="13"/>
              </w:rPr>
              <w:t>6.2%</w:t>
            </w:r>
          </w:p>
        </w:tc>
      </w:tr>
      <w:tr>
        <w:trPr>
          <w:cantSplit/>
        </w:trPr>
        <w:tc>
          <w:tcPr>
            <w:tcW w:type="dxa" w:w="680"/>
            <w:vAlign w:val="center"/>
          </w:tcPr>
          <w:p>
            <w:pPr>
              <w:spacing w:after="0"/>
            </w:pPr>
            <w:r>
              <w:rPr>
                <w:sz w:val="13"/>
              </w:rPr>
              <w:t>T06</w:t>
            </w:r>
          </w:p>
        </w:tc>
        <w:tc>
          <w:tcPr>
            <w:tcW w:type="dxa" w:w="4365"/>
            <w:vAlign w:val="center"/>
          </w:tcPr>
          <w:p>
            <w:pPr>
              <w:spacing w:after="0"/>
            </w:pPr>
            <w:r>
              <w:rPr>
                <w:sz w:val="13"/>
              </w:rPr>
              <w:t>Praise, gratitude and social endorsement</w:t>
            </w:r>
          </w:p>
        </w:tc>
        <w:tc>
          <w:tcPr>
            <w:tcW w:type="dxa" w:w="1814"/>
            <w:vAlign w:val="center"/>
          </w:tcPr>
          <w:p>
            <w:pPr>
              <w:spacing w:after="0"/>
            </w:pPr>
            <w:r>
              <w:rPr>
                <w:sz w:val="13"/>
              </w:rPr>
              <w:t>social interaction</w:t>
            </w:r>
          </w:p>
        </w:tc>
        <w:tc>
          <w:tcPr>
            <w:tcW w:type="dxa" w:w="680"/>
            <w:vAlign w:val="center"/>
          </w:tcPr>
          <w:p>
            <w:pPr>
              <w:spacing w:after="0"/>
            </w:pPr>
            <w:r>
              <w:rPr>
                <w:sz w:val="13"/>
              </w:rPr>
              <w:t>5</w:t>
            </w:r>
          </w:p>
        </w:tc>
        <w:tc>
          <w:tcPr>
            <w:tcW w:type="dxa" w:w="907"/>
            <w:vAlign w:val="center"/>
          </w:tcPr>
          <w:p>
            <w:pPr>
              <w:spacing w:after="0"/>
            </w:pPr>
            <w:r>
              <w:rPr>
                <w:sz w:val="13"/>
              </w:rPr>
              <w:t>8.8%</w:t>
            </w:r>
          </w:p>
        </w:tc>
        <w:tc>
          <w:tcPr>
            <w:tcW w:type="dxa" w:w="794"/>
            <w:vAlign w:val="center"/>
          </w:tcPr>
          <w:p>
            <w:pPr>
              <w:spacing w:after="0"/>
            </w:pPr>
            <w:r>
              <w:rPr>
                <w:sz w:val="13"/>
              </w:rPr>
              <w:t>8.2%</w:t>
            </w:r>
          </w:p>
        </w:tc>
      </w:tr>
      <w:tr>
        <w:trPr>
          <w:cantSplit/>
        </w:trPr>
        <w:tc>
          <w:tcPr>
            <w:tcW w:type="dxa" w:w="680"/>
            <w:vAlign w:val="center"/>
          </w:tcPr>
          <w:p>
            <w:pPr>
              <w:spacing w:after="0"/>
            </w:pPr>
            <w:r>
              <w:rPr>
                <w:sz w:val="13"/>
              </w:rPr>
              <w:t>T07</w:t>
            </w:r>
          </w:p>
        </w:tc>
        <w:tc>
          <w:tcPr>
            <w:tcW w:type="dxa" w:w="4365"/>
            <w:vAlign w:val="center"/>
          </w:tcPr>
          <w:p>
            <w:pPr>
              <w:spacing w:after="0"/>
            </w:pPr>
            <w:r>
              <w:rPr>
                <w:sz w:val="13"/>
              </w:rPr>
              <w:t>Alternative methods, challenges and "why" questions</w:t>
            </w:r>
          </w:p>
        </w:tc>
        <w:tc>
          <w:tcPr>
            <w:tcW w:type="dxa" w:w="1814"/>
            <w:vAlign w:val="center"/>
          </w:tcPr>
          <w:p>
            <w:pPr>
              <w:spacing w:after="0"/>
            </w:pPr>
            <w:r>
              <w:rPr>
                <w:sz w:val="13"/>
              </w:rPr>
              <w:t>knowledge sharing behaviour</w:t>
            </w:r>
          </w:p>
        </w:tc>
        <w:tc>
          <w:tcPr>
            <w:tcW w:type="dxa" w:w="680"/>
            <w:vAlign w:val="center"/>
          </w:tcPr>
          <w:p>
            <w:pPr>
              <w:spacing w:after="0"/>
            </w:pPr>
            <w:r>
              <w:rPr>
                <w:sz w:val="13"/>
              </w:rPr>
              <w:t>4</w:t>
            </w:r>
          </w:p>
        </w:tc>
        <w:tc>
          <w:tcPr>
            <w:tcW w:type="dxa" w:w="907"/>
            <w:vAlign w:val="center"/>
          </w:tcPr>
          <w:p>
            <w:pPr>
              <w:spacing w:after="0"/>
            </w:pPr>
            <w:r>
              <w:rPr>
                <w:sz w:val="13"/>
              </w:rPr>
              <w:t>4.1%</w:t>
            </w:r>
          </w:p>
        </w:tc>
        <w:tc>
          <w:tcPr>
            <w:tcW w:type="dxa" w:w="794"/>
            <w:vAlign w:val="center"/>
          </w:tcPr>
          <w:p>
            <w:pPr>
              <w:spacing w:after="0"/>
            </w:pPr>
            <w:r>
              <w:rPr>
                <w:sz w:val="13"/>
              </w:rPr>
              <w:t>4.8%</w:t>
            </w:r>
          </w:p>
        </w:tc>
      </w:tr>
      <w:tr>
        <w:trPr>
          <w:cantSplit/>
        </w:trPr>
        <w:tc>
          <w:tcPr>
            <w:tcW w:type="dxa" w:w="680"/>
            <w:vAlign w:val="center"/>
          </w:tcPr>
          <w:p>
            <w:pPr>
              <w:spacing w:after="0"/>
            </w:pPr>
            <w:r>
              <w:rPr>
                <w:sz w:val="13"/>
              </w:rPr>
              <w:t>T08</w:t>
            </w:r>
          </w:p>
        </w:tc>
        <w:tc>
          <w:tcPr>
            <w:tcW w:type="dxa" w:w="4365"/>
            <w:vAlign w:val="center"/>
          </w:tcPr>
          <w:p>
            <w:pPr>
              <w:spacing w:after="0"/>
            </w:pPr>
            <w:r>
              <w:rPr>
                <w:sz w:val="13"/>
              </w:rPr>
              <w:t>Solar PV, batteries and power systems</w:t>
            </w:r>
          </w:p>
        </w:tc>
        <w:tc>
          <w:tcPr>
            <w:tcW w:type="dxa" w:w="1814"/>
            <w:vAlign w:val="center"/>
          </w:tcPr>
          <w:p>
            <w:pPr>
              <w:spacing w:after="0"/>
            </w:pPr>
            <w:r>
              <w:rPr>
                <w:sz w:val="13"/>
              </w:rPr>
              <w:t>technical subject</w:t>
            </w:r>
          </w:p>
        </w:tc>
        <w:tc>
          <w:tcPr>
            <w:tcW w:type="dxa" w:w="680"/>
            <w:vAlign w:val="center"/>
          </w:tcPr>
          <w:p>
            <w:pPr>
              <w:spacing w:after="0"/>
            </w:pPr>
            <w:r>
              <w:rPr>
                <w:sz w:val="13"/>
              </w:rPr>
              <w:t>5</w:t>
            </w:r>
          </w:p>
        </w:tc>
        <w:tc>
          <w:tcPr>
            <w:tcW w:type="dxa" w:w="907"/>
            <w:vAlign w:val="center"/>
          </w:tcPr>
          <w:p>
            <w:pPr>
              <w:spacing w:after="0"/>
            </w:pPr>
            <w:r>
              <w:rPr>
                <w:sz w:val="13"/>
              </w:rPr>
              <w:t>8.0%</w:t>
            </w:r>
          </w:p>
        </w:tc>
        <w:tc>
          <w:tcPr>
            <w:tcW w:type="dxa" w:w="794"/>
            <w:vAlign w:val="center"/>
          </w:tcPr>
          <w:p>
            <w:pPr>
              <w:spacing w:after="0"/>
            </w:pPr>
            <w:r>
              <w:rPr>
                <w:sz w:val="13"/>
              </w:rPr>
              <w:t>7.3%</w:t>
            </w:r>
          </w:p>
        </w:tc>
      </w:tr>
      <w:tr>
        <w:trPr>
          <w:cantSplit/>
        </w:trPr>
        <w:tc>
          <w:tcPr>
            <w:tcW w:type="dxa" w:w="680"/>
            <w:vAlign w:val="center"/>
          </w:tcPr>
          <w:p>
            <w:pPr>
              <w:spacing w:after="0"/>
            </w:pPr>
            <w:r>
              <w:rPr>
                <w:sz w:val="13"/>
              </w:rPr>
              <w:t>T09</w:t>
            </w:r>
          </w:p>
        </w:tc>
        <w:tc>
          <w:tcPr>
            <w:tcW w:type="dxa" w:w="4365"/>
            <w:vAlign w:val="center"/>
          </w:tcPr>
          <w:p>
            <w:pPr>
              <w:spacing w:after="0"/>
            </w:pPr>
            <w:r>
              <w:rPr>
                <w:sz w:val="13"/>
              </w:rPr>
              <w:t>Performance checking and troubleshooting</w:t>
            </w:r>
          </w:p>
        </w:tc>
        <w:tc>
          <w:tcPr>
            <w:tcW w:type="dxa" w:w="1814"/>
            <w:vAlign w:val="center"/>
          </w:tcPr>
          <w:p>
            <w:pPr>
              <w:spacing w:after="0"/>
            </w:pPr>
            <w:r>
              <w:rPr>
                <w:sz w:val="13"/>
              </w:rPr>
              <w:t>knowledge sharing behaviour</w:t>
            </w:r>
          </w:p>
        </w:tc>
        <w:tc>
          <w:tcPr>
            <w:tcW w:type="dxa" w:w="680"/>
            <w:vAlign w:val="center"/>
          </w:tcPr>
          <w:p>
            <w:pPr>
              <w:spacing w:after="0"/>
            </w:pPr>
            <w:r>
              <w:rPr>
                <w:sz w:val="13"/>
              </w:rPr>
              <w:t>4</w:t>
            </w:r>
          </w:p>
        </w:tc>
        <w:tc>
          <w:tcPr>
            <w:tcW w:type="dxa" w:w="907"/>
            <w:vAlign w:val="center"/>
          </w:tcPr>
          <w:p>
            <w:pPr>
              <w:spacing w:after="0"/>
            </w:pPr>
            <w:r>
              <w:rPr>
                <w:sz w:val="13"/>
              </w:rPr>
              <w:t>5.7%</w:t>
            </w:r>
          </w:p>
        </w:tc>
        <w:tc>
          <w:tcPr>
            <w:tcW w:type="dxa" w:w="794"/>
            <w:vAlign w:val="center"/>
          </w:tcPr>
          <w:p>
            <w:pPr>
              <w:spacing w:after="0"/>
            </w:pPr>
            <w:r>
              <w:rPr>
                <w:sz w:val="13"/>
              </w:rPr>
              <w:t>5.8%</w:t>
            </w:r>
          </w:p>
        </w:tc>
      </w:tr>
      <w:tr>
        <w:trPr>
          <w:cantSplit/>
        </w:trPr>
        <w:tc>
          <w:tcPr>
            <w:tcW w:type="dxa" w:w="680"/>
            <w:vAlign w:val="center"/>
          </w:tcPr>
          <w:p>
            <w:pPr>
              <w:spacing w:after="0"/>
            </w:pPr>
            <w:r>
              <w:rPr>
                <w:sz w:val="13"/>
              </w:rPr>
              <w:t>T10</w:t>
            </w:r>
          </w:p>
        </w:tc>
        <w:tc>
          <w:tcPr>
            <w:tcW w:type="dxa" w:w="4365"/>
            <w:vAlign w:val="center"/>
          </w:tcPr>
          <w:p>
            <w:pPr>
              <w:spacing w:after="0"/>
            </w:pPr>
            <w:r>
              <w:rPr>
                <w:sz w:val="13"/>
              </w:rPr>
              <w:t>Implementation follow-up, outcomes and retrospective questions</w:t>
            </w:r>
          </w:p>
        </w:tc>
        <w:tc>
          <w:tcPr>
            <w:tcW w:type="dxa" w:w="1814"/>
            <w:vAlign w:val="center"/>
          </w:tcPr>
          <w:p>
            <w:pPr>
              <w:spacing w:after="0"/>
            </w:pPr>
            <w:r>
              <w:rPr>
                <w:sz w:val="13"/>
              </w:rPr>
              <w:t>knowledge sharing behaviour</w:t>
            </w:r>
          </w:p>
        </w:tc>
        <w:tc>
          <w:tcPr>
            <w:tcW w:type="dxa" w:w="680"/>
            <w:vAlign w:val="center"/>
          </w:tcPr>
          <w:p>
            <w:pPr>
              <w:spacing w:after="0"/>
            </w:pPr>
            <w:r>
              <w:rPr>
                <w:sz w:val="13"/>
              </w:rPr>
              <w:t>3</w:t>
            </w:r>
          </w:p>
        </w:tc>
        <w:tc>
          <w:tcPr>
            <w:tcW w:type="dxa" w:w="907"/>
            <w:vAlign w:val="center"/>
          </w:tcPr>
          <w:p>
            <w:pPr>
              <w:spacing w:after="0"/>
            </w:pPr>
            <w:r>
              <w:rPr>
                <w:sz w:val="13"/>
              </w:rPr>
              <w:t>4.0%</w:t>
            </w:r>
          </w:p>
        </w:tc>
        <w:tc>
          <w:tcPr>
            <w:tcW w:type="dxa" w:w="794"/>
            <w:vAlign w:val="center"/>
          </w:tcPr>
          <w:p>
            <w:pPr>
              <w:spacing w:after="0"/>
            </w:pPr>
            <w:r>
              <w:rPr>
                <w:sz w:val="13"/>
              </w:rPr>
              <w:t>3.7%</w:t>
            </w:r>
          </w:p>
        </w:tc>
      </w:tr>
      <w:tr>
        <w:trPr>
          <w:cantSplit/>
        </w:trPr>
        <w:tc>
          <w:tcPr>
            <w:tcW w:type="dxa" w:w="680"/>
            <w:vAlign w:val="center"/>
          </w:tcPr>
          <w:p>
            <w:pPr>
              <w:spacing w:after="0"/>
            </w:pPr>
            <w:r>
              <w:rPr>
                <w:sz w:val="13"/>
              </w:rPr>
              <w:t>T11</w:t>
            </w:r>
          </w:p>
        </w:tc>
        <w:tc>
          <w:tcPr>
            <w:tcW w:type="dxa" w:w="4365"/>
            <w:vAlign w:val="center"/>
          </w:tcPr>
          <w:p>
            <w:pPr>
              <w:spacing w:after="0"/>
            </w:pPr>
            <w:r>
              <w:rPr>
                <w:sz w:val="13"/>
              </w:rPr>
              <w:t>Product sourcing, access and location questions</w:t>
            </w:r>
          </w:p>
        </w:tc>
        <w:tc>
          <w:tcPr>
            <w:tcW w:type="dxa" w:w="1814"/>
            <w:vAlign w:val="center"/>
          </w:tcPr>
          <w:p>
            <w:pPr>
              <w:spacing w:after="0"/>
            </w:pPr>
            <w:r>
              <w:rPr>
                <w:sz w:val="13"/>
              </w:rPr>
              <w:t>knowledge sharing behaviour</w:t>
            </w:r>
          </w:p>
        </w:tc>
        <w:tc>
          <w:tcPr>
            <w:tcW w:type="dxa" w:w="680"/>
            <w:vAlign w:val="center"/>
          </w:tcPr>
          <w:p>
            <w:pPr>
              <w:spacing w:after="0"/>
            </w:pPr>
            <w:r>
              <w:rPr>
                <w:sz w:val="13"/>
              </w:rPr>
              <w:t>4</w:t>
            </w:r>
          </w:p>
        </w:tc>
        <w:tc>
          <w:tcPr>
            <w:tcW w:type="dxa" w:w="907"/>
            <w:vAlign w:val="center"/>
          </w:tcPr>
          <w:p>
            <w:pPr>
              <w:spacing w:after="0"/>
            </w:pPr>
            <w:r>
              <w:rPr>
                <w:sz w:val="13"/>
              </w:rPr>
              <w:t>2.5%</w:t>
            </w:r>
          </w:p>
        </w:tc>
        <w:tc>
          <w:tcPr>
            <w:tcW w:type="dxa" w:w="794"/>
            <w:vAlign w:val="center"/>
          </w:tcPr>
          <w:p>
            <w:pPr>
              <w:spacing w:after="0"/>
            </w:pPr>
            <w:r>
              <w:rPr>
                <w:sz w:val="13"/>
              </w:rPr>
              <w:t>2.6%</w:t>
            </w:r>
          </w:p>
        </w:tc>
      </w:tr>
      <w:tr>
        <w:trPr>
          <w:cantSplit/>
        </w:trPr>
        <w:tc>
          <w:tcPr>
            <w:tcW w:type="dxa" w:w="680"/>
            <w:vAlign w:val="center"/>
          </w:tcPr>
          <w:p>
            <w:pPr>
              <w:spacing w:after="0"/>
            </w:pPr>
            <w:r>
              <w:rPr>
                <w:sz w:val="13"/>
              </w:rPr>
              <w:t>T12</w:t>
            </w:r>
          </w:p>
        </w:tc>
        <w:tc>
          <w:tcPr>
            <w:tcW w:type="dxa" w:w="4365"/>
            <w:vAlign w:val="center"/>
          </w:tcPr>
          <w:p>
            <w:pPr>
              <w:spacing w:after="0"/>
            </w:pPr>
            <w:r>
              <w:rPr>
                <w:sz w:val="13"/>
              </w:rPr>
              <w:t>Roof and attic ventilation and airflow</w:t>
            </w:r>
          </w:p>
        </w:tc>
        <w:tc>
          <w:tcPr>
            <w:tcW w:type="dxa" w:w="1814"/>
            <w:vAlign w:val="center"/>
          </w:tcPr>
          <w:p>
            <w:pPr>
              <w:spacing w:after="0"/>
            </w:pPr>
            <w:r>
              <w:rPr>
                <w:sz w:val="13"/>
              </w:rPr>
              <w:t>technical subject</w:t>
            </w:r>
          </w:p>
        </w:tc>
        <w:tc>
          <w:tcPr>
            <w:tcW w:type="dxa" w:w="680"/>
            <w:vAlign w:val="center"/>
          </w:tcPr>
          <w:p>
            <w:pPr>
              <w:spacing w:after="0"/>
            </w:pPr>
            <w:r>
              <w:rPr>
                <w:sz w:val="13"/>
              </w:rPr>
              <w:t>5</w:t>
            </w:r>
          </w:p>
        </w:tc>
        <w:tc>
          <w:tcPr>
            <w:tcW w:type="dxa" w:w="907"/>
            <w:vAlign w:val="center"/>
          </w:tcPr>
          <w:p>
            <w:pPr>
              <w:spacing w:after="0"/>
            </w:pPr>
            <w:r>
              <w:rPr>
                <w:sz w:val="13"/>
              </w:rPr>
              <w:t>9.6%</w:t>
            </w:r>
          </w:p>
        </w:tc>
        <w:tc>
          <w:tcPr>
            <w:tcW w:type="dxa" w:w="794"/>
            <w:vAlign w:val="center"/>
          </w:tcPr>
          <w:p>
            <w:pPr>
              <w:spacing w:after="0"/>
            </w:pPr>
            <w:r>
              <w:rPr>
                <w:sz w:val="13"/>
              </w:rPr>
              <w:t>8.6%</w:t>
            </w:r>
          </w:p>
        </w:tc>
      </w:tr>
      <w:tr>
        <w:trPr>
          <w:cantSplit/>
        </w:trPr>
        <w:tc>
          <w:tcPr>
            <w:tcW w:type="dxa" w:w="680"/>
            <w:vAlign w:val="center"/>
          </w:tcPr>
          <w:p>
            <w:pPr>
              <w:spacing w:after="0"/>
            </w:pPr>
            <w:r>
              <w:rPr>
                <w:sz w:val="13"/>
              </w:rPr>
              <w:t>T13</w:t>
            </w:r>
          </w:p>
        </w:tc>
        <w:tc>
          <w:tcPr>
            <w:tcW w:type="dxa" w:w="4365"/>
            <w:vAlign w:val="center"/>
          </w:tcPr>
          <w:p>
            <w:pPr>
              <w:spacing w:after="0"/>
            </w:pPr>
            <w:r>
              <w:rPr>
                <w:sz w:val="13"/>
              </w:rPr>
              <w:t>Wall, cavity and floor insulation</w:t>
            </w:r>
          </w:p>
        </w:tc>
        <w:tc>
          <w:tcPr>
            <w:tcW w:type="dxa" w:w="1814"/>
            <w:vAlign w:val="center"/>
          </w:tcPr>
          <w:p>
            <w:pPr>
              <w:spacing w:after="0"/>
            </w:pPr>
            <w:r>
              <w:rPr>
                <w:sz w:val="13"/>
              </w:rPr>
              <w:t>technical subject</w:t>
            </w:r>
          </w:p>
        </w:tc>
        <w:tc>
          <w:tcPr>
            <w:tcW w:type="dxa" w:w="680"/>
            <w:vAlign w:val="center"/>
          </w:tcPr>
          <w:p>
            <w:pPr>
              <w:spacing w:after="0"/>
            </w:pPr>
            <w:r>
              <w:rPr>
                <w:sz w:val="13"/>
              </w:rPr>
              <w:t>5</w:t>
            </w:r>
          </w:p>
        </w:tc>
        <w:tc>
          <w:tcPr>
            <w:tcW w:type="dxa" w:w="907"/>
            <w:vAlign w:val="center"/>
          </w:tcPr>
          <w:p>
            <w:pPr>
              <w:spacing w:after="0"/>
            </w:pPr>
            <w:r>
              <w:rPr>
                <w:sz w:val="13"/>
              </w:rPr>
              <w:t>7.7%</w:t>
            </w:r>
          </w:p>
        </w:tc>
        <w:tc>
          <w:tcPr>
            <w:tcW w:type="dxa" w:w="794"/>
            <w:vAlign w:val="center"/>
          </w:tcPr>
          <w:p>
            <w:pPr>
              <w:spacing w:after="0"/>
            </w:pPr>
            <w:r>
              <w:rPr>
                <w:sz w:val="13"/>
              </w:rPr>
              <w:t>7.7%</w:t>
            </w:r>
          </w:p>
        </w:tc>
      </w:tr>
      <w:tr>
        <w:trPr>
          <w:cantSplit/>
        </w:trPr>
        <w:tc>
          <w:tcPr>
            <w:tcW w:type="dxa" w:w="680"/>
            <w:vAlign w:val="center"/>
          </w:tcPr>
          <w:p>
            <w:pPr>
              <w:spacing w:after="0"/>
            </w:pPr>
            <w:r>
              <w:rPr>
                <w:sz w:val="13"/>
              </w:rPr>
              <w:t>T14</w:t>
            </w:r>
          </w:p>
        </w:tc>
        <w:tc>
          <w:tcPr>
            <w:tcW w:type="dxa" w:w="4365"/>
            <w:vAlign w:val="center"/>
          </w:tcPr>
          <w:p>
            <w:pPr>
              <w:spacing w:after="0"/>
            </w:pPr>
            <w:r>
              <w:rPr>
                <w:sz w:val="13"/>
              </w:rPr>
              <w:t>Thermostat wiring and smart heating controls</w:t>
            </w:r>
          </w:p>
        </w:tc>
        <w:tc>
          <w:tcPr>
            <w:tcW w:type="dxa" w:w="1814"/>
            <w:vAlign w:val="center"/>
          </w:tcPr>
          <w:p>
            <w:pPr>
              <w:spacing w:after="0"/>
            </w:pPr>
            <w:r>
              <w:rPr>
                <w:sz w:val="13"/>
              </w:rPr>
              <w:t>technical subject</w:t>
            </w:r>
          </w:p>
        </w:tc>
        <w:tc>
          <w:tcPr>
            <w:tcW w:type="dxa" w:w="680"/>
            <w:vAlign w:val="center"/>
          </w:tcPr>
          <w:p>
            <w:pPr>
              <w:spacing w:after="0"/>
            </w:pPr>
            <w:r>
              <w:rPr>
                <w:sz w:val="13"/>
              </w:rPr>
              <w:t>5</w:t>
            </w:r>
          </w:p>
        </w:tc>
        <w:tc>
          <w:tcPr>
            <w:tcW w:type="dxa" w:w="907"/>
            <w:vAlign w:val="center"/>
          </w:tcPr>
          <w:p>
            <w:pPr>
              <w:spacing w:after="0"/>
            </w:pPr>
            <w:r>
              <w:rPr>
                <w:sz w:val="13"/>
              </w:rPr>
              <w:t>4.3%</w:t>
            </w:r>
          </w:p>
        </w:tc>
        <w:tc>
          <w:tcPr>
            <w:tcW w:type="dxa" w:w="794"/>
            <w:vAlign w:val="center"/>
          </w:tcPr>
          <w:p>
            <w:pPr>
              <w:spacing w:after="0"/>
            </w:pPr>
            <w:r>
              <w:rPr>
                <w:sz w:val="13"/>
              </w:rPr>
              <w:t>4.8%</w:t>
            </w:r>
          </w:p>
        </w:tc>
      </w:tr>
      <w:tr>
        <w:trPr>
          <w:cantSplit/>
        </w:trPr>
        <w:tc>
          <w:tcPr>
            <w:tcW w:type="dxa" w:w="680"/>
            <w:vAlign w:val="center"/>
          </w:tcPr>
          <w:p>
            <w:pPr>
              <w:spacing w:after="0"/>
            </w:pPr>
            <w:r>
              <w:rPr>
                <w:sz w:val="13"/>
              </w:rPr>
              <w:t>T15</w:t>
            </w:r>
          </w:p>
        </w:tc>
        <w:tc>
          <w:tcPr>
            <w:tcW w:type="dxa" w:w="4365"/>
            <w:vAlign w:val="center"/>
          </w:tcPr>
          <w:p>
            <w:pPr>
              <w:spacing w:after="0"/>
            </w:pPr>
            <w:r>
              <w:rPr>
                <w:sz w:val="13"/>
              </w:rPr>
              <w:t>Vapour barriers and moisture control</w:t>
            </w:r>
          </w:p>
        </w:tc>
        <w:tc>
          <w:tcPr>
            <w:tcW w:type="dxa" w:w="1814"/>
            <w:vAlign w:val="center"/>
          </w:tcPr>
          <w:p>
            <w:pPr>
              <w:spacing w:after="0"/>
            </w:pPr>
            <w:r>
              <w:rPr>
                <w:sz w:val="13"/>
              </w:rPr>
              <w:t>technical subject</w:t>
            </w:r>
          </w:p>
        </w:tc>
        <w:tc>
          <w:tcPr>
            <w:tcW w:type="dxa" w:w="680"/>
            <w:vAlign w:val="center"/>
          </w:tcPr>
          <w:p>
            <w:pPr>
              <w:spacing w:after="0"/>
            </w:pPr>
            <w:r>
              <w:rPr>
                <w:sz w:val="13"/>
              </w:rPr>
              <w:t>5</w:t>
            </w:r>
          </w:p>
        </w:tc>
        <w:tc>
          <w:tcPr>
            <w:tcW w:type="dxa" w:w="907"/>
            <w:vAlign w:val="center"/>
          </w:tcPr>
          <w:p>
            <w:pPr>
              <w:spacing w:after="0"/>
            </w:pPr>
            <w:r>
              <w:rPr>
                <w:sz w:val="13"/>
              </w:rPr>
              <w:t>3.8%</w:t>
            </w:r>
          </w:p>
        </w:tc>
        <w:tc>
          <w:tcPr>
            <w:tcW w:type="dxa" w:w="794"/>
            <w:vAlign w:val="center"/>
          </w:tcPr>
          <w:p>
            <w:pPr>
              <w:spacing w:after="0"/>
            </w:pPr>
            <w:r>
              <w:rPr>
                <w:sz w:val="13"/>
              </w:rPr>
              <w:t>3.9%</w:t>
            </w:r>
          </w:p>
        </w:tc>
      </w:tr>
      <w:tr>
        <w:trPr>
          <w:cantSplit/>
        </w:trPr>
        <w:tc>
          <w:tcPr>
            <w:tcW w:type="dxa" w:w="680"/>
            <w:vAlign w:val="center"/>
          </w:tcPr>
          <w:p>
            <w:pPr>
              <w:spacing w:after="0"/>
            </w:pPr>
            <w:r>
              <w:rPr>
                <w:sz w:val="13"/>
              </w:rPr>
              <w:t>T16</w:t>
            </w:r>
          </w:p>
        </w:tc>
        <w:tc>
          <w:tcPr>
            <w:tcW w:type="dxa" w:w="4365"/>
            <w:vAlign w:val="center"/>
          </w:tcPr>
          <w:p>
            <w:pPr>
              <w:spacing w:after="0"/>
            </w:pPr>
            <w:r>
              <w:rPr>
                <w:sz w:val="13"/>
              </w:rPr>
              <w:t>Prospective choices, recommendations and alternatives</w:t>
            </w:r>
          </w:p>
        </w:tc>
        <w:tc>
          <w:tcPr>
            <w:tcW w:type="dxa" w:w="1814"/>
            <w:vAlign w:val="center"/>
          </w:tcPr>
          <w:p>
            <w:pPr>
              <w:spacing w:after="0"/>
            </w:pPr>
            <w:r>
              <w:rPr>
                <w:sz w:val="13"/>
              </w:rPr>
              <w:t>knowledge sharing behaviour</w:t>
            </w:r>
          </w:p>
        </w:tc>
        <w:tc>
          <w:tcPr>
            <w:tcW w:type="dxa" w:w="680"/>
            <w:vAlign w:val="center"/>
          </w:tcPr>
          <w:p>
            <w:pPr>
              <w:spacing w:after="0"/>
            </w:pPr>
            <w:r>
              <w:rPr>
                <w:sz w:val="13"/>
              </w:rPr>
              <w:t>3</w:t>
            </w:r>
          </w:p>
        </w:tc>
        <w:tc>
          <w:tcPr>
            <w:tcW w:type="dxa" w:w="907"/>
            <w:vAlign w:val="center"/>
          </w:tcPr>
          <w:p>
            <w:pPr>
              <w:spacing w:after="0"/>
            </w:pPr>
            <w:r>
              <w:rPr>
                <w:sz w:val="13"/>
              </w:rPr>
              <w:t>6.3%</w:t>
            </w:r>
          </w:p>
        </w:tc>
        <w:tc>
          <w:tcPr>
            <w:tcW w:type="dxa" w:w="794"/>
            <w:vAlign w:val="center"/>
          </w:tcPr>
          <w:p>
            <w:pPr>
              <w:spacing w:after="0"/>
            </w:pPr>
            <w:r>
              <w:rPr>
                <w:sz w:val="13"/>
              </w:rPr>
              <w:t>6.8%</w:t>
            </w:r>
          </w:p>
        </w:tc>
      </w:tr>
    </w:tbl>
    <w:p>
      <w:pPr>
        <w:spacing w:after="40"/>
      </w:pPr>
    </w:p>
    <w:p>
      <w:pPr>
        <w:spacing w:after="80" w:line="259" w:lineRule="auto"/>
      </w:pPr>
      <w:r>
        <w:t>Interpretive caution: the locked labels describe the dominant semantic meaning of latent components; they are not manually assigned ground-truth classes. Topic 6 captures social endorsement rather than technical correctness. Topics 12 and 15 were retained despite isolated unstable subsamples because their median stability, substantive coherence and preprocessing robustness were strong.</w:t>
      </w:r>
    </w:p>
    <w:p>
      <w:pPr>
        <w:pStyle w:val="Heading1"/>
        <w:keepNext/>
      </w:pPr>
      <w:r>
        <w:t>6. Standalone comment-level topic structure</w:t>
      </w:r>
    </w:p>
    <w:p>
      <w:pPr>
        <w:spacing w:after="80" w:line="259" w:lineRule="auto"/>
      </w:pPr>
      <w:r>
        <w:t>The final NMF solution is strongly multi-topic. Across 42,443 modelled comments, the median dominant relative weight is 0.473, the median secondary relative weight is 0.223, and the median dominant-secondary margin is 0.201. The median effective topic count is 3.81 (IQR 2.67-5.11). These values show that most comments carry meaningful weight on several components rather than mapping cleanly to one exclusive topic.</w:t>
      </w:r>
    </w:p>
    <w:p>
      <w:pPr>
        <w:keepNext/>
        <w:jc w:val="center"/>
      </w:pPr>
      <w:r>
        <w:drawing>
          <wp:inline xmlns:a="http://schemas.openxmlformats.org/drawingml/2006/main" xmlns:pic="http://schemas.openxmlformats.org/drawingml/2006/picture">
            <wp:extent cx="6126480" cy="5184199"/>
            <wp:docPr id="5" name="Picture 5"/>
            <wp:cNvGraphicFramePr>
              <a:graphicFrameLocks noChangeAspect="1"/>
            </wp:cNvGraphicFramePr>
            <a:graphic>
              <a:graphicData uri="http://schemas.openxmlformats.org/drawingml/2006/picture">
                <pic:pic>
                  <pic:nvPicPr>
                    <pic:cNvPr id="0" name="04_topic_prevalence.png"/>
                    <pic:cNvPicPr/>
                  </pic:nvPicPr>
                  <pic:blipFill>
                    <a:blip r:embed="rId14"/>
                    <a:stretch>
                      <a:fillRect/>
                    </a:stretch>
                  </pic:blipFill>
                  <pic:spPr>
                    <a:xfrm>
                      <a:off x="0" y="0"/>
                      <a:ext cx="6126480" cy="5184199"/>
                    </a:xfrm>
                    <a:prstGeom prst="rect"/>
                  </pic:spPr>
                </pic:pic>
              </a:graphicData>
            </a:graphic>
          </wp:inline>
        </w:drawing>
      </w:r>
    </w:p>
    <w:p>
      <w:pPr>
        <w:pStyle w:val="FigureCaption"/>
        <w:jc w:val="center"/>
      </w:pPr>
      <w:r>
        <w:t>Figure 5. Comment-level topic prevalence. Dominant-topic share gives an interpretable hard summary, while soft prevalence preserves the continuous NMF structure. Both should be reported together.</w:t>
      </w:r>
    </w:p>
    <w:p>
      <w:pPr>
        <w:spacing w:after="80" w:line="259" w:lineRule="auto"/>
      </w:pPr>
      <w:r>
        <w:t>Topic 1, situated household retrofit experience and building context, is the largest component: 12.03% of comments by dominant assignment and 14.02% by soft prevalence. It is also the most common secondary topic for 14 of the other 15 dominant topics, suggesting that house-specific context, prior interventions, climate, occupancy and personal experience form a broad layer across many technical discussions. The main exception is vapour barriers/moisture control (Topic 15), whose most common secondary topic is wall/cavity/floor insulation (Topic 13).</w:t>
      </w:r>
    </w:p>
    <w:p>
      <w:pPr>
        <w:keepNext/>
        <w:jc w:val="center"/>
      </w:pPr>
      <w:r>
        <w:drawing>
          <wp:inline xmlns:a="http://schemas.openxmlformats.org/drawingml/2006/main" xmlns:pic="http://schemas.openxmlformats.org/drawingml/2006/picture">
            <wp:extent cx="5760720" cy="5135196"/>
            <wp:docPr id="6" name="Picture 6"/>
            <wp:cNvGraphicFramePr>
              <a:graphicFrameLocks noChangeAspect="1"/>
            </wp:cNvGraphicFramePr>
            <a:graphic>
              <a:graphicData uri="http://schemas.openxmlformats.org/drawingml/2006/picture">
                <pic:pic>
                  <pic:nvPicPr>
                    <pic:cNvPr id="0" name="05_dominant_secondary_heatmap.png"/>
                    <pic:cNvPicPr/>
                  </pic:nvPicPr>
                  <pic:blipFill>
                    <a:blip r:embed="rId15"/>
                    <a:stretch>
                      <a:fillRect/>
                    </a:stretch>
                  </pic:blipFill>
                  <pic:spPr>
                    <a:xfrm>
                      <a:off x="0" y="0"/>
                      <a:ext cx="5760720" cy="5135196"/>
                    </a:xfrm>
                    <a:prstGeom prst="rect"/>
                  </pic:spPr>
                </pic:pic>
              </a:graphicData>
            </a:graphic>
          </wp:inline>
        </w:drawing>
      </w:r>
    </w:p>
    <w:p>
      <w:pPr>
        <w:pStyle w:val="FigureCaption"/>
        <w:jc w:val="center"/>
      </w:pPr>
      <w:r>
        <w:t>Figure 6. Dominant-secondary topic pairing. Darker cells indicate that a secondary topic is especially common within comments dominated by the row topic. Topic 1 acts as a broad contextual companion across the model.</w:t>
      </w:r>
    </w:p>
    <w:p>
      <w:pPr>
        <w:spacing w:after="80" w:line="259" w:lineRule="auto"/>
      </w:pPr>
      <w:r>
        <w:t>Topic distinctiveness varies. Clarification/specification questions (Topic 3) and spray foam (Topic 2) have comparatively large median dominance margins, while follow-up/outcomes (Topic 10), sourcing/access (Topic 11), prospective recommendations (Topic 16) and troubleshooting (Topic 9) are more intertwined with other components. This supports interpreting several discourse topics as cross-cutting knowledge-sharing behaviours rather than bounded technical subjects.</w:t>
      </w:r>
    </w:p>
    <w:p>
      <w:pPr>
        <w:pStyle w:val="Heading1"/>
        <w:keepNext/>
      </w:pPr>
      <w:r>
        <w:t>7. Video-level context and temporal distribution</w:t>
      </w:r>
    </w:p>
    <w:p>
      <w:pPr>
        <w:spacing w:after="80" w:line="259" w:lineRule="auto"/>
      </w:pPr>
      <w:r>
        <w:t>Aggregating comment-level weights by video produces substantially broader mixtures. The 1,158 NMF videos have a median of 10 modelled comments per video (IQR 3-39). Median video-level dominant topic weight is 0.275, median secondary weight 0.161, median dominance margin 0.090 and median effective topic count 8.81. A video comment section therefore typically spans many of the 16 components.</w:t>
      </w:r>
    </w:p>
    <w:p>
      <w:pPr>
        <w:keepNext/>
        <w:jc w:val="center"/>
      </w:pPr>
      <w:r>
        <w:drawing>
          <wp:inline xmlns:a="http://schemas.openxmlformats.org/drawingml/2006/main" xmlns:pic="http://schemas.openxmlformats.org/drawingml/2006/picture">
            <wp:extent cx="6217920" cy="4414248"/>
            <wp:docPr id="7" name="Picture 7"/>
            <wp:cNvGraphicFramePr>
              <a:graphicFrameLocks noChangeAspect="1"/>
            </wp:cNvGraphicFramePr>
            <a:graphic>
              <a:graphicData uri="http://schemas.openxmlformats.org/drawingml/2006/picture">
                <pic:pic>
                  <pic:nvPicPr>
                    <pic:cNvPr id="0" name="06_video_prevalence_concentration.png"/>
                    <pic:cNvPicPr/>
                  </pic:nvPicPr>
                  <pic:blipFill>
                    <a:blip r:embed="rId16"/>
                    <a:stretch>
                      <a:fillRect/>
                    </a:stretch>
                  </pic:blipFill>
                  <pic:spPr>
                    <a:xfrm>
                      <a:off x="0" y="0"/>
                      <a:ext cx="6217920" cy="4414248"/>
                    </a:xfrm>
                    <a:prstGeom prst="rect"/>
                  </pic:spPr>
                </pic:pic>
              </a:graphicData>
            </a:graphic>
          </wp:inline>
        </w:drawing>
      </w:r>
    </w:p>
    <w:p>
      <w:pPr>
        <w:pStyle w:val="FigureCaption"/>
        <w:jc w:val="center"/>
      </w:pPr>
      <w:r>
        <w:t>Figure 7. Video-level prevalence and concentration. Technical subjects such as spray foam, solar, thermostat wiring and heat pumps are more concentrated in particular videos; interactional topics are generally more diffuse across the corpus.</w:t>
      </w:r>
    </w:p>
    <w:p>
      <w:pPr>
        <w:spacing w:after="80" w:line="259" w:lineRule="auto"/>
      </w:pPr>
      <w:r>
        <w:t>Spray foam is the most concentrated topic: its top 10 contributing videos account for 40.72% of total topic weight. Solar, thermostat wiring, heat pumps, vapour/moisture control, wall/floor insulation and roof/attic airflow also show noticeable concentration. By contrast, clarification, how-to questions, troubleshooting, recommendations and other discourse components are spread more broadly across videos.</w:t>
      </w:r>
    </w:p>
    <w:p>
      <w:pPr>
        <w:keepNext/>
        <w:jc w:val="center"/>
      </w:pPr>
      <w:r>
        <w:drawing>
          <wp:inline xmlns:a="http://schemas.openxmlformats.org/drawingml/2006/main" xmlns:pic="http://schemas.openxmlformats.org/drawingml/2006/picture">
            <wp:extent cx="6217920" cy="4938046"/>
            <wp:docPr id="8" name="Picture 8"/>
            <wp:cNvGraphicFramePr>
              <a:graphicFrameLocks noChangeAspect="1"/>
            </wp:cNvGraphicFramePr>
            <a:graphic>
              <a:graphicData uri="http://schemas.openxmlformats.org/drawingml/2006/picture">
                <pic:pic>
                  <pic:nvPicPr>
                    <pic:cNvPr id="0" name="07_creator_type_heatmap.png"/>
                    <pic:cNvPicPr/>
                  </pic:nvPicPr>
                  <pic:blipFill>
                    <a:blip r:embed="rId17"/>
                    <a:stretch>
                      <a:fillRect/>
                    </a:stretch>
                  </pic:blipFill>
                  <pic:spPr>
                    <a:xfrm>
                      <a:off x="0" y="0"/>
                      <a:ext cx="6217920" cy="4938046"/>
                    </a:xfrm>
                    <a:prstGeom prst="rect"/>
                  </pic:spPr>
                </pic:pic>
              </a:graphicData>
            </a:graphic>
          </wp:inline>
        </w:drawing>
      </w:r>
    </w:p>
    <w:p>
      <w:pPr>
        <w:pStyle w:val="FigureCaption"/>
        <w:jc w:val="center"/>
      </w:pPr>
      <w:r>
        <w:t>Figure 8. Mean video-level NMF topic weight by creator type. These are descriptive contextual associations, not causal effects or quality judgements.</w:t>
      </w:r>
    </w:p>
    <w:p>
      <w:pPr>
        <w:keepNext/>
        <w:jc w:val="center"/>
      </w:pPr>
      <w:r>
        <w:drawing>
          <wp:inline xmlns:a="http://schemas.openxmlformats.org/drawingml/2006/main" xmlns:pic="http://schemas.openxmlformats.org/drawingml/2006/picture">
            <wp:extent cx="6217920" cy="4938046"/>
            <wp:docPr id="9" name="Picture 9"/>
            <wp:cNvGraphicFramePr>
              <a:graphicFrameLocks noChangeAspect="1"/>
            </wp:cNvGraphicFramePr>
            <a:graphic>
              <a:graphicData uri="http://schemas.openxmlformats.org/drawingml/2006/picture">
                <pic:pic>
                  <pic:nvPicPr>
                    <pic:cNvPr id="0" name="08_video_type_heatmap.png"/>
                    <pic:cNvPicPr/>
                  </pic:nvPicPr>
                  <pic:blipFill>
                    <a:blip r:embed="rId18"/>
                    <a:stretch>
                      <a:fillRect/>
                    </a:stretch>
                  </pic:blipFill>
                  <pic:spPr>
                    <a:xfrm>
                      <a:off x="0" y="0"/>
                      <a:ext cx="6217920" cy="4938046"/>
                    </a:xfrm>
                    <a:prstGeom prst="rect"/>
                  </pic:spPr>
                </pic:pic>
              </a:graphicData>
            </a:graphic>
          </wp:inline>
        </w:drawing>
      </w:r>
    </w:p>
    <w:p>
      <w:pPr>
        <w:pStyle w:val="FigureCaption"/>
        <w:jc w:val="center"/>
      </w:pPr>
      <w:r>
        <w:t>Figure 9. Mean video-level NMF topic weight by video type. Problem/warning videos lean toward roof/airflow, contextual building problems and fabric-risk topics; practical explainers lean more toward heat pumps and solar; installation demos show comparatively more thermostat-wiring and procedural/specification discussion.</w:t>
      </w:r>
    </w:p>
    <w:p>
      <w:pPr>
        <w:keepNext/>
        <w:jc w:val="center"/>
      </w:pPr>
      <w:r>
        <w:drawing>
          <wp:inline xmlns:a="http://schemas.openxmlformats.org/drawingml/2006/main" xmlns:pic="http://schemas.openxmlformats.org/drawingml/2006/picture">
            <wp:extent cx="6217920" cy="4586204"/>
            <wp:docPr id="10" name="Picture 10"/>
            <wp:cNvGraphicFramePr>
              <a:graphicFrameLocks noChangeAspect="1"/>
            </wp:cNvGraphicFramePr>
            <a:graphic>
              <a:graphicData uri="http://schemas.openxmlformats.org/drawingml/2006/picture">
                <pic:pic>
                  <pic:nvPicPr>
                    <pic:cNvPr id="0" name="09_publication_year_heatmap.png"/>
                    <pic:cNvPicPr/>
                  </pic:nvPicPr>
                  <pic:blipFill>
                    <a:blip r:embed="rId19"/>
                    <a:stretch>
                      <a:fillRect/>
                    </a:stretch>
                  </pic:blipFill>
                  <pic:spPr>
                    <a:xfrm>
                      <a:off x="0" y="0"/>
                      <a:ext cx="6217920" cy="4586204"/>
                    </a:xfrm>
                    <a:prstGeom prst="rect"/>
                  </pic:spPr>
                </pic:pic>
              </a:graphicData>
            </a:graphic>
          </wp:inline>
        </w:drawing>
      </w:r>
    </w:p>
    <w:p>
      <w:pPr>
        <w:pStyle w:val="FigureCaption"/>
        <w:jc w:val="center"/>
      </w:pPr>
      <w:r>
        <w:t>Figure 10. Mean topic weight by publication year. Annual values describe the composition of observed discussion; they do not measure absolute topic volume. 2026 is a partial year and should not be used to claim a completed-year trend.</w:t>
      </w:r>
    </w:p>
    <w:p>
      <w:pPr>
        <w:spacing w:after="80" w:line="259" w:lineRule="auto"/>
      </w:pPr>
      <w:r>
        <w:t>Across the fuller 2020-2025 period, situated household context, roof/attic airflow, heat-pump discussion, spray foam and alternative/challenge questions generally become more prominent in relative discussion composition, while praise/social endorsement declines. These patterns should remain descriptive because annual video counts differ and the data represent the project sample rather than a census of YouTube.</w:t>
      </w:r>
    </w:p>
    <w:p>
      <w:pPr>
        <w:pStyle w:val="Heading1"/>
        <w:keepNext/>
      </w:pPr>
      <w:r>
        <w:t>8. Metadata and engagement associations</w:t>
      </w:r>
    </w:p>
    <w:p>
      <w:pPr>
        <w:spacing w:after="80" w:line="259" w:lineRule="auto"/>
      </w:pPr>
      <w:r>
        <w:t>The frozen NMF video profiles were linked to neutral video metadata for the same 1,158 videos. Measures included duration, raw views, likes, API comment count, likes per 1,000 views, API comments per 1,000 views, views per day and API comments per day. Spearman rank correlations were used because engagement measures are strongly right-skewed. Age-normalised measures remain provisional because the original metadata snapshot date was not retained.</w:t>
      </w:r>
    </w:p>
    <w:p>
      <w:pPr>
        <w:keepNext/>
        <w:jc w:val="center"/>
      </w:pPr>
      <w:r>
        <w:drawing>
          <wp:inline xmlns:a="http://schemas.openxmlformats.org/drawingml/2006/main" xmlns:pic="http://schemas.openxmlformats.org/drawingml/2006/picture">
            <wp:extent cx="6217920" cy="4248235"/>
            <wp:docPr id="11" name="Picture 11"/>
            <wp:cNvGraphicFramePr>
              <a:graphicFrameLocks noChangeAspect="1"/>
            </wp:cNvGraphicFramePr>
            <a:graphic>
              <a:graphicData uri="http://schemas.openxmlformats.org/drawingml/2006/picture">
                <pic:pic>
                  <pic:nvPicPr>
                    <pic:cNvPr id="0" name="10_engagement_correlation_heatmap.png"/>
                    <pic:cNvPicPr/>
                  </pic:nvPicPr>
                  <pic:blipFill>
                    <a:blip r:embed="rId20"/>
                    <a:stretch>
                      <a:fillRect/>
                    </a:stretch>
                  </pic:blipFill>
                  <pic:spPr>
                    <a:xfrm>
                      <a:off x="0" y="0"/>
                      <a:ext cx="6217920" cy="4248235"/>
                    </a:xfrm>
                    <a:prstGeom prst="rect"/>
                  </pic:spPr>
                </pic:pic>
              </a:graphicData>
            </a:graphic>
          </wp:inline>
        </w:drawing>
      </w:r>
    </w:p>
    <w:p>
      <w:pPr>
        <w:pStyle w:val="FigureCaption"/>
        <w:jc w:val="center"/>
      </w:pPr>
      <w:r>
        <w:t>Figure 11. Full-sample Spearman correlations between video-level NMF topic weight and metadata/engagement. Because the 16 topic weights are compositional and low-comment videos have less stable mixture estimates, this figure is exploratory and must be interpreted with the robustness analysis below.</w:t>
      </w:r>
    </w:p>
    <w:p>
      <w:pPr>
        <w:spacing w:after="80" w:line="259" w:lineRule="auto"/>
      </w:pPr>
      <w:r>
        <w:t>Dominant-topic groups differ across all eight metadata measures in Kruskal-Wallis tests, with the largest effect sizes for API comment count (epsilon-squared = 0.126), API comments per day (0.123) and duration (0.114). These tests compare rank distributions rather than proving topic-specific causal effects. Engagement is also not a proxy for technical quality.</w:t>
      </w:r>
    </w:p>
    <w:p>
      <w:pPr>
        <w:spacing w:after="80" w:line="259" w:lineRule="auto"/>
      </w:pPr>
      <w:r>
        <w:t>A critical diagnostic showed that the number of modelled comments per video is strongly related to apparent mixture breadth: effective topic count correlates 0.781 with modelled-comment count, while dominant-topic weight correlates -0.513. This means unrestricted video-level topic profiles partly reflect how many comments were available, motivating the equal-comment robustness analysis.</w:t>
      </w:r>
    </w:p>
    <w:p>
      <w:pPr>
        <w:pStyle w:val="Heading1"/>
        <w:keepNext/>
      </w:pPr>
      <w:r>
        <w:t>9. Equal-comment robustness</w:t>
      </w:r>
    </w:p>
    <w:p>
      <w:pPr>
        <w:spacing w:after="80" w:line="259" w:lineRule="auto"/>
      </w:pPr>
      <w:r>
        <w:t>To control the unequal number of comments contributing to each video-level profile, exactly 10 comments were sampled from each of 591 eligible videos and exactly 20 comments from each of 433 eligible videos. Sampling was without replacement and repeated 100 times per condition. For each replicate, mean NMF weights were recomputed and topic-metadata Spearman correlations recalculated.</w:t>
      </w:r>
    </w:p>
    <w:p>
      <w:pPr>
        <w:keepNext/>
        <w:jc w:val="center"/>
      </w:pPr>
      <w:r>
        <w:drawing>
          <wp:inline xmlns:a="http://schemas.openxmlformats.org/drawingml/2006/main" xmlns:pic="http://schemas.openxmlformats.org/drawingml/2006/picture">
            <wp:extent cx="5303520" cy="5130408"/>
            <wp:docPr id="12" name="Picture 12"/>
            <wp:cNvGraphicFramePr>
              <a:graphicFrameLocks noChangeAspect="1"/>
            </wp:cNvGraphicFramePr>
            <a:graphic>
              <a:graphicData uri="http://schemas.openxmlformats.org/drawingml/2006/picture">
                <pic:pic>
                  <pic:nvPicPr>
                    <pic:cNvPr id="0" name="11_equal_comment_robustness.png"/>
                    <pic:cNvPicPr/>
                  </pic:nvPicPr>
                  <pic:blipFill>
                    <a:blip r:embed="rId21"/>
                    <a:stretch>
                      <a:fillRect/>
                    </a:stretch>
                  </pic:blipFill>
                  <pic:spPr>
                    <a:xfrm>
                      <a:off x="0" y="0"/>
                      <a:ext cx="5303520" cy="5130408"/>
                    </a:xfrm>
                    <a:prstGeom prst="rect"/>
                  </pic:spPr>
                </pic:pic>
              </a:graphicData>
            </a:graphic>
          </wp:inline>
        </w:drawing>
      </w:r>
    </w:p>
    <w:p>
      <w:pPr>
        <w:pStyle w:val="FigureCaption"/>
        <w:jc w:val="center"/>
      </w:pPr>
      <w:r>
        <w:t>Figure 12. Equal-comment resampling robustness. Each point is one of the 128 topic-metadata associations. Points near the 45-degree line are stable across 10- and 20-comment conditions; highlighted points have empirical 2.5th-97.5th percentile resampling intervals excluding zero in both conditions.</w:t>
      </w:r>
    </w:p>
    <w:tbl>
      <w:tblPr>
        <w:tblStyle w:val="TableGrid"/>
        <w:tblW w:type="auto" w:w="0"/>
        <w:jc w:val="center"/>
        <w:tblLook w:firstColumn="1" w:firstRow="1" w:lastColumn="0" w:lastRow="0" w:noHBand="0" w:noVBand="1" w:val="04A0"/>
      </w:tblPr>
      <w:tblGrid>
        <w:gridCol w:w="1972"/>
        <w:gridCol w:w="1972"/>
        <w:gridCol w:w="1972"/>
        <w:gridCol w:w="1972"/>
        <w:gridCol w:w="1972"/>
      </w:tblGrid>
      <w:tr>
        <w:trPr>
          <w:tblHeader w:val="true"/>
        </w:trPr>
        <w:tc>
          <w:tcPr>
            <w:tcW w:type="dxa" w:w="1972"/>
            <w:shd w:fill="284B63"/>
            <w:vAlign w:val="center"/>
          </w:tcPr>
          <w:p>
            <w:r>
              <w:rPr>
                <w:b/>
                <w:color w:val="FFFFFF"/>
                <w:sz w:val="14"/>
              </w:rPr>
              <w:t>Topic</w:t>
            </w:r>
          </w:p>
        </w:tc>
        <w:tc>
          <w:tcPr>
            <w:tcW w:type="dxa" w:w="1972"/>
            <w:shd w:fill="284B63"/>
            <w:vAlign w:val="center"/>
          </w:tcPr>
          <w:p>
            <w:r>
              <w:rPr>
                <w:b/>
                <w:color w:val="FFFFFF"/>
                <w:sz w:val="14"/>
              </w:rPr>
              <w:t>Label</w:t>
            </w:r>
          </w:p>
        </w:tc>
        <w:tc>
          <w:tcPr>
            <w:tcW w:type="dxa" w:w="1972"/>
            <w:shd w:fill="284B63"/>
            <w:vAlign w:val="center"/>
          </w:tcPr>
          <w:p>
            <w:r>
              <w:rPr>
                <w:b/>
                <w:color w:val="FFFFFF"/>
                <w:sz w:val="14"/>
              </w:rPr>
              <w:t>Metric</w:t>
            </w:r>
          </w:p>
        </w:tc>
        <w:tc>
          <w:tcPr>
            <w:tcW w:type="dxa" w:w="1972"/>
            <w:shd w:fill="284B63"/>
            <w:vAlign w:val="center"/>
          </w:tcPr>
          <w:p>
            <w:r>
              <w:rPr>
                <w:b/>
                <w:color w:val="FFFFFF"/>
                <w:sz w:val="14"/>
              </w:rPr>
              <w:t>Median rho (10)</w:t>
            </w:r>
          </w:p>
        </w:tc>
        <w:tc>
          <w:tcPr>
            <w:tcW w:type="dxa" w:w="1972"/>
            <w:shd w:fill="284B63"/>
            <w:vAlign w:val="center"/>
          </w:tcPr>
          <w:p>
            <w:r>
              <w:rPr>
                <w:b/>
                <w:color w:val="FFFFFF"/>
                <w:sz w:val="14"/>
              </w:rPr>
              <w:t>Median rho (20)</w:t>
            </w:r>
          </w:p>
        </w:tc>
      </w:tr>
      <w:tr>
        <w:trPr>
          <w:cantSplit/>
        </w:trPr>
        <w:tc>
          <w:tcPr>
            <w:tcW w:type="dxa" w:w="1972"/>
            <w:vAlign w:val="center"/>
          </w:tcPr>
          <w:p>
            <w:pPr>
              <w:spacing w:after="0"/>
            </w:pPr>
            <w:r>
              <w:rPr>
                <w:sz w:val="14"/>
              </w:rPr>
              <w:t>T06</w:t>
            </w:r>
          </w:p>
        </w:tc>
        <w:tc>
          <w:tcPr>
            <w:tcW w:type="dxa" w:w="1972"/>
            <w:vAlign w:val="center"/>
          </w:tcPr>
          <w:p>
            <w:pPr>
              <w:spacing w:after="0"/>
            </w:pPr>
            <w:r>
              <w:rPr>
                <w:sz w:val="14"/>
              </w:rPr>
              <w:t>Praise/social endorsement</w:t>
            </w:r>
          </w:p>
        </w:tc>
        <w:tc>
          <w:tcPr>
            <w:tcW w:type="dxa" w:w="1972"/>
            <w:vAlign w:val="center"/>
          </w:tcPr>
          <w:p>
            <w:pPr>
              <w:spacing w:after="0"/>
            </w:pPr>
            <w:r>
              <w:rPr>
                <w:sz w:val="14"/>
              </w:rPr>
              <w:t>duration minutes</w:t>
            </w:r>
          </w:p>
        </w:tc>
        <w:tc>
          <w:tcPr>
            <w:tcW w:type="dxa" w:w="1972"/>
            <w:vAlign w:val="center"/>
          </w:tcPr>
          <w:p>
            <w:pPr>
              <w:spacing w:after="0"/>
            </w:pPr>
            <w:r>
              <w:rPr>
                <w:sz w:val="14"/>
              </w:rPr>
              <w:t>0.396</w:t>
            </w:r>
          </w:p>
        </w:tc>
        <w:tc>
          <w:tcPr>
            <w:tcW w:type="dxa" w:w="1972"/>
            <w:vAlign w:val="center"/>
          </w:tcPr>
          <w:p>
            <w:pPr>
              <w:spacing w:after="0"/>
            </w:pPr>
            <w:r>
              <w:rPr>
                <w:sz w:val="14"/>
              </w:rPr>
              <w:t>0.429</w:t>
            </w:r>
          </w:p>
        </w:tc>
      </w:tr>
      <w:tr>
        <w:trPr>
          <w:cantSplit/>
        </w:trPr>
        <w:tc>
          <w:tcPr>
            <w:tcW w:type="dxa" w:w="1972"/>
            <w:vAlign w:val="center"/>
          </w:tcPr>
          <w:p>
            <w:pPr>
              <w:spacing w:after="0"/>
            </w:pPr>
            <w:r>
              <w:rPr>
                <w:sz w:val="14"/>
              </w:rPr>
              <w:t>T05</w:t>
            </w:r>
          </w:p>
        </w:tc>
        <w:tc>
          <w:tcPr>
            <w:tcW w:type="dxa" w:w="1972"/>
            <w:vAlign w:val="center"/>
          </w:tcPr>
          <w:p>
            <w:pPr>
              <w:spacing w:after="0"/>
            </w:pPr>
            <w:r>
              <w:rPr>
                <w:sz w:val="14"/>
              </w:rPr>
              <w:t>Heat pumps</w:t>
            </w:r>
          </w:p>
        </w:tc>
        <w:tc>
          <w:tcPr>
            <w:tcW w:type="dxa" w:w="1972"/>
            <w:vAlign w:val="center"/>
          </w:tcPr>
          <w:p>
            <w:pPr>
              <w:spacing w:after="0"/>
            </w:pPr>
            <w:r>
              <w:rPr>
                <w:sz w:val="14"/>
              </w:rPr>
              <w:t>api comments per 1000 views</w:t>
            </w:r>
          </w:p>
        </w:tc>
        <w:tc>
          <w:tcPr>
            <w:tcW w:type="dxa" w:w="1972"/>
            <w:vAlign w:val="center"/>
          </w:tcPr>
          <w:p>
            <w:pPr>
              <w:spacing w:after="0"/>
            </w:pPr>
            <w:r>
              <w:rPr>
                <w:sz w:val="14"/>
              </w:rPr>
              <w:t>0.286</w:t>
            </w:r>
          </w:p>
        </w:tc>
        <w:tc>
          <w:tcPr>
            <w:tcW w:type="dxa" w:w="1972"/>
            <w:vAlign w:val="center"/>
          </w:tcPr>
          <w:p>
            <w:pPr>
              <w:spacing w:after="0"/>
            </w:pPr>
            <w:r>
              <w:rPr>
                <w:sz w:val="14"/>
              </w:rPr>
              <w:t>0.327</w:t>
            </w:r>
          </w:p>
        </w:tc>
      </w:tr>
      <w:tr>
        <w:trPr>
          <w:cantSplit/>
        </w:trPr>
        <w:tc>
          <w:tcPr>
            <w:tcW w:type="dxa" w:w="1972"/>
            <w:vAlign w:val="center"/>
          </w:tcPr>
          <w:p>
            <w:pPr>
              <w:spacing w:after="0"/>
            </w:pPr>
            <w:r>
              <w:rPr>
                <w:sz w:val="14"/>
              </w:rPr>
              <w:t>T06</w:t>
            </w:r>
          </w:p>
        </w:tc>
        <w:tc>
          <w:tcPr>
            <w:tcW w:type="dxa" w:w="1972"/>
            <w:vAlign w:val="center"/>
          </w:tcPr>
          <w:p>
            <w:pPr>
              <w:spacing w:after="0"/>
            </w:pPr>
            <w:r>
              <w:rPr>
                <w:sz w:val="14"/>
              </w:rPr>
              <w:t>Praise/social endorsement</w:t>
            </w:r>
          </w:p>
        </w:tc>
        <w:tc>
          <w:tcPr>
            <w:tcW w:type="dxa" w:w="1972"/>
            <w:vAlign w:val="center"/>
          </w:tcPr>
          <w:p>
            <w:pPr>
              <w:spacing w:after="0"/>
            </w:pPr>
            <w:r>
              <w:rPr>
                <w:sz w:val="14"/>
              </w:rPr>
              <w:t>views per day</w:t>
            </w:r>
          </w:p>
        </w:tc>
        <w:tc>
          <w:tcPr>
            <w:tcW w:type="dxa" w:w="1972"/>
            <w:vAlign w:val="center"/>
          </w:tcPr>
          <w:p>
            <w:pPr>
              <w:spacing w:after="0"/>
            </w:pPr>
            <w:r>
              <w:rPr>
                <w:sz w:val="14"/>
              </w:rPr>
              <w:t>-0.278</w:t>
            </w:r>
          </w:p>
        </w:tc>
        <w:tc>
          <w:tcPr>
            <w:tcW w:type="dxa" w:w="1972"/>
            <w:vAlign w:val="center"/>
          </w:tcPr>
          <w:p>
            <w:pPr>
              <w:spacing w:after="0"/>
            </w:pPr>
            <w:r>
              <w:rPr>
                <w:sz w:val="14"/>
              </w:rPr>
              <w:t>-0.307</w:t>
            </w:r>
          </w:p>
        </w:tc>
      </w:tr>
      <w:tr>
        <w:trPr>
          <w:cantSplit/>
        </w:trPr>
        <w:tc>
          <w:tcPr>
            <w:tcW w:type="dxa" w:w="1972"/>
            <w:vAlign w:val="center"/>
          </w:tcPr>
          <w:p>
            <w:pPr>
              <w:spacing w:after="0"/>
            </w:pPr>
            <w:r>
              <w:rPr>
                <w:sz w:val="14"/>
              </w:rPr>
              <w:t>T02</w:t>
            </w:r>
          </w:p>
        </w:tc>
        <w:tc>
          <w:tcPr>
            <w:tcW w:type="dxa" w:w="1972"/>
            <w:vAlign w:val="center"/>
          </w:tcPr>
          <w:p>
            <w:pPr>
              <w:spacing w:after="0"/>
            </w:pPr>
            <w:r>
              <w:rPr>
                <w:sz w:val="14"/>
              </w:rPr>
              <w:t>Spray foam</w:t>
            </w:r>
          </w:p>
        </w:tc>
        <w:tc>
          <w:tcPr>
            <w:tcW w:type="dxa" w:w="1972"/>
            <w:vAlign w:val="center"/>
          </w:tcPr>
          <w:p>
            <w:pPr>
              <w:spacing w:after="0"/>
            </w:pPr>
            <w:r>
              <w:rPr>
                <w:sz w:val="14"/>
              </w:rPr>
              <w:t>api comments per 1000 views</w:t>
            </w:r>
          </w:p>
        </w:tc>
        <w:tc>
          <w:tcPr>
            <w:tcW w:type="dxa" w:w="1972"/>
            <w:vAlign w:val="center"/>
          </w:tcPr>
          <w:p>
            <w:pPr>
              <w:spacing w:after="0"/>
            </w:pPr>
            <w:r>
              <w:rPr>
                <w:sz w:val="14"/>
              </w:rPr>
              <w:t>-0.239</w:t>
            </w:r>
          </w:p>
        </w:tc>
        <w:tc>
          <w:tcPr>
            <w:tcW w:type="dxa" w:w="1972"/>
            <w:vAlign w:val="center"/>
          </w:tcPr>
          <w:p>
            <w:pPr>
              <w:spacing w:after="0"/>
            </w:pPr>
            <w:r>
              <w:rPr>
                <w:sz w:val="14"/>
              </w:rPr>
              <w:t>-0.251</w:t>
            </w:r>
          </w:p>
        </w:tc>
      </w:tr>
      <w:tr>
        <w:trPr>
          <w:cantSplit/>
        </w:trPr>
        <w:tc>
          <w:tcPr>
            <w:tcW w:type="dxa" w:w="1972"/>
            <w:vAlign w:val="center"/>
          </w:tcPr>
          <w:p>
            <w:pPr>
              <w:spacing w:after="0"/>
            </w:pPr>
            <w:r>
              <w:rPr>
                <w:sz w:val="14"/>
              </w:rPr>
              <w:t>T05</w:t>
            </w:r>
          </w:p>
        </w:tc>
        <w:tc>
          <w:tcPr>
            <w:tcW w:type="dxa" w:w="1972"/>
            <w:vAlign w:val="center"/>
          </w:tcPr>
          <w:p>
            <w:pPr>
              <w:spacing w:after="0"/>
            </w:pPr>
            <w:r>
              <w:rPr>
                <w:sz w:val="14"/>
              </w:rPr>
              <w:t>Heat pumps</w:t>
            </w:r>
          </w:p>
        </w:tc>
        <w:tc>
          <w:tcPr>
            <w:tcW w:type="dxa" w:w="1972"/>
            <w:vAlign w:val="center"/>
          </w:tcPr>
          <w:p>
            <w:pPr>
              <w:spacing w:after="0"/>
            </w:pPr>
            <w:r>
              <w:rPr>
                <w:sz w:val="14"/>
              </w:rPr>
              <w:t>duration minutes</w:t>
            </w:r>
          </w:p>
        </w:tc>
        <w:tc>
          <w:tcPr>
            <w:tcW w:type="dxa" w:w="1972"/>
            <w:vAlign w:val="center"/>
          </w:tcPr>
          <w:p>
            <w:pPr>
              <w:spacing w:after="0"/>
            </w:pPr>
            <w:r>
              <w:rPr>
                <w:sz w:val="14"/>
              </w:rPr>
              <w:t>0.214</w:t>
            </w:r>
          </w:p>
        </w:tc>
        <w:tc>
          <w:tcPr>
            <w:tcW w:type="dxa" w:w="1972"/>
            <w:vAlign w:val="center"/>
          </w:tcPr>
          <w:p>
            <w:pPr>
              <w:spacing w:after="0"/>
            </w:pPr>
            <w:r>
              <w:rPr>
                <w:sz w:val="14"/>
              </w:rPr>
              <w:t>0.244</w:t>
            </w:r>
          </w:p>
        </w:tc>
      </w:tr>
      <w:tr>
        <w:trPr>
          <w:cantSplit/>
        </w:trPr>
        <w:tc>
          <w:tcPr>
            <w:tcW w:type="dxa" w:w="1972"/>
            <w:vAlign w:val="center"/>
          </w:tcPr>
          <w:p>
            <w:pPr>
              <w:spacing w:after="0"/>
            </w:pPr>
            <w:r>
              <w:rPr>
                <w:sz w:val="14"/>
              </w:rPr>
              <w:t>T05</w:t>
            </w:r>
          </w:p>
        </w:tc>
        <w:tc>
          <w:tcPr>
            <w:tcW w:type="dxa" w:w="1972"/>
            <w:vAlign w:val="center"/>
          </w:tcPr>
          <w:p>
            <w:pPr>
              <w:spacing w:after="0"/>
            </w:pPr>
            <w:r>
              <w:rPr>
                <w:sz w:val="14"/>
              </w:rPr>
              <w:t>Heat pumps</w:t>
            </w:r>
          </w:p>
        </w:tc>
        <w:tc>
          <w:tcPr>
            <w:tcW w:type="dxa" w:w="1972"/>
            <w:vAlign w:val="center"/>
          </w:tcPr>
          <w:p>
            <w:pPr>
              <w:spacing w:after="0"/>
            </w:pPr>
            <w:r>
              <w:rPr>
                <w:sz w:val="14"/>
              </w:rPr>
              <w:t>view count</w:t>
            </w:r>
          </w:p>
        </w:tc>
        <w:tc>
          <w:tcPr>
            <w:tcW w:type="dxa" w:w="1972"/>
            <w:vAlign w:val="center"/>
          </w:tcPr>
          <w:p>
            <w:pPr>
              <w:spacing w:after="0"/>
            </w:pPr>
            <w:r>
              <w:rPr>
                <w:sz w:val="14"/>
              </w:rPr>
              <w:t>-0.211</w:t>
            </w:r>
          </w:p>
        </w:tc>
        <w:tc>
          <w:tcPr>
            <w:tcW w:type="dxa" w:w="1972"/>
            <w:vAlign w:val="center"/>
          </w:tcPr>
          <w:p>
            <w:pPr>
              <w:spacing w:after="0"/>
            </w:pPr>
            <w:r>
              <w:rPr>
                <w:sz w:val="14"/>
              </w:rPr>
              <w:t>-0.228</w:t>
            </w:r>
          </w:p>
        </w:tc>
      </w:tr>
      <w:tr>
        <w:trPr>
          <w:cantSplit/>
        </w:trPr>
        <w:tc>
          <w:tcPr>
            <w:tcW w:type="dxa" w:w="1972"/>
            <w:vAlign w:val="center"/>
          </w:tcPr>
          <w:p>
            <w:pPr>
              <w:spacing w:after="0"/>
            </w:pPr>
            <w:r>
              <w:rPr>
                <w:sz w:val="14"/>
              </w:rPr>
              <w:t>T06</w:t>
            </w:r>
          </w:p>
        </w:tc>
        <w:tc>
          <w:tcPr>
            <w:tcW w:type="dxa" w:w="1972"/>
            <w:vAlign w:val="center"/>
          </w:tcPr>
          <w:p>
            <w:pPr>
              <w:spacing w:after="0"/>
            </w:pPr>
            <w:r>
              <w:rPr>
                <w:sz w:val="14"/>
              </w:rPr>
              <w:t>Praise/social endorsement</w:t>
            </w:r>
          </w:p>
        </w:tc>
        <w:tc>
          <w:tcPr>
            <w:tcW w:type="dxa" w:w="1972"/>
            <w:vAlign w:val="center"/>
          </w:tcPr>
          <w:p>
            <w:pPr>
              <w:spacing w:after="0"/>
            </w:pPr>
            <w:r>
              <w:rPr>
                <w:sz w:val="14"/>
              </w:rPr>
              <w:t>api comments per 1000 views</w:t>
            </w:r>
          </w:p>
        </w:tc>
        <w:tc>
          <w:tcPr>
            <w:tcW w:type="dxa" w:w="1972"/>
            <w:vAlign w:val="center"/>
          </w:tcPr>
          <w:p>
            <w:pPr>
              <w:spacing w:after="0"/>
            </w:pPr>
            <w:r>
              <w:rPr>
                <w:sz w:val="14"/>
              </w:rPr>
              <w:t>0.224</w:t>
            </w:r>
          </w:p>
        </w:tc>
        <w:tc>
          <w:tcPr>
            <w:tcW w:type="dxa" w:w="1972"/>
            <w:vAlign w:val="center"/>
          </w:tcPr>
          <w:p>
            <w:pPr>
              <w:spacing w:after="0"/>
            </w:pPr>
            <w:r>
              <w:rPr>
                <w:sz w:val="14"/>
              </w:rPr>
              <w:t>0.207</w:t>
            </w:r>
          </w:p>
        </w:tc>
      </w:tr>
      <w:tr>
        <w:trPr>
          <w:cantSplit/>
        </w:trPr>
        <w:tc>
          <w:tcPr>
            <w:tcW w:type="dxa" w:w="1972"/>
            <w:vAlign w:val="center"/>
          </w:tcPr>
          <w:p>
            <w:pPr>
              <w:spacing w:after="0"/>
            </w:pPr>
            <w:r>
              <w:rPr>
                <w:sz w:val="14"/>
              </w:rPr>
              <w:t>T16</w:t>
            </w:r>
          </w:p>
        </w:tc>
        <w:tc>
          <w:tcPr>
            <w:tcW w:type="dxa" w:w="1972"/>
            <w:vAlign w:val="center"/>
          </w:tcPr>
          <w:p>
            <w:pPr>
              <w:spacing w:after="0"/>
            </w:pPr>
            <w:r>
              <w:rPr>
                <w:sz w:val="14"/>
              </w:rPr>
              <w:t>Recommendations/choices</w:t>
            </w:r>
          </w:p>
        </w:tc>
        <w:tc>
          <w:tcPr>
            <w:tcW w:type="dxa" w:w="1972"/>
            <w:vAlign w:val="center"/>
          </w:tcPr>
          <w:p>
            <w:pPr>
              <w:spacing w:after="0"/>
            </w:pPr>
            <w:r>
              <w:rPr>
                <w:sz w:val="14"/>
              </w:rPr>
              <w:t>api comments per 1000 views</w:t>
            </w:r>
          </w:p>
        </w:tc>
        <w:tc>
          <w:tcPr>
            <w:tcW w:type="dxa" w:w="1972"/>
            <w:vAlign w:val="center"/>
          </w:tcPr>
          <w:p>
            <w:pPr>
              <w:spacing w:after="0"/>
            </w:pPr>
            <w:r>
              <w:rPr>
                <w:sz w:val="14"/>
              </w:rPr>
              <w:t>0.200</w:t>
            </w:r>
          </w:p>
        </w:tc>
        <w:tc>
          <w:tcPr>
            <w:tcW w:type="dxa" w:w="1972"/>
            <w:vAlign w:val="center"/>
          </w:tcPr>
          <w:p>
            <w:pPr>
              <w:spacing w:after="0"/>
            </w:pPr>
            <w:r>
              <w:rPr>
                <w:sz w:val="14"/>
              </w:rPr>
              <w:t>0.219</w:t>
            </w:r>
          </w:p>
        </w:tc>
      </w:tr>
      <w:tr>
        <w:trPr>
          <w:cantSplit/>
        </w:trPr>
        <w:tc>
          <w:tcPr>
            <w:tcW w:type="dxa" w:w="1972"/>
            <w:vAlign w:val="center"/>
          </w:tcPr>
          <w:p>
            <w:pPr>
              <w:spacing w:after="0"/>
            </w:pPr>
            <w:r>
              <w:rPr>
                <w:sz w:val="14"/>
              </w:rPr>
              <w:t>T08</w:t>
            </w:r>
          </w:p>
        </w:tc>
        <w:tc>
          <w:tcPr>
            <w:tcW w:type="dxa" w:w="1972"/>
            <w:vAlign w:val="center"/>
          </w:tcPr>
          <w:p>
            <w:pPr>
              <w:spacing w:after="0"/>
            </w:pPr>
            <w:r>
              <w:rPr>
                <w:sz w:val="14"/>
              </w:rPr>
              <w:t>Solar &amp; batteries</w:t>
            </w:r>
          </w:p>
        </w:tc>
        <w:tc>
          <w:tcPr>
            <w:tcW w:type="dxa" w:w="1972"/>
            <w:vAlign w:val="center"/>
          </w:tcPr>
          <w:p>
            <w:pPr>
              <w:spacing w:after="0"/>
            </w:pPr>
            <w:r>
              <w:rPr>
                <w:sz w:val="14"/>
              </w:rPr>
              <w:t>likes per 1000 views</w:t>
            </w:r>
          </w:p>
        </w:tc>
        <w:tc>
          <w:tcPr>
            <w:tcW w:type="dxa" w:w="1972"/>
            <w:vAlign w:val="center"/>
          </w:tcPr>
          <w:p>
            <w:pPr>
              <w:spacing w:after="0"/>
            </w:pPr>
            <w:r>
              <w:rPr>
                <w:sz w:val="14"/>
              </w:rPr>
              <w:t>0.198</w:t>
            </w:r>
          </w:p>
        </w:tc>
        <w:tc>
          <w:tcPr>
            <w:tcW w:type="dxa" w:w="1972"/>
            <w:vAlign w:val="center"/>
          </w:tcPr>
          <w:p>
            <w:pPr>
              <w:spacing w:after="0"/>
            </w:pPr>
            <w:r>
              <w:rPr>
                <w:sz w:val="14"/>
              </w:rPr>
              <w:t>0.218</w:t>
            </w:r>
          </w:p>
        </w:tc>
      </w:tr>
      <w:tr>
        <w:trPr>
          <w:cantSplit/>
        </w:trPr>
        <w:tc>
          <w:tcPr>
            <w:tcW w:type="dxa" w:w="1972"/>
            <w:vAlign w:val="center"/>
          </w:tcPr>
          <w:p>
            <w:pPr>
              <w:spacing w:after="0"/>
            </w:pPr>
            <w:r>
              <w:rPr>
                <w:sz w:val="14"/>
              </w:rPr>
              <w:t>T02</w:t>
            </w:r>
          </w:p>
        </w:tc>
        <w:tc>
          <w:tcPr>
            <w:tcW w:type="dxa" w:w="1972"/>
            <w:vAlign w:val="center"/>
          </w:tcPr>
          <w:p>
            <w:pPr>
              <w:spacing w:after="0"/>
            </w:pPr>
            <w:r>
              <w:rPr>
                <w:sz w:val="14"/>
              </w:rPr>
              <w:t>Spray foam</w:t>
            </w:r>
          </w:p>
        </w:tc>
        <w:tc>
          <w:tcPr>
            <w:tcW w:type="dxa" w:w="1972"/>
            <w:vAlign w:val="center"/>
          </w:tcPr>
          <w:p>
            <w:pPr>
              <w:spacing w:after="0"/>
            </w:pPr>
            <w:r>
              <w:rPr>
                <w:sz w:val="14"/>
              </w:rPr>
              <w:t>duration minutes</w:t>
            </w:r>
          </w:p>
        </w:tc>
        <w:tc>
          <w:tcPr>
            <w:tcW w:type="dxa" w:w="1972"/>
            <w:vAlign w:val="center"/>
          </w:tcPr>
          <w:p>
            <w:pPr>
              <w:spacing w:after="0"/>
            </w:pPr>
            <w:r>
              <w:rPr>
                <w:sz w:val="14"/>
              </w:rPr>
              <w:t>-0.198</w:t>
            </w:r>
          </w:p>
        </w:tc>
        <w:tc>
          <w:tcPr>
            <w:tcW w:type="dxa" w:w="1972"/>
            <w:vAlign w:val="center"/>
          </w:tcPr>
          <w:p>
            <w:pPr>
              <w:spacing w:after="0"/>
            </w:pPr>
            <w:r>
              <w:rPr>
                <w:sz w:val="14"/>
              </w:rPr>
              <w:t>-0.202</w:t>
            </w:r>
          </w:p>
        </w:tc>
      </w:tr>
      <w:tr>
        <w:trPr>
          <w:cantSplit/>
        </w:trPr>
        <w:tc>
          <w:tcPr>
            <w:tcW w:type="dxa" w:w="1972"/>
            <w:vAlign w:val="center"/>
          </w:tcPr>
          <w:p>
            <w:pPr>
              <w:spacing w:after="0"/>
            </w:pPr>
            <w:r>
              <w:rPr>
                <w:sz w:val="14"/>
              </w:rPr>
              <w:t>T16</w:t>
            </w:r>
          </w:p>
        </w:tc>
        <w:tc>
          <w:tcPr>
            <w:tcW w:type="dxa" w:w="1972"/>
            <w:vAlign w:val="center"/>
          </w:tcPr>
          <w:p>
            <w:pPr>
              <w:spacing w:after="0"/>
            </w:pPr>
            <w:r>
              <w:rPr>
                <w:sz w:val="14"/>
              </w:rPr>
              <w:t>Recommendations/choices</w:t>
            </w:r>
          </w:p>
        </w:tc>
        <w:tc>
          <w:tcPr>
            <w:tcW w:type="dxa" w:w="1972"/>
            <w:vAlign w:val="center"/>
          </w:tcPr>
          <w:p>
            <w:pPr>
              <w:spacing w:after="0"/>
            </w:pPr>
            <w:r>
              <w:rPr>
                <w:sz w:val="14"/>
              </w:rPr>
              <w:t>duration minutes</w:t>
            </w:r>
          </w:p>
        </w:tc>
        <w:tc>
          <w:tcPr>
            <w:tcW w:type="dxa" w:w="1972"/>
            <w:vAlign w:val="center"/>
          </w:tcPr>
          <w:p>
            <w:pPr>
              <w:spacing w:after="0"/>
            </w:pPr>
            <w:r>
              <w:rPr>
                <w:sz w:val="14"/>
              </w:rPr>
              <w:t>0.192</w:t>
            </w:r>
          </w:p>
        </w:tc>
        <w:tc>
          <w:tcPr>
            <w:tcW w:type="dxa" w:w="1972"/>
            <w:vAlign w:val="center"/>
          </w:tcPr>
          <w:p>
            <w:pPr>
              <w:spacing w:after="0"/>
            </w:pPr>
            <w:r>
              <w:rPr>
                <w:sz w:val="14"/>
              </w:rPr>
              <w:t>0.220</w:t>
            </w:r>
          </w:p>
        </w:tc>
      </w:tr>
      <w:tr>
        <w:trPr>
          <w:cantSplit/>
        </w:trPr>
        <w:tc>
          <w:tcPr>
            <w:tcW w:type="dxa" w:w="1972"/>
            <w:vAlign w:val="center"/>
          </w:tcPr>
          <w:p>
            <w:pPr>
              <w:spacing w:after="0"/>
            </w:pPr>
            <w:r>
              <w:rPr>
                <w:sz w:val="14"/>
              </w:rPr>
              <w:t>T06</w:t>
            </w:r>
          </w:p>
        </w:tc>
        <w:tc>
          <w:tcPr>
            <w:tcW w:type="dxa" w:w="1972"/>
            <w:vAlign w:val="center"/>
          </w:tcPr>
          <w:p>
            <w:pPr>
              <w:spacing w:after="0"/>
            </w:pPr>
            <w:r>
              <w:rPr>
                <w:sz w:val="14"/>
              </w:rPr>
              <w:t>Praise/social endorsement</w:t>
            </w:r>
          </w:p>
        </w:tc>
        <w:tc>
          <w:tcPr>
            <w:tcW w:type="dxa" w:w="1972"/>
            <w:vAlign w:val="center"/>
          </w:tcPr>
          <w:p>
            <w:pPr>
              <w:spacing w:after="0"/>
            </w:pPr>
            <w:r>
              <w:rPr>
                <w:sz w:val="14"/>
              </w:rPr>
              <w:t>view count</w:t>
            </w:r>
          </w:p>
        </w:tc>
        <w:tc>
          <w:tcPr>
            <w:tcW w:type="dxa" w:w="1972"/>
            <w:vAlign w:val="center"/>
          </w:tcPr>
          <w:p>
            <w:pPr>
              <w:spacing w:after="0"/>
            </w:pPr>
            <w:r>
              <w:rPr>
                <w:sz w:val="14"/>
              </w:rPr>
              <w:t>-0.187</w:t>
            </w:r>
          </w:p>
        </w:tc>
        <w:tc>
          <w:tcPr>
            <w:tcW w:type="dxa" w:w="1972"/>
            <w:vAlign w:val="center"/>
          </w:tcPr>
          <w:p>
            <w:pPr>
              <w:spacing w:after="0"/>
            </w:pPr>
            <w:r>
              <w:rPr>
                <w:sz w:val="14"/>
              </w:rPr>
              <w:t>-0.187</w:t>
            </w:r>
          </w:p>
        </w:tc>
      </w:tr>
    </w:tbl>
    <w:p>
      <w:pPr>
        <w:spacing w:after="40"/>
      </w:pPr>
    </w:p>
    <w:p>
      <w:pPr>
        <w:spacing w:after="80" w:line="259" w:lineRule="auto"/>
      </w:pPr>
      <w:r>
        <w:t>Seventy-four of 128 associations have empirical resampling intervals excluding zero in both equal-comment conditions, and 114 of 128 retain the same median direction at 10 and 20 comments per video. Strong, persistent patterns include longer videos with more praise/social-endorsement weight; heat-pump discussion with higher API comments per 1,000 views; solar discussion with higher likes per 1,000 views; prospective recommendation/choice discussion with higher API comments per 1,000 views; and spray-foam discussion with higher views per day but lower API comments per 1,000 views. These remain observational and compositional relationships, not causal effects.</w:t>
      </w:r>
    </w:p>
    <w:p>
      <w:pPr>
        <w:spacing w:after="80" w:line="259" w:lineRule="auto"/>
      </w:pPr>
      <w:r>
        <w:t>Several dramatic unrestricted correlations weaken substantially under equal-comment sampling, especially for follow-up/outcome and sourcing/access discourse. Those associations should be treated as sensitive to unequal discussion-sample size rather than as core findings.</w:t>
      </w:r>
    </w:p>
    <w:p>
      <w:pPr>
        <w:pStyle w:val="Heading1"/>
        <w:keepNext/>
      </w:pPr>
      <w:r>
        <w:t>10. Limitations and interpretation rules</w:t>
      </w:r>
    </w:p>
    <w:p>
      <w:pPr>
        <w:pStyle w:val="ListBullet"/>
        <w:spacing w:after="40"/>
      </w:pPr>
      <w:r>
        <w:t>NMF is an exploratory latent-component model. Topic labels are human interpretations of term and representative-comment patterns, not externally validated ontological categories.</w:t>
      </w:r>
    </w:p>
    <w:p>
      <w:pPr>
        <w:pStyle w:val="ListBullet"/>
        <w:spacing w:after="40"/>
      </w:pPr>
      <w:r>
        <w:t>Row-normalised NMF weights are descriptive relative weights, not posterior probabilities. The 16 weights are compositional: increasing one component necessarily changes the relative shares of others.</w:t>
      </w:r>
    </w:p>
    <w:p>
      <w:pPr>
        <w:pStyle w:val="ListBullet"/>
        <w:spacing w:after="40"/>
      </w:pPr>
      <w:r>
        <w:t>Dominant-topic assignments simplify a soft model and must not be presented as mutually exclusive manual coding.</w:t>
      </w:r>
    </w:p>
    <w:p>
      <w:pPr>
        <w:pStyle w:val="ListBullet"/>
        <w:spacing w:after="40"/>
      </w:pPr>
      <w:r>
        <w:t>The selected corpus excludes 44 zero-vector comments and one video that contributed no usable TF-IDF signal, so NMF denominators are 42,443 comments and 1,158 videos rather than the full 42,487-comment / 1,159-video substantive corpus.</w:t>
      </w:r>
    </w:p>
    <w:p>
      <w:pPr>
        <w:pStyle w:val="ListBullet"/>
        <w:spacing w:after="40"/>
      </w:pPr>
      <w:r>
        <w:t>Topic 6 is intentionally vocabulary-dependent because the inclusive primary model retains praise and gratitude as substantively relevant social interaction. Its disappearance under the content-focused sensitivity representation is expected, not evidence of model failure.</w:t>
      </w:r>
    </w:p>
    <w:p>
      <w:pPr>
        <w:pStyle w:val="ListBullet"/>
        <w:spacing w:after="40"/>
      </w:pPr>
      <w:r>
        <w:t>Topics 10 and 16 are lower-confidence cross-cutting discourse components. Their diffuse membership should be reflected in the wording of findings.</w:t>
      </w:r>
    </w:p>
    <w:p>
      <w:pPr>
        <w:pStyle w:val="ListBullet"/>
        <w:spacing w:after="40"/>
      </w:pPr>
      <w:r>
        <w:t>Video-level topic composition describes the observed comment discussion around a video, not the technical content or correctness of the video itself.</w:t>
      </w:r>
    </w:p>
    <w:p>
      <w:pPr>
        <w:pStyle w:val="ListBullet"/>
        <w:spacing w:after="40"/>
      </w:pPr>
      <w:r>
        <w:t>Engagement relationships are observational. Views, likes and comments do not establish technical quality, causal influence or correctness of retrofit advice.</w:t>
      </w:r>
    </w:p>
    <w:p>
      <w:pPr>
        <w:pStyle w:val="ListBullet"/>
        <w:spacing w:after="40"/>
      </w:pPr>
      <w:r>
        <w:t>Annual patterns are sample-composition patterns. 2026 is incomplete, and the original metadata snapshot date is unavailable for definitive age-normalised rates.</w:t>
      </w:r>
    </w:p>
    <w:p>
      <w:pPr>
        <w:pStyle w:val="Heading1"/>
        <w:keepNext/>
      </w:pPr>
      <w:r>
        <w:t>11. Final methodological status and next step</w:t>
      </w:r>
    </w:p>
    <w:p>
      <w:pPr>
        <w:spacing w:after="80" w:line="259" w:lineRule="auto"/>
      </w:pPr>
      <w:r>
        <w:t>The unsupervised NMF phase is complete. Corpus preparation, primary and sensitivity TF-IDF representations, candidate-k evaluation, human interpretability review, 10x80% subsampling stability, preprocessing sensitivity, final topic locking, standalone topic analysis, video-context analysis, engagement analysis and equal-comment robustness have all been completed. No further topic-count tuning or label revision should be performed unless a genuine data or coding error is discovered.</w:t>
      </w:r>
    </w:p>
    <w:p>
      <w:pPr>
        <w:spacing w:after="80" w:line="259" w:lineRule="auto"/>
      </w:pPr>
      <w:r>
        <w:t>The next phase should compare the frozen NMF solution with the project’s original predefined rule-based analysis. That comparison should be framed as convergence, divergence and complementarity rather than accuracy against ground truth. Keeping the present report standalone preserves the analytical independence of the unsupervised pathway.</w:t>
      </w:r>
    </w:p>
    <w:p>
      <w:r>
        <w:br w:type="page"/>
      </w:r>
    </w:p>
    <w:p>
      <w:pPr>
        <w:pStyle w:val="Heading1"/>
        <w:keepNext/>
      </w:pPr>
      <w:r>
        <w:t>Appendix A. Full locked topic interpretation and validation summary</w:t>
      </w:r>
    </w:p>
    <w:tbl>
      <w:tblPr>
        <w:tblStyle w:val="TableGrid"/>
        <w:tblW w:type="auto" w:w="0"/>
        <w:jc w:val="center"/>
        <w:tblLook w:firstColumn="1" w:firstRow="1" w:lastColumn="0" w:lastRow="0" w:noHBand="0" w:noVBand="1" w:val="04A0"/>
      </w:tblPr>
      <w:tblGrid>
        <w:gridCol w:w="1232"/>
        <w:gridCol w:w="1232"/>
        <w:gridCol w:w="1232"/>
        <w:gridCol w:w="1232"/>
        <w:gridCol w:w="1232"/>
        <w:gridCol w:w="1232"/>
        <w:gridCol w:w="1232"/>
        <w:gridCol w:w="1232"/>
      </w:tblGrid>
      <w:tr>
        <w:trPr>
          <w:tblHeader w:val="true"/>
        </w:trPr>
        <w:tc>
          <w:tcPr>
            <w:tcW w:type="dxa" w:w="1232"/>
            <w:shd w:fill="284B63"/>
            <w:vAlign w:val="center"/>
          </w:tcPr>
          <w:p>
            <w:r>
              <w:rPr>
                <w:b/>
                <w:color w:val="FFFFFF"/>
                <w:sz w:val="12"/>
              </w:rPr>
              <w:t>Topic</w:t>
            </w:r>
          </w:p>
        </w:tc>
        <w:tc>
          <w:tcPr>
            <w:tcW w:type="dxa" w:w="1232"/>
            <w:shd w:fill="284B63"/>
            <w:vAlign w:val="center"/>
          </w:tcPr>
          <w:p>
            <w:r>
              <w:rPr>
                <w:b/>
                <w:color w:val="FFFFFF"/>
                <w:sz w:val="12"/>
              </w:rPr>
              <w:t>Locked label</w:t>
            </w:r>
          </w:p>
        </w:tc>
        <w:tc>
          <w:tcPr>
            <w:tcW w:type="dxa" w:w="1232"/>
            <w:shd w:fill="284B63"/>
            <w:vAlign w:val="center"/>
          </w:tcPr>
          <w:p>
            <w:r>
              <w:rPr>
                <w:b/>
                <w:color w:val="FFFFFF"/>
                <w:sz w:val="12"/>
              </w:rPr>
              <w:t>Type</w:t>
            </w:r>
          </w:p>
        </w:tc>
        <w:tc>
          <w:tcPr>
            <w:tcW w:type="dxa" w:w="1232"/>
            <w:shd w:fill="284B63"/>
            <w:vAlign w:val="center"/>
          </w:tcPr>
          <w:p>
            <w:r>
              <w:rPr>
                <w:b/>
                <w:color w:val="FFFFFF"/>
                <w:sz w:val="12"/>
              </w:rPr>
              <w:t>Conf.</w:t>
            </w:r>
          </w:p>
        </w:tc>
        <w:tc>
          <w:tcPr>
            <w:tcW w:type="dxa" w:w="1232"/>
            <w:shd w:fill="284B63"/>
            <w:vAlign w:val="center"/>
          </w:tcPr>
          <w:p>
            <w:r>
              <w:rPr>
                <w:b/>
                <w:color w:val="FFFFFF"/>
                <w:sz w:val="12"/>
              </w:rPr>
              <w:t>Sampling cosine</w:t>
            </w:r>
          </w:p>
        </w:tc>
        <w:tc>
          <w:tcPr>
            <w:tcW w:type="dxa" w:w="1232"/>
            <w:shd w:fill="284B63"/>
            <w:vAlign w:val="center"/>
          </w:tcPr>
          <w:p>
            <w:r>
              <w:rPr>
                <w:b/>
                <w:color w:val="FFFFFF"/>
                <w:sz w:val="12"/>
              </w:rPr>
              <w:t>Preproc cosine</w:t>
            </w:r>
          </w:p>
        </w:tc>
        <w:tc>
          <w:tcPr>
            <w:tcW w:type="dxa" w:w="1232"/>
            <w:shd w:fill="284B63"/>
            <w:vAlign w:val="center"/>
          </w:tcPr>
          <w:p>
            <w:r>
              <w:rPr>
                <w:b/>
                <w:color w:val="FFFFFF"/>
                <w:sz w:val="12"/>
              </w:rPr>
              <w:t>Dominant</w:t>
            </w:r>
          </w:p>
        </w:tc>
        <w:tc>
          <w:tcPr>
            <w:tcW w:type="dxa" w:w="1232"/>
            <w:shd w:fill="284B63"/>
            <w:vAlign w:val="center"/>
          </w:tcPr>
          <w:p>
            <w:r>
              <w:rPr>
                <w:b/>
                <w:color w:val="FFFFFF"/>
                <w:sz w:val="12"/>
              </w:rPr>
              <w:t>Soft</w:t>
            </w:r>
          </w:p>
        </w:tc>
      </w:tr>
      <w:tr>
        <w:trPr>
          <w:cantSplit/>
        </w:trPr>
        <w:tc>
          <w:tcPr>
            <w:tcW w:type="dxa" w:w="1232"/>
            <w:vAlign w:val="center"/>
          </w:tcPr>
          <w:p>
            <w:pPr>
              <w:spacing w:after="0"/>
            </w:pPr>
            <w:r>
              <w:rPr>
                <w:sz w:val="12"/>
              </w:rPr>
              <w:t>T01</w:t>
            </w:r>
          </w:p>
        </w:tc>
        <w:tc>
          <w:tcPr>
            <w:tcW w:type="dxa" w:w="1232"/>
            <w:vAlign w:val="center"/>
          </w:tcPr>
          <w:p>
            <w:pPr>
              <w:spacing w:after="0"/>
            </w:pPr>
            <w:r>
              <w:rPr>
                <w:sz w:val="12"/>
              </w:rPr>
              <w:t>Situated household retrofit experience and building context</w:t>
            </w:r>
          </w:p>
        </w:tc>
        <w:tc>
          <w:tcPr>
            <w:tcW w:type="dxa" w:w="1232"/>
            <w:vAlign w:val="center"/>
          </w:tcPr>
          <w:p>
            <w:pPr>
              <w:spacing w:after="0"/>
            </w:pPr>
            <w:r>
              <w:rPr>
                <w:sz w:val="12"/>
              </w:rPr>
              <w:t>mixed</w:t>
            </w:r>
          </w:p>
        </w:tc>
        <w:tc>
          <w:tcPr>
            <w:tcW w:type="dxa" w:w="1232"/>
            <w:vAlign w:val="center"/>
          </w:tcPr>
          <w:p>
            <w:pPr>
              <w:spacing w:after="0"/>
            </w:pPr>
            <w:r>
              <w:rPr>
                <w:sz w:val="12"/>
              </w:rPr>
              <w:t>4</w:t>
            </w:r>
          </w:p>
        </w:tc>
        <w:tc>
          <w:tcPr>
            <w:tcW w:type="dxa" w:w="1232"/>
            <w:vAlign w:val="center"/>
          </w:tcPr>
          <w:p>
            <w:pPr>
              <w:spacing w:after="0"/>
            </w:pPr>
            <w:r>
              <w:rPr>
                <w:sz w:val="12"/>
              </w:rPr>
              <w:t>0.925</w:t>
            </w:r>
          </w:p>
        </w:tc>
        <w:tc>
          <w:tcPr>
            <w:tcW w:type="dxa" w:w="1232"/>
            <w:vAlign w:val="center"/>
          </w:tcPr>
          <w:p>
            <w:pPr>
              <w:spacing w:after="0"/>
            </w:pPr>
            <w:r>
              <w:rPr>
                <w:sz w:val="12"/>
              </w:rPr>
              <w:t>0.810</w:t>
            </w:r>
          </w:p>
        </w:tc>
        <w:tc>
          <w:tcPr>
            <w:tcW w:type="dxa" w:w="1232"/>
            <w:vAlign w:val="center"/>
          </w:tcPr>
          <w:p>
            <w:pPr>
              <w:spacing w:after="0"/>
            </w:pPr>
            <w:r>
              <w:rPr>
                <w:sz w:val="12"/>
              </w:rPr>
              <w:t>12.03%</w:t>
            </w:r>
          </w:p>
        </w:tc>
        <w:tc>
          <w:tcPr>
            <w:tcW w:type="dxa" w:w="1232"/>
            <w:vAlign w:val="center"/>
          </w:tcPr>
          <w:p>
            <w:pPr>
              <w:spacing w:after="0"/>
            </w:pPr>
            <w:r>
              <w:rPr>
                <w:sz w:val="12"/>
              </w:rPr>
              <w:t>14.02%</w:t>
            </w:r>
          </w:p>
        </w:tc>
      </w:tr>
      <w:tr>
        <w:trPr>
          <w:cantSplit/>
        </w:trPr>
        <w:tc>
          <w:tcPr>
            <w:tcW w:type="dxa" w:w="1232"/>
            <w:vAlign w:val="center"/>
          </w:tcPr>
          <w:p>
            <w:pPr>
              <w:spacing w:after="0"/>
            </w:pPr>
            <w:r>
              <w:rPr>
                <w:sz w:val="12"/>
              </w:rPr>
              <w:t>T02</w:t>
            </w:r>
          </w:p>
        </w:tc>
        <w:tc>
          <w:tcPr>
            <w:tcW w:type="dxa" w:w="1232"/>
            <w:vAlign w:val="center"/>
          </w:tcPr>
          <w:p>
            <w:pPr>
              <w:spacing w:after="0"/>
            </w:pPr>
            <w:r>
              <w:rPr>
                <w:sz w:val="12"/>
              </w:rPr>
              <w:t>Spray foam and foam insulation</w:t>
            </w:r>
          </w:p>
        </w:tc>
        <w:tc>
          <w:tcPr>
            <w:tcW w:type="dxa" w:w="1232"/>
            <w:vAlign w:val="center"/>
          </w:tcPr>
          <w:p>
            <w:pPr>
              <w:spacing w:after="0"/>
            </w:pPr>
            <w:r>
              <w:rPr>
                <w:sz w:val="12"/>
              </w:rPr>
              <w:t>technical subject</w:t>
            </w:r>
          </w:p>
        </w:tc>
        <w:tc>
          <w:tcPr>
            <w:tcW w:type="dxa" w:w="1232"/>
            <w:vAlign w:val="center"/>
          </w:tcPr>
          <w:p>
            <w:pPr>
              <w:spacing w:after="0"/>
            </w:pPr>
            <w:r>
              <w:rPr>
                <w:sz w:val="12"/>
              </w:rPr>
              <w:t>5</w:t>
            </w:r>
          </w:p>
        </w:tc>
        <w:tc>
          <w:tcPr>
            <w:tcW w:type="dxa" w:w="1232"/>
            <w:vAlign w:val="center"/>
          </w:tcPr>
          <w:p>
            <w:pPr>
              <w:spacing w:after="0"/>
            </w:pPr>
            <w:r>
              <w:rPr>
                <w:sz w:val="12"/>
              </w:rPr>
              <w:t>0.999</w:t>
            </w:r>
          </w:p>
        </w:tc>
        <w:tc>
          <w:tcPr>
            <w:tcW w:type="dxa" w:w="1232"/>
            <w:vAlign w:val="center"/>
          </w:tcPr>
          <w:p>
            <w:pPr>
              <w:spacing w:after="0"/>
            </w:pPr>
            <w:r>
              <w:rPr>
                <w:sz w:val="12"/>
              </w:rPr>
              <w:t>1.000</w:t>
            </w:r>
          </w:p>
        </w:tc>
        <w:tc>
          <w:tcPr>
            <w:tcW w:type="dxa" w:w="1232"/>
            <w:vAlign w:val="center"/>
          </w:tcPr>
          <w:p>
            <w:pPr>
              <w:spacing w:after="0"/>
            </w:pPr>
            <w:r>
              <w:rPr>
                <w:sz w:val="12"/>
              </w:rPr>
              <w:t>3.85%</w:t>
            </w:r>
          </w:p>
        </w:tc>
        <w:tc>
          <w:tcPr>
            <w:tcW w:type="dxa" w:w="1232"/>
            <w:vAlign w:val="center"/>
          </w:tcPr>
          <w:p>
            <w:pPr>
              <w:spacing w:after="0"/>
            </w:pPr>
            <w:r>
              <w:rPr>
                <w:sz w:val="12"/>
              </w:rPr>
              <w:t>3.42%</w:t>
            </w:r>
          </w:p>
        </w:tc>
      </w:tr>
      <w:tr>
        <w:trPr>
          <w:cantSplit/>
        </w:trPr>
        <w:tc>
          <w:tcPr>
            <w:tcW w:type="dxa" w:w="1232"/>
            <w:vAlign w:val="center"/>
          </w:tcPr>
          <w:p>
            <w:pPr>
              <w:spacing w:after="0"/>
            </w:pPr>
            <w:r>
              <w:rPr>
                <w:sz w:val="12"/>
              </w:rPr>
              <w:t>T03</w:t>
            </w:r>
          </w:p>
        </w:tc>
        <w:tc>
          <w:tcPr>
            <w:tcW w:type="dxa" w:w="1232"/>
            <w:vAlign w:val="center"/>
          </w:tcPr>
          <w:p>
            <w:pPr>
              <w:spacing w:after="0"/>
            </w:pPr>
            <w:r>
              <w:rPr>
                <w:sz w:val="12"/>
              </w:rPr>
              <w:t>Clarification and specification questions</w:t>
            </w:r>
          </w:p>
        </w:tc>
        <w:tc>
          <w:tcPr>
            <w:tcW w:type="dxa" w:w="1232"/>
            <w:vAlign w:val="center"/>
          </w:tcPr>
          <w:p>
            <w:pPr>
              <w:spacing w:after="0"/>
            </w:pPr>
            <w:r>
              <w:rPr>
                <w:sz w:val="12"/>
              </w:rPr>
              <w:t>knowledge sharing behaviour</w:t>
            </w:r>
          </w:p>
        </w:tc>
        <w:tc>
          <w:tcPr>
            <w:tcW w:type="dxa" w:w="1232"/>
            <w:vAlign w:val="center"/>
          </w:tcPr>
          <w:p>
            <w:pPr>
              <w:spacing w:after="0"/>
            </w:pPr>
            <w:r>
              <w:rPr>
                <w:sz w:val="12"/>
              </w:rPr>
              <w:t>4</w:t>
            </w:r>
          </w:p>
        </w:tc>
        <w:tc>
          <w:tcPr>
            <w:tcW w:type="dxa" w:w="1232"/>
            <w:vAlign w:val="center"/>
          </w:tcPr>
          <w:p>
            <w:pPr>
              <w:spacing w:after="0"/>
            </w:pPr>
            <w:r>
              <w:rPr>
                <w:sz w:val="12"/>
              </w:rPr>
              <w:t>0.999</w:t>
            </w:r>
          </w:p>
        </w:tc>
        <w:tc>
          <w:tcPr>
            <w:tcW w:type="dxa" w:w="1232"/>
            <w:vAlign w:val="center"/>
          </w:tcPr>
          <w:p>
            <w:pPr>
              <w:spacing w:after="0"/>
            </w:pPr>
            <w:r>
              <w:rPr>
                <w:sz w:val="12"/>
              </w:rPr>
              <w:t>1.000</w:t>
            </w:r>
          </w:p>
        </w:tc>
        <w:tc>
          <w:tcPr>
            <w:tcW w:type="dxa" w:w="1232"/>
            <w:vAlign w:val="center"/>
          </w:tcPr>
          <w:p>
            <w:pPr>
              <w:spacing w:after="0"/>
            </w:pPr>
            <w:r>
              <w:rPr>
                <w:sz w:val="12"/>
              </w:rPr>
              <w:t>6.61%</w:t>
            </w:r>
          </w:p>
        </w:tc>
        <w:tc>
          <w:tcPr>
            <w:tcW w:type="dxa" w:w="1232"/>
            <w:vAlign w:val="center"/>
          </w:tcPr>
          <w:p>
            <w:pPr>
              <w:spacing w:after="0"/>
            </w:pPr>
            <w:r>
              <w:rPr>
                <w:sz w:val="12"/>
              </w:rPr>
              <w:t>6.61%</w:t>
            </w:r>
          </w:p>
        </w:tc>
      </w:tr>
      <w:tr>
        <w:trPr>
          <w:cantSplit/>
        </w:trPr>
        <w:tc>
          <w:tcPr>
            <w:tcW w:type="dxa" w:w="1232"/>
            <w:vAlign w:val="center"/>
          </w:tcPr>
          <w:p>
            <w:pPr>
              <w:spacing w:after="0"/>
            </w:pPr>
            <w:r>
              <w:rPr>
                <w:sz w:val="12"/>
              </w:rPr>
              <w:t>T04</w:t>
            </w:r>
          </w:p>
        </w:tc>
        <w:tc>
          <w:tcPr>
            <w:tcW w:type="dxa" w:w="1232"/>
            <w:vAlign w:val="center"/>
          </w:tcPr>
          <w:p>
            <w:pPr>
              <w:spacing w:after="0"/>
            </w:pPr>
            <w:r>
              <w:rPr>
                <w:sz w:val="12"/>
              </w:rPr>
              <w:t>Implementation, cost and how-to questions</w:t>
            </w:r>
          </w:p>
        </w:tc>
        <w:tc>
          <w:tcPr>
            <w:tcW w:type="dxa" w:w="1232"/>
            <w:vAlign w:val="center"/>
          </w:tcPr>
          <w:p>
            <w:pPr>
              <w:spacing w:after="0"/>
            </w:pPr>
            <w:r>
              <w:rPr>
                <w:sz w:val="12"/>
              </w:rPr>
              <w:t>knowledge sharing behaviour</w:t>
            </w:r>
          </w:p>
        </w:tc>
        <w:tc>
          <w:tcPr>
            <w:tcW w:type="dxa" w:w="1232"/>
            <w:vAlign w:val="center"/>
          </w:tcPr>
          <w:p>
            <w:pPr>
              <w:spacing w:after="0"/>
            </w:pPr>
            <w:r>
              <w:rPr>
                <w:sz w:val="12"/>
              </w:rPr>
              <w:t>4</w:t>
            </w:r>
          </w:p>
        </w:tc>
        <w:tc>
          <w:tcPr>
            <w:tcW w:type="dxa" w:w="1232"/>
            <w:vAlign w:val="center"/>
          </w:tcPr>
          <w:p>
            <w:pPr>
              <w:spacing w:after="0"/>
            </w:pPr>
            <w:r>
              <w:rPr>
                <w:sz w:val="12"/>
              </w:rPr>
              <w:t>0.997</w:t>
            </w:r>
          </w:p>
        </w:tc>
        <w:tc>
          <w:tcPr>
            <w:tcW w:type="dxa" w:w="1232"/>
            <w:vAlign w:val="center"/>
          </w:tcPr>
          <w:p>
            <w:pPr>
              <w:spacing w:after="0"/>
            </w:pPr>
            <w:r>
              <w:rPr>
                <w:sz w:val="12"/>
              </w:rPr>
              <w:t>0.999</w:t>
            </w:r>
          </w:p>
        </w:tc>
        <w:tc>
          <w:tcPr>
            <w:tcW w:type="dxa" w:w="1232"/>
            <w:vAlign w:val="center"/>
          </w:tcPr>
          <w:p>
            <w:pPr>
              <w:spacing w:after="0"/>
            </w:pPr>
            <w:r>
              <w:rPr>
                <w:sz w:val="12"/>
              </w:rPr>
              <w:t>5.58%</w:t>
            </w:r>
          </w:p>
        </w:tc>
        <w:tc>
          <w:tcPr>
            <w:tcW w:type="dxa" w:w="1232"/>
            <w:vAlign w:val="center"/>
          </w:tcPr>
          <w:p>
            <w:pPr>
              <w:spacing w:after="0"/>
            </w:pPr>
            <w:r>
              <w:rPr>
                <w:sz w:val="12"/>
              </w:rPr>
              <w:t>5.38%</w:t>
            </w:r>
          </w:p>
        </w:tc>
      </w:tr>
      <w:tr>
        <w:trPr>
          <w:cantSplit/>
        </w:trPr>
        <w:tc>
          <w:tcPr>
            <w:tcW w:type="dxa" w:w="1232"/>
            <w:vAlign w:val="center"/>
          </w:tcPr>
          <w:p>
            <w:pPr>
              <w:spacing w:after="0"/>
            </w:pPr>
            <w:r>
              <w:rPr>
                <w:sz w:val="12"/>
              </w:rPr>
              <w:t>T05</w:t>
            </w:r>
          </w:p>
        </w:tc>
        <w:tc>
          <w:tcPr>
            <w:tcW w:type="dxa" w:w="1232"/>
            <w:vAlign w:val="center"/>
          </w:tcPr>
          <w:p>
            <w:pPr>
              <w:spacing w:after="0"/>
            </w:pPr>
            <w:r>
              <w:rPr>
                <w:sz w:val="12"/>
              </w:rPr>
              <w:t>Heat pumps and heating systems</w:t>
            </w:r>
          </w:p>
        </w:tc>
        <w:tc>
          <w:tcPr>
            <w:tcW w:type="dxa" w:w="1232"/>
            <w:vAlign w:val="center"/>
          </w:tcPr>
          <w:p>
            <w:pPr>
              <w:spacing w:after="0"/>
            </w:pPr>
            <w:r>
              <w:rPr>
                <w:sz w:val="12"/>
              </w:rPr>
              <w:t>technical subject</w:t>
            </w:r>
          </w:p>
        </w:tc>
        <w:tc>
          <w:tcPr>
            <w:tcW w:type="dxa" w:w="1232"/>
            <w:vAlign w:val="center"/>
          </w:tcPr>
          <w:p>
            <w:pPr>
              <w:spacing w:after="0"/>
            </w:pPr>
            <w:r>
              <w:rPr>
                <w:sz w:val="12"/>
              </w:rPr>
              <w:t>5</w:t>
            </w:r>
          </w:p>
        </w:tc>
        <w:tc>
          <w:tcPr>
            <w:tcW w:type="dxa" w:w="1232"/>
            <w:vAlign w:val="center"/>
          </w:tcPr>
          <w:p>
            <w:pPr>
              <w:spacing w:after="0"/>
            </w:pPr>
            <w:r>
              <w:rPr>
                <w:sz w:val="12"/>
              </w:rPr>
              <w:t>0.992</w:t>
            </w:r>
          </w:p>
        </w:tc>
        <w:tc>
          <w:tcPr>
            <w:tcW w:type="dxa" w:w="1232"/>
            <w:vAlign w:val="center"/>
          </w:tcPr>
          <w:p>
            <w:pPr>
              <w:spacing w:after="0"/>
            </w:pPr>
            <w:r>
              <w:rPr>
                <w:sz w:val="12"/>
              </w:rPr>
              <w:t>0.971</w:t>
            </w:r>
          </w:p>
        </w:tc>
        <w:tc>
          <w:tcPr>
            <w:tcW w:type="dxa" w:w="1232"/>
            <w:vAlign w:val="center"/>
          </w:tcPr>
          <w:p>
            <w:pPr>
              <w:spacing w:after="0"/>
            </w:pPr>
            <w:r>
              <w:rPr>
                <w:sz w:val="12"/>
              </w:rPr>
              <w:t>6.99%</w:t>
            </w:r>
          </w:p>
        </w:tc>
        <w:tc>
          <w:tcPr>
            <w:tcW w:type="dxa" w:w="1232"/>
            <w:vAlign w:val="center"/>
          </w:tcPr>
          <w:p>
            <w:pPr>
              <w:spacing w:after="0"/>
            </w:pPr>
            <w:r>
              <w:rPr>
                <w:sz w:val="12"/>
              </w:rPr>
              <w:t>6.25%</w:t>
            </w:r>
          </w:p>
        </w:tc>
      </w:tr>
      <w:tr>
        <w:trPr>
          <w:cantSplit/>
        </w:trPr>
        <w:tc>
          <w:tcPr>
            <w:tcW w:type="dxa" w:w="1232"/>
            <w:vAlign w:val="center"/>
          </w:tcPr>
          <w:p>
            <w:pPr>
              <w:spacing w:after="0"/>
            </w:pPr>
            <w:r>
              <w:rPr>
                <w:sz w:val="12"/>
              </w:rPr>
              <w:t>T06</w:t>
            </w:r>
          </w:p>
        </w:tc>
        <w:tc>
          <w:tcPr>
            <w:tcW w:type="dxa" w:w="1232"/>
            <w:vAlign w:val="center"/>
          </w:tcPr>
          <w:p>
            <w:pPr>
              <w:spacing w:after="0"/>
            </w:pPr>
            <w:r>
              <w:rPr>
                <w:sz w:val="12"/>
              </w:rPr>
              <w:t>Praise, gratitude and social endorsement</w:t>
            </w:r>
          </w:p>
        </w:tc>
        <w:tc>
          <w:tcPr>
            <w:tcW w:type="dxa" w:w="1232"/>
            <w:vAlign w:val="center"/>
          </w:tcPr>
          <w:p>
            <w:pPr>
              <w:spacing w:after="0"/>
            </w:pPr>
            <w:r>
              <w:rPr>
                <w:sz w:val="12"/>
              </w:rPr>
              <w:t>social interaction</w:t>
            </w:r>
          </w:p>
        </w:tc>
        <w:tc>
          <w:tcPr>
            <w:tcW w:type="dxa" w:w="1232"/>
            <w:vAlign w:val="center"/>
          </w:tcPr>
          <w:p>
            <w:pPr>
              <w:spacing w:after="0"/>
            </w:pPr>
            <w:r>
              <w:rPr>
                <w:sz w:val="12"/>
              </w:rPr>
              <w:t>5</w:t>
            </w:r>
          </w:p>
        </w:tc>
        <w:tc>
          <w:tcPr>
            <w:tcW w:type="dxa" w:w="1232"/>
            <w:vAlign w:val="center"/>
          </w:tcPr>
          <w:p>
            <w:pPr>
              <w:spacing w:after="0"/>
            </w:pPr>
            <w:r>
              <w:rPr>
                <w:sz w:val="12"/>
              </w:rPr>
              <w:t>0.999</w:t>
            </w:r>
          </w:p>
        </w:tc>
        <w:tc>
          <w:tcPr>
            <w:tcW w:type="dxa" w:w="1232"/>
            <w:vAlign w:val="center"/>
          </w:tcPr>
          <w:p>
            <w:pPr>
              <w:spacing w:after="0"/>
            </w:pPr>
            <w:r>
              <w:rPr>
                <w:sz w:val="12"/>
              </w:rPr>
              <w:t>0.096</w:t>
            </w:r>
          </w:p>
        </w:tc>
        <w:tc>
          <w:tcPr>
            <w:tcW w:type="dxa" w:w="1232"/>
            <w:vAlign w:val="center"/>
          </w:tcPr>
          <w:p>
            <w:pPr>
              <w:spacing w:after="0"/>
            </w:pPr>
            <w:r>
              <w:rPr>
                <w:sz w:val="12"/>
              </w:rPr>
              <w:t>8.84%</w:t>
            </w:r>
          </w:p>
        </w:tc>
        <w:tc>
          <w:tcPr>
            <w:tcW w:type="dxa" w:w="1232"/>
            <w:vAlign w:val="center"/>
          </w:tcPr>
          <w:p>
            <w:pPr>
              <w:spacing w:after="0"/>
            </w:pPr>
            <w:r>
              <w:rPr>
                <w:sz w:val="12"/>
              </w:rPr>
              <w:t>8.19%</w:t>
            </w:r>
          </w:p>
        </w:tc>
      </w:tr>
      <w:tr>
        <w:trPr>
          <w:cantSplit/>
        </w:trPr>
        <w:tc>
          <w:tcPr>
            <w:tcW w:type="dxa" w:w="1232"/>
            <w:vAlign w:val="center"/>
          </w:tcPr>
          <w:p>
            <w:pPr>
              <w:spacing w:after="0"/>
            </w:pPr>
            <w:r>
              <w:rPr>
                <w:sz w:val="12"/>
              </w:rPr>
              <w:t>T07</w:t>
            </w:r>
          </w:p>
        </w:tc>
        <w:tc>
          <w:tcPr>
            <w:tcW w:type="dxa" w:w="1232"/>
            <w:vAlign w:val="center"/>
          </w:tcPr>
          <w:p>
            <w:pPr>
              <w:spacing w:after="0"/>
            </w:pPr>
            <w:r>
              <w:rPr>
                <w:sz w:val="12"/>
              </w:rPr>
              <w:t>Alternative methods, challenges and "why" questions</w:t>
            </w:r>
          </w:p>
        </w:tc>
        <w:tc>
          <w:tcPr>
            <w:tcW w:type="dxa" w:w="1232"/>
            <w:vAlign w:val="center"/>
          </w:tcPr>
          <w:p>
            <w:pPr>
              <w:spacing w:after="0"/>
            </w:pPr>
            <w:r>
              <w:rPr>
                <w:sz w:val="12"/>
              </w:rPr>
              <w:t>knowledge sharing behaviour</w:t>
            </w:r>
          </w:p>
        </w:tc>
        <w:tc>
          <w:tcPr>
            <w:tcW w:type="dxa" w:w="1232"/>
            <w:vAlign w:val="center"/>
          </w:tcPr>
          <w:p>
            <w:pPr>
              <w:spacing w:after="0"/>
            </w:pPr>
            <w:r>
              <w:rPr>
                <w:sz w:val="12"/>
              </w:rPr>
              <w:t>4</w:t>
            </w:r>
          </w:p>
        </w:tc>
        <w:tc>
          <w:tcPr>
            <w:tcW w:type="dxa" w:w="1232"/>
            <w:vAlign w:val="center"/>
          </w:tcPr>
          <w:p>
            <w:pPr>
              <w:spacing w:after="0"/>
            </w:pPr>
            <w:r>
              <w:rPr>
                <w:sz w:val="12"/>
              </w:rPr>
              <w:t>0.979</w:t>
            </w:r>
          </w:p>
        </w:tc>
        <w:tc>
          <w:tcPr>
            <w:tcW w:type="dxa" w:w="1232"/>
            <w:vAlign w:val="center"/>
          </w:tcPr>
          <w:p>
            <w:pPr>
              <w:spacing w:after="0"/>
            </w:pPr>
            <w:r>
              <w:rPr>
                <w:sz w:val="12"/>
              </w:rPr>
              <w:t>0.971</w:t>
            </w:r>
          </w:p>
        </w:tc>
        <w:tc>
          <w:tcPr>
            <w:tcW w:type="dxa" w:w="1232"/>
            <w:vAlign w:val="center"/>
          </w:tcPr>
          <w:p>
            <w:pPr>
              <w:spacing w:after="0"/>
            </w:pPr>
            <w:r>
              <w:rPr>
                <w:sz w:val="12"/>
              </w:rPr>
              <w:t>4.13%</w:t>
            </w:r>
          </w:p>
        </w:tc>
        <w:tc>
          <w:tcPr>
            <w:tcW w:type="dxa" w:w="1232"/>
            <w:vAlign w:val="center"/>
          </w:tcPr>
          <w:p>
            <w:pPr>
              <w:spacing w:after="0"/>
            </w:pPr>
            <w:r>
              <w:rPr>
                <w:sz w:val="12"/>
              </w:rPr>
              <w:t>4.84%</w:t>
            </w:r>
          </w:p>
        </w:tc>
      </w:tr>
      <w:tr>
        <w:trPr>
          <w:cantSplit/>
        </w:trPr>
        <w:tc>
          <w:tcPr>
            <w:tcW w:type="dxa" w:w="1232"/>
            <w:vAlign w:val="center"/>
          </w:tcPr>
          <w:p>
            <w:pPr>
              <w:spacing w:after="0"/>
            </w:pPr>
            <w:r>
              <w:rPr>
                <w:sz w:val="12"/>
              </w:rPr>
              <w:t>T08</w:t>
            </w:r>
          </w:p>
        </w:tc>
        <w:tc>
          <w:tcPr>
            <w:tcW w:type="dxa" w:w="1232"/>
            <w:vAlign w:val="center"/>
          </w:tcPr>
          <w:p>
            <w:pPr>
              <w:spacing w:after="0"/>
            </w:pPr>
            <w:r>
              <w:rPr>
                <w:sz w:val="12"/>
              </w:rPr>
              <w:t>Solar PV, batteries and power systems</w:t>
            </w:r>
          </w:p>
        </w:tc>
        <w:tc>
          <w:tcPr>
            <w:tcW w:type="dxa" w:w="1232"/>
            <w:vAlign w:val="center"/>
          </w:tcPr>
          <w:p>
            <w:pPr>
              <w:spacing w:after="0"/>
            </w:pPr>
            <w:r>
              <w:rPr>
                <w:sz w:val="12"/>
              </w:rPr>
              <w:t>technical subject</w:t>
            </w:r>
          </w:p>
        </w:tc>
        <w:tc>
          <w:tcPr>
            <w:tcW w:type="dxa" w:w="1232"/>
            <w:vAlign w:val="center"/>
          </w:tcPr>
          <w:p>
            <w:pPr>
              <w:spacing w:after="0"/>
            </w:pPr>
            <w:r>
              <w:rPr>
                <w:sz w:val="12"/>
              </w:rPr>
              <w:t>5</w:t>
            </w:r>
          </w:p>
        </w:tc>
        <w:tc>
          <w:tcPr>
            <w:tcW w:type="dxa" w:w="1232"/>
            <w:vAlign w:val="center"/>
          </w:tcPr>
          <w:p>
            <w:pPr>
              <w:spacing w:after="0"/>
            </w:pPr>
            <w:r>
              <w:rPr>
                <w:sz w:val="12"/>
              </w:rPr>
              <w:t>0.996</w:t>
            </w:r>
          </w:p>
        </w:tc>
        <w:tc>
          <w:tcPr>
            <w:tcW w:type="dxa" w:w="1232"/>
            <w:vAlign w:val="center"/>
          </w:tcPr>
          <w:p>
            <w:pPr>
              <w:spacing w:after="0"/>
            </w:pPr>
            <w:r>
              <w:rPr>
                <w:sz w:val="12"/>
              </w:rPr>
              <w:t>0.995</w:t>
            </w:r>
          </w:p>
        </w:tc>
        <w:tc>
          <w:tcPr>
            <w:tcW w:type="dxa" w:w="1232"/>
            <w:vAlign w:val="center"/>
          </w:tcPr>
          <w:p>
            <w:pPr>
              <w:spacing w:after="0"/>
            </w:pPr>
            <w:r>
              <w:rPr>
                <w:sz w:val="12"/>
              </w:rPr>
              <w:t>8.01%</w:t>
            </w:r>
          </w:p>
        </w:tc>
        <w:tc>
          <w:tcPr>
            <w:tcW w:type="dxa" w:w="1232"/>
            <w:vAlign w:val="center"/>
          </w:tcPr>
          <w:p>
            <w:pPr>
              <w:spacing w:after="0"/>
            </w:pPr>
            <w:r>
              <w:rPr>
                <w:sz w:val="12"/>
              </w:rPr>
              <w:t>7.33%</w:t>
            </w:r>
          </w:p>
        </w:tc>
      </w:tr>
      <w:tr>
        <w:trPr>
          <w:cantSplit/>
        </w:trPr>
        <w:tc>
          <w:tcPr>
            <w:tcW w:type="dxa" w:w="1232"/>
            <w:vAlign w:val="center"/>
          </w:tcPr>
          <w:p>
            <w:pPr>
              <w:spacing w:after="0"/>
            </w:pPr>
            <w:r>
              <w:rPr>
                <w:sz w:val="12"/>
              </w:rPr>
              <w:t>T09</w:t>
            </w:r>
          </w:p>
        </w:tc>
        <w:tc>
          <w:tcPr>
            <w:tcW w:type="dxa" w:w="1232"/>
            <w:vAlign w:val="center"/>
          </w:tcPr>
          <w:p>
            <w:pPr>
              <w:spacing w:after="0"/>
            </w:pPr>
            <w:r>
              <w:rPr>
                <w:sz w:val="12"/>
              </w:rPr>
              <w:t>Performance checking and troubleshooting</w:t>
            </w:r>
          </w:p>
        </w:tc>
        <w:tc>
          <w:tcPr>
            <w:tcW w:type="dxa" w:w="1232"/>
            <w:vAlign w:val="center"/>
          </w:tcPr>
          <w:p>
            <w:pPr>
              <w:spacing w:after="0"/>
            </w:pPr>
            <w:r>
              <w:rPr>
                <w:sz w:val="12"/>
              </w:rPr>
              <w:t>knowledge sharing behaviour</w:t>
            </w:r>
          </w:p>
        </w:tc>
        <w:tc>
          <w:tcPr>
            <w:tcW w:type="dxa" w:w="1232"/>
            <w:vAlign w:val="center"/>
          </w:tcPr>
          <w:p>
            <w:pPr>
              <w:spacing w:after="0"/>
            </w:pPr>
            <w:r>
              <w:rPr>
                <w:sz w:val="12"/>
              </w:rPr>
              <w:t>4</w:t>
            </w:r>
          </w:p>
        </w:tc>
        <w:tc>
          <w:tcPr>
            <w:tcW w:type="dxa" w:w="1232"/>
            <w:vAlign w:val="center"/>
          </w:tcPr>
          <w:p>
            <w:pPr>
              <w:spacing w:after="0"/>
            </w:pPr>
            <w:r>
              <w:rPr>
                <w:sz w:val="12"/>
              </w:rPr>
              <w:t>0.976</w:t>
            </w:r>
          </w:p>
        </w:tc>
        <w:tc>
          <w:tcPr>
            <w:tcW w:type="dxa" w:w="1232"/>
            <w:vAlign w:val="center"/>
          </w:tcPr>
          <w:p>
            <w:pPr>
              <w:spacing w:after="0"/>
            </w:pPr>
            <w:r>
              <w:rPr>
                <w:sz w:val="12"/>
              </w:rPr>
              <w:t>0.959</w:t>
            </w:r>
          </w:p>
        </w:tc>
        <w:tc>
          <w:tcPr>
            <w:tcW w:type="dxa" w:w="1232"/>
            <w:vAlign w:val="center"/>
          </w:tcPr>
          <w:p>
            <w:pPr>
              <w:spacing w:after="0"/>
            </w:pPr>
            <w:r>
              <w:rPr>
                <w:sz w:val="12"/>
              </w:rPr>
              <w:t>5.74%</w:t>
            </w:r>
          </w:p>
        </w:tc>
        <w:tc>
          <w:tcPr>
            <w:tcW w:type="dxa" w:w="1232"/>
            <w:vAlign w:val="center"/>
          </w:tcPr>
          <w:p>
            <w:pPr>
              <w:spacing w:after="0"/>
            </w:pPr>
            <w:r>
              <w:rPr>
                <w:sz w:val="12"/>
              </w:rPr>
              <w:t>5.79%</w:t>
            </w:r>
          </w:p>
        </w:tc>
      </w:tr>
      <w:tr>
        <w:trPr>
          <w:cantSplit/>
        </w:trPr>
        <w:tc>
          <w:tcPr>
            <w:tcW w:type="dxa" w:w="1232"/>
            <w:vAlign w:val="center"/>
          </w:tcPr>
          <w:p>
            <w:pPr>
              <w:spacing w:after="0"/>
            </w:pPr>
            <w:r>
              <w:rPr>
                <w:sz w:val="12"/>
              </w:rPr>
              <w:t>T10</w:t>
            </w:r>
          </w:p>
        </w:tc>
        <w:tc>
          <w:tcPr>
            <w:tcW w:type="dxa" w:w="1232"/>
            <w:vAlign w:val="center"/>
          </w:tcPr>
          <w:p>
            <w:pPr>
              <w:spacing w:after="0"/>
            </w:pPr>
            <w:r>
              <w:rPr>
                <w:sz w:val="12"/>
              </w:rPr>
              <w:t>Implementation follow-up, outcomes and retrospective questions</w:t>
            </w:r>
          </w:p>
        </w:tc>
        <w:tc>
          <w:tcPr>
            <w:tcW w:type="dxa" w:w="1232"/>
            <w:vAlign w:val="center"/>
          </w:tcPr>
          <w:p>
            <w:pPr>
              <w:spacing w:after="0"/>
            </w:pPr>
            <w:r>
              <w:rPr>
                <w:sz w:val="12"/>
              </w:rPr>
              <w:t>knowledge sharing behaviour</w:t>
            </w:r>
          </w:p>
        </w:tc>
        <w:tc>
          <w:tcPr>
            <w:tcW w:type="dxa" w:w="1232"/>
            <w:vAlign w:val="center"/>
          </w:tcPr>
          <w:p>
            <w:pPr>
              <w:spacing w:after="0"/>
            </w:pPr>
            <w:r>
              <w:rPr>
                <w:sz w:val="12"/>
              </w:rPr>
              <w:t>3</w:t>
            </w:r>
          </w:p>
        </w:tc>
        <w:tc>
          <w:tcPr>
            <w:tcW w:type="dxa" w:w="1232"/>
            <w:vAlign w:val="center"/>
          </w:tcPr>
          <w:p>
            <w:pPr>
              <w:spacing w:after="0"/>
            </w:pPr>
            <w:r>
              <w:rPr>
                <w:sz w:val="12"/>
              </w:rPr>
              <w:t>0.742</w:t>
            </w:r>
          </w:p>
        </w:tc>
        <w:tc>
          <w:tcPr>
            <w:tcW w:type="dxa" w:w="1232"/>
            <w:vAlign w:val="center"/>
          </w:tcPr>
          <w:p>
            <w:pPr>
              <w:spacing w:after="0"/>
            </w:pPr>
            <w:r>
              <w:rPr>
                <w:sz w:val="12"/>
              </w:rPr>
              <w:t>0.994</w:t>
            </w:r>
          </w:p>
        </w:tc>
        <w:tc>
          <w:tcPr>
            <w:tcW w:type="dxa" w:w="1232"/>
            <w:vAlign w:val="center"/>
          </w:tcPr>
          <w:p>
            <w:pPr>
              <w:spacing w:after="0"/>
            </w:pPr>
            <w:r>
              <w:rPr>
                <w:sz w:val="12"/>
              </w:rPr>
              <w:t>4.04%</w:t>
            </w:r>
          </w:p>
        </w:tc>
        <w:tc>
          <w:tcPr>
            <w:tcW w:type="dxa" w:w="1232"/>
            <w:vAlign w:val="center"/>
          </w:tcPr>
          <w:p>
            <w:pPr>
              <w:spacing w:after="0"/>
            </w:pPr>
            <w:r>
              <w:rPr>
                <w:sz w:val="12"/>
              </w:rPr>
              <w:t>3.72%</w:t>
            </w:r>
          </w:p>
        </w:tc>
      </w:tr>
      <w:tr>
        <w:trPr>
          <w:cantSplit/>
        </w:trPr>
        <w:tc>
          <w:tcPr>
            <w:tcW w:type="dxa" w:w="1232"/>
            <w:vAlign w:val="center"/>
          </w:tcPr>
          <w:p>
            <w:pPr>
              <w:spacing w:after="0"/>
            </w:pPr>
            <w:r>
              <w:rPr>
                <w:sz w:val="12"/>
              </w:rPr>
              <w:t>T11</w:t>
            </w:r>
          </w:p>
        </w:tc>
        <w:tc>
          <w:tcPr>
            <w:tcW w:type="dxa" w:w="1232"/>
            <w:vAlign w:val="center"/>
          </w:tcPr>
          <w:p>
            <w:pPr>
              <w:spacing w:after="0"/>
            </w:pPr>
            <w:r>
              <w:rPr>
                <w:sz w:val="12"/>
              </w:rPr>
              <w:t>Product sourcing, access and location questions</w:t>
            </w:r>
          </w:p>
        </w:tc>
        <w:tc>
          <w:tcPr>
            <w:tcW w:type="dxa" w:w="1232"/>
            <w:vAlign w:val="center"/>
          </w:tcPr>
          <w:p>
            <w:pPr>
              <w:spacing w:after="0"/>
            </w:pPr>
            <w:r>
              <w:rPr>
                <w:sz w:val="12"/>
              </w:rPr>
              <w:t>knowledge sharing behaviour</w:t>
            </w:r>
          </w:p>
        </w:tc>
        <w:tc>
          <w:tcPr>
            <w:tcW w:type="dxa" w:w="1232"/>
            <w:vAlign w:val="center"/>
          </w:tcPr>
          <w:p>
            <w:pPr>
              <w:spacing w:after="0"/>
            </w:pPr>
            <w:r>
              <w:rPr>
                <w:sz w:val="12"/>
              </w:rPr>
              <w:t>4</w:t>
            </w:r>
          </w:p>
        </w:tc>
        <w:tc>
          <w:tcPr>
            <w:tcW w:type="dxa" w:w="1232"/>
            <w:vAlign w:val="center"/>
          </w:tcPr>
          <w:p>
            <w:pPr>
              <w:spacing w:after="0"/>
            </w:pPr>
            <w:r>
              <w:rPr>
                <w:sz w:val="12"/>
              </w:rPr>
              <w:t>0.995</w:t>
            </w:r>
          </w:p>
        </w:tc>
        <w:tc>
          <w:tcPr>
            <w:tcW w:type="dxa" w:w="1232"/>
            <w:vAlign w:val="center"/>
          </w:tcPr>
          <w:p>
            <w:pPr>
              <w:spacing w:after="0"/>
            </w:pPr>
            <w:r>
              <w:rPr>
                <w:sz w:val="12"/>
              </w:rPr>
              <w:t>1.000</w:t>
            </w:r>
          </w:p>
        </w:tc>
        <w:tc>
          <w:tcPr>
            <w:tcW w:type="dxa" w:w="1232"/>
            <w:vAlign w:val="center"/>
          </w:tcPr>
          <w:p>
            <w:pPr>
              <w:spacing w:after="0"/>
            </w:pPr>
            <w:r>
              <w:rPr>
                <w:sz w:val="12"/>
              </w:rPr>
              <w:t>2.46%</w:t>
            </w:r>
          </w:p>
        </w:tc>
        <w:tc>
          <w:tcPr>
            <w:tcW w:type="dxa" w:w="1232"/>
            <w:vAlign w:val="center"/>
          </w:tcPr>
          <w:p>
            <w:pPr>
              <w:spacing w:after="0"/>
            </w:pPr>
            <w:r>
              <w:rPr>
                <w:sz w:val="12"/>
              </w:rPr>
              <w:t>2.62%</w:t>
            </w:r>
          </w:p>
        </w:tc>
      </w:tr>
      <w:tr>
        <w:trPr>
          <w:cantSplit/>
        </w:trPr>
        <w:tc>
          <w:tcPr>
            <w:tcW w:type="dxa" w:w="1232"/>
            <w:vAlign w:val="center"/>
          </w:tcPr>
          <w:p>
            <w:pPr>
              <w:spacing w:after="0"/>
            </w:pPr>
            <w:r>
              <w:rPr>
                <w:sz w:val="12"/>
              </w:rPr>
              <w:t>T12</w:t>
            </w:r>
          </w:p>
        </w:tc>
        <w:tc>
          <w:tcPr>
            <w:tcW w:type="dxa" w:w="1232"/>
            <w:vAlign w:val="center"/>
          </w:tcPr>
          <w:p>
            <w:pPr>
              <w:spacing w:after="0"/>
            </w:pPr>
            <w:r>
              <w:rPr>
                <w:sz w:val="12"/>
              </w:rPr>
              <w:t>Roof and attic ventilation and airflow</w:t>
            </w:r>
          </w:p>
        </w:tc>
        <w:tc>
          <w:tcPr>
            <w:tcW w:type="dxa" w:w="1232"/>
            <w:vAlign w:val="center"/>
          </w:tcPr>
          <w:p>
            <w:pPr>
              <w:spacing w:after="0"/>
            </w:pPr>
            <w:r>
              <w:rPr>
                <w:sz w:val="12"/>
              </w:rPr>
              <w:t>technical subject</w:t>
            </w:r>
          </w:p>
        </w:tc>
        <w:tc>
          <w:tcPr>
            <w:tcW w:type="dxa" w:w="1232"/>
            <w:vAlign w:val="center"/>
          </w:tcPr>
          <w:p>
            <w:pPr>
              <w:spacing w:after="0"/>
            </w:pPr>
            <w:r>
              <w:rPr>
                <w:sz w:val="12"/>
              </w:rPr>
              <w:t>5</w:t>
            </w:r>
          </w:p>
        </w:tc>
        <w:tc>
          <w:tcPr>
            <w:tcW w:type="dxa" w:w="1232"/>
            <w:vAlign w:val="center"/>
          </w:tcPr>
          <w:p>
            <w:pPr>
              <w:spacing w:after="0"/>
            </w:pPr>
            <w:r>
              <w:rPr>
                <w:sz w:val="12"/>
              </w:rPr>
              <w:t>0.899</w:t>
            </w:r>
          </w:p>
        </w:tc>
        <w:tc>
          <w:tcPr>
            <w:tcW w:type="dxa" w:w="1232"/>
            <w:vAlign w:val="center"/>
          </w:tcPr>
          <w:p>
            <w:pPr>
              <w:spacing w:after="0"/>
            </w:pPr>
            <w:r>
              <w:rPr>
                <w:sz w:val="12"/>
              </w:rPr>
              <w:t>0.991</w:t>
            </w:r>
          </w:p>
        </w:tc>
        <w:tc>
          <w:tcPr>
            <w:tcW w:type="dxa" w:w="1232"/>
            <w:vAlign w:val="center"/>
          </w:tcPr>
          <w:p>
            <w:pPr>
              <w:spacing w:after="0"/>
            </w:pPr>
            <w:r>
              <w:rPr>
                <w:sz w:val="12"/>
              </w:rPr>
              <w:t>9.56%</w:t>
            </w:r>
          </w:p>
        </w:tc>
        <w:tc>
          <w:tcPr>
            <w:tcW w:type="dxa" w:w="1232"/>
            <w:vAlign w:val="center"/>
          </w:tcPr>
          <w:p>
            <w:pPr>
              <w:spacing w:after="0"/>
            </w:pPr>
            <w:r>
              <w:rPr>
                <w:sz w:val="12"/>
              </w:rPr>
              <w:t>8.56%</w:t>
            </w:r>
          </w:p>
        </w:tc>
      </w:tr>
      <w:tr>
        <w:trPr>
          <w:cantSplit/>
        </w:trPr>
        <w:tc>
          <w:tcPr>
            <w:tcW w:type="dxa" w:w="1232"/>
            <w:vAlign w:val="center"/>
          </w:tcPr>
          <w:p>
            <w:pPr>
              <w:spacing w:after="0"/>
            </w:pPr>
            <w:r>
              <w:rPr>
                <w:sz w:val="12"/>
              </w:rPr>
              <w:t>T13</w:t>
            </w:r>
          </w:p>
        </w:tc>
        <w:tc>
          <w:tcPr>
            <w:tcW w:type="dxa" w:w="1232"/>
            <w:vAlign w:val="center"/>
          </w:tcPr>
          <w:p>
            <w:pPr>
              <w:spacing w:after="0"/>
            </w:pPr>
            <w:r>
              <w:rPr>
                <w:sz w:val="12"/>
              </w:rPr>
              <w:t>Wall, cavity and floor insulation</w:t>
            </w:r>
          </w:p>
        </w:tc>
        <w:tc>
          <w:tcPr>
            <w:tcW w:type="dxa" w:w="1232"/>
            <w:vAlign w:val="center"/>
          </w:tcPr>
          <w:p>
            <w:pPr>
              <w:spacing w:after="0"/>
            </w:pPr>
            <w:r>
              <w:rPr>
                <w:sz w:val="12"/>
              </w:rPr>
              <w:t>technical subject</w:t>
            </w:r>
          </w:p>
        </w:tc>
        <w:tc>
          <w:tcPr>
            <w:tcW w:type="dxa" w:w="1232"/>
            <w:vAlign w:val="center"/>
          </w:tcPr>
          <w:p>
            <w:pPr>
              <w:spacing w:after="0"/>
            </w:pPr>
            <w:r>
              <w:rPr>
                <w:sz w:val="12"/>
              </w:rPr>
              <w:t>5</w:t>
            </w:r>
          </w:p>
        </w:tc>
        <w:tc>
          <w:tcPr>
            <w:tcW w:type="dxa" w:w="1232"/>
            <w:vAlign w:val="center"/>
          </w:tcPr>
          <w:p>
            <w:pPr>
              <w:spacing w:after="0"/>
            </w:pPr>
            <w:r>
              <w:rPr>
                <w:sz w:val="12"/>
              </w:rPr>
              <w:t>0.993</w:t>
            </w:r>
          </w:p>
        </w:tc>
        <w:tc>
          <w:tcPr>
            <w:tcW w:type="dxa" w:w="1232"/>
            <w:vAlign w:val="center"/>
          </w:tcPr>
          <w:p>
            <w:pPr>
              <w:spacing w:after="0"/>
            </w:pPr>
            <w:r>
              <w:rPr>
                <w:sz w:val="12"/>
              </w:rPr>
              <w:t>0.997</w:t>
            </w:r>
          </w:p>
        </w:tc>
        <w:tc>
          <w:tcPr>
            <w:tcW w:type="dxa" w:w="1232"/>
            <w:vAlign w:val="center"/>
          </w:tcPr>
          <w:p>
            <w:pPr>
              <w:spacing w:after="0"/>
            </w:pPr>
            <w:r>
              <w:rPr>
                <w:sz w:val="12"/>
              </w:rPr>
              <w:t>7.72%</w:t>
            </w:r>
          </w:p>
        </w:tc>
        <w:tc>
          <w:tcPr>
            <w:tcW w:type="dxa" w:w="1232"/>
            <w:vAlign w:val="center"/>
          </w:tcPr>
          <w:p>
            <w:pPr>
              <w:spacing w:after="0"/>
            </w:pPr>
            <w:r>
              <w:rPr>
                <w:sz w:val="12"/>
              </w:rPr>
              <w:t>7.70%</w:t>
            </w:r>
          </w:p>
        </w:tc>
      </w:tr>
      <w:tr>
        <w:trPr>
          <w:cantSplit/>
        </w:trPr>
        <w:tc>
          <w:tcPr>
            <w:tcW w:type="dxa" w:w="1232"/>
            <w:vAlign w:val="center"/>
          </w:tcPr>
          <w:p>
            <w:pPr>
              <w:spacing w:after="0"/>
            </w:pPr>
            <w:r>
              <w:rPr>
                <w:sz w:val="12"/>
              </w:rPr>
              <w:t>T14</w:t>
            </w:r>
          </w:p>
        </w:tc>
        <w:tc>
          <w:tcPr>
            <w:tcW w:type="dxa" w:w="1232"/>
            <w:vAlign w:val="center"/>
          </w:tcPr>
          <w:p>
            <w:pPr>
              <w:spacing w:after="0"/>
            </w:pPr>
            <w:r>
              <w:rPr>
                <w:sz w:val="12"/>
              </w:rPr>
              <w:t>Thermostat wiring and smart heating controls</w:t>
            </w:r>
          </w:p>
        </w:tc>
        <w:tc>
          <w:tcPr>
            <w:tcW w:type="dxa" w:w="1232"/>
            <w:vAlign w:val="center"/>
          </w:tcPr>
          <w:p>
            <w:pPr>
              <w:spacing w:after="0"/>
            </w:pPr>
            <w:r>
              <w:rPr>
                <w:sz w:val="12"/>
              </w:rPr>
              <w:t>technical subject</w:t>
            </w:r>
          </w:p>
        </w:tc>
        <w:tc>
          <w:tcPr>
            <w:tcW w:type="dxa" w:w="1232"/>
            <w:vAlign w:val="center"/>
          </w:tcPr>
          <w:p>
            <w:pPr>
              <w:spacing w:after="0"/>
            </w:pPr>
            <w:r>
              <w:rPr>
                <w:sz w:val="12"/>
              </w:rPr>
              <w:t>5</w:t>
            </w:r>
          </w:p>
        </w:tc>
        <w:tc>
          <w:tcPr>
            <w:tcW w:type="dxa" w:w="1232"/>
            <w:vAlign w:val="center"/>
          </w:tcPr>
          <w:p>
            <w:pPr>
              <w:spacing w:after="0"/>
            </w:pPr>
            <w:r>
              <w:rPr>
                <w:sz w:val="12"/>
              </w:rPr>
              <w:t>0.995</w:t>
            </w:r>
          </w:p>
        </w:tc>
        <w:tc>
          <w:tcPr>
            <w:tcW w:type="dxa" w:w="1232"/>
            <w:vAlign w:val="center"/>
          </w:tcPr>
          <w:p>
            <w:pPr>
              <w:spacing w:after="0"/>
            </w:pPr>
            <w:r>
              <w:rPr>
                <w:sz w:val="12"/>
              </w:rPr>
              <w:t>0.995</w:t>
            </w:r>
          </w:p>
        </w:tc>
        <w:tc>
          <w:tcPr>
            <w:tcW w:type="dxa" w:w="1232"/>
            <w:vAlign w:val="center"/>
          </w:tcPr>
          <w:p>
            <w:pPr>
              <w:spacing w:after="0"/>
            </w:pPr>
            <w:r>
              <w:rPr>
                <w:sz w:val="12"/>
              </w:rPr>
              <w:t>4.34%</w:t>
            </w:r>
          </w:p>
        </w:tc>
        <w:tc>
          <w:tcPr>
            <w:tcW w:type="dxa" w:w="1232"/>
            <w:vAlign w:val="center"/>
          </w:tcPr>
          <w:p>
            <w:pPr>
              <w:spacing w:after="0"/>
            </w:pPr>
            <w:r>
              <w:rPr>
                <w:sz w:val="12"/>
              </w:rPr>
              <w:t>4.78%</w:t>
            </w:r>
          </w:p>
        </w:tc>
      </w:tr>
      <w:tr>
        <w:trPr>
          <w:cantSplit/>
        </w:trPr>
        <w:tc>
          <w:tcPr>
            <w:tcW w:type="dxa" w:w="1232"/>
            <w:vAlign w:val="center"/>
          </w:tcPr>
          <w:p>
            <w:pPr>
              <w:spacing w:after="0"/>
            </w:pPr>
            <w:r>
              <w:rPr>
                <w:sz w:val="12"/>
              </w:rPr>
              <w:t>T15</w:t>
            </w:r>
          </w:p>
        </w:tc>
        <w:tc>
          <w:tcPr>
            <w:tcW w:type="dxa" w:w="1232"/>
            <w:vAlign w:val="center"/>
          </w:tcPr>
          <w:p>
            <w:pPr>
              <w:spacing w:after="0"/>
            </w:pPr>
            <w:r>
              <w:rPr>
                <w:sz w:val="12"/>
              </w:rPr>
              <w:t>Vapour barriers and moisture control</w:t>
            </w:r>
          </w:p>
        </w:tc>
        <w:tc>
          <w:tcPr>
            <w:tcW w:type="dxa" w:w="1232"/>
            <w:vAlign w:val="center"/>
          </w:tcPr>
          <w:p>
            <w:pPr>
              <w:spacing w:after="0"/>
            </w:pPr>
            <w:r>
              <w:rPr>
                <w:sz w:val="12"/>
              </w:rPr>
              <w:t>technical subject</w:t>
            </w:r>
          </w:p>
        </w:tc>
        <w:tc>
          <w:tcPr>
            <w:tcW w:type="dxa" w:w="1232"/>
            <w:vAlign w:val="center"/>
          </w:tcPr>
          <w:p>
            <w:pPr>
              <w:spacing w:after="0"/>
            </w:pPr>
            <w:r>
              <w:rPr>
                <w:sz w:val="12"/>
              </w:rPr>
              <w:t>5</w:t>
            </w:r>
          </w:p>
        </w:tc>
        <w:tc>
          <w:tcPr>
            <w:tcW w:type="dxa" w:w="1232"/>
            <w:vAlign w:val="center"/>
          </w:tcPr>
          <w:p>
            <w:pPr>
              <w:spacing w:after="0"/>
            </w:pPr>
            <w:r>
              <w:rPr>
                <w:sz w:val="12"/>
              </w:rPr>
              <w:t>0.870</w:t>
            </w:r>
          </w:p>
        </w:tc>
        <w:tc>
          <w:tcPr>
            <w:tcW w:type="dxa" w:w="1232"/>
            <w:vAlign w:val="center"/>
          </w:tcPr>
          <w:p>
            <w:pPr>
              <w:spacing w:after="0"/>
            </w:pPr>
            <w:r>
              <w:rPr>
                <w:sz w:val="12"/>
              </w:rPr>
              <w:t>0.999</w:t>
            </w:r>
          </w:p>
        </w:tc>
        <w:tc>
          <w:tcPr>
            <w:tcW w:type="dxa" w:w="1232"/>
            <w:vAlign w:val="center"/>
          </w:tcPr>
          <w:p>
            <w:pPr>
              <w:spacing w:after="0"/>
            </w:pPr>
            <w:r>
              <w:rPr>
                <w:sz w:val="12"/>
              </w:rPr>
              <w:t>3.77%</w:t>
            </w:r>
          </w:p>
        </w:tc>
        <w:tc>
          <w:tcPr>
            <w:tcW w:type="dxa" w:w="1232"/>
            <w:vAlign w:val="center"/>
          </w:tcPr>
          <w:p>
            <w:pPr>
              <w:spacing w:after="0"/>
            </w:pPr>
            <w:r>
              <w:rPr>
                <w:sz w:val="12"/>
              </w:rPr>
              <w:t>3.94%</w:t>
            </w:r>
          </w:p>
        </w:tc>
      </w:tr>
      <w:tr>
        <w:trPr>
          <w:cantSplit/>
        </w:trPr>
        <w:tc>
          <w:tcPr>
            <w:tcW w:type="dxa" w:w="1232"/>
            <w:vAlign w:val="center"/>
          </w:tcPr>
          <w:p>
            <w:pPr>
              <w:spacing w:after="0"/>
            </w:pPr>
            <w:r>
              <w:rPr>
                <w:sz w:val="12"/>
              </w:rPr>
              <w:t>T16</w:t>
            </w:r>
          </w:p>
        </w:tc>
        <w:tc>
          <w:tcPr>
            <w:tcW w:type="dxa" w:w="1232"/>
            <w:vAlign w:val="center"/>
          </w:tcPr>
          <w:p>
            <w:pPr>
              <w:spacing w:after="0"/>
            </w:pPr>
            <w:r>
              <w:rPr>
                <w:sz w:val="12"/>
              </w:rPr>
              <w:t>Prospective choices, recommendations and alternatives</w:t>
            </w:r>
          </w:p>
        </w:tc>
        <w:tc>
          <w:tcPr>
            <w:tcW w:type="dxa" w:w="1232"/>
            <w:vAlign w:val="center"/>
          </w:tcPr>
          <w:p>
            <w:pPr>
              <w:spacing w:after="0"/>
            </w:pPr>
            <w:r>
              <w:rPr>
                <w:sz w:val="12"/>
              </w:rPr>
              <w:t>knowledge sharing behaviour</w:t>
            </w:r>
          </w:p>
        </w:tc>
        <w:tc>
          <w:tcPr>
            <w:tcW w:type="dxa" w:w="1232"/>
            <w:vAlign w:val="center"/>
          </w:tcPr>
          <w:p>
            <w:pPr>
              <w:spacing w:after="0"/>
            </w:pPr>
            <w:r>
              <w:rPr>
                <w:sz w:val="12"/>
              </w:rPr>
              <w:t>3</w:t>
            </w:r>
          </w:p>
        </w:tc>
        <w:tc>
          <w:tcPr>
            <w:tcW w:type="dxa" w:w="1232"/>
            <w:vAlign w:val="center"/>
          </w:tcPr>
          <w:p>
            <w:pPr>
              <w:spacing w:after="0"/>
            </w:pPr>
            <w:r>
              <w:rPr>
                <w:sz w:val="12"/>
              </w:rPr>
              <w:t>0.795</w:t>
            </w:r>
          </w:p>
        </w:tc>
        <w:tc>
          <w:tcPr>
            <w:tcW w:type="dxa" w:w="1232"/>
            <w:vAlign w:val="center"/>
          </w:tcPr>
          <w:p>
            <w:pPr>
              <w:spacing w:after="0"/>
            </w:pPr>
            <w:r>
              <w:rPr>
                <w:sz w:val="12"/>
              </w:rPr>
              <w:t>0.505</w:t>
            </w:r>
          </w:p>
        </w:tc>
        <w:tc>
          <w:tcPr>
            <w:tcW w:type="dxa" w:w="1232"/>
            <w:vAlign w:val="center"/>
          </w:tcPr>
          <w:p>
            <w:pPr>
              <w:spacing w:after="0"/>
            </w:pPr>
            <w:r>
              <w:rPr>
                <w:sz w:val="12"/>
              </w:rPr>
              <w:t>6.34%</w:t>
            </w:r>
          </w:p>
        </w:tc>
        <w:tc>
          <w:tcPr>
            <w:tcW w:type="dxa" w:w="1232"/>
            <w:vAlign w:val="center"/>
          </w:tcPr>
          <w:p>
            <w:pPr>
              <w:spacing w:after="0"/>
            </w:pPr>
            <w:r>
              <w:rPr>
                <w:sz w:val="12"/>
              </w:rPr>
              <w:t>6.85%</w:t>
            </w:r>
          </w:p>
        </w:tc>
      </w:tr>
    </w:tbl>
    <w:p>
      <w:pPr>
        <w:spacing w:after="40"/>
      </w:pPr>
    </w:p>
    <w:p>
      <w:pPr>
        <w:pStyle w:val="TableNote"/>
        <w:spacing w:after="80" w:line="259" w:lineRule="auto"/>
      </w:pPr>
      <w:r>
        <w:t>Locked interpretation file SHA-256: de464bf50139656e1210e93a7b4d5dcc4c51cb510d57c05298abe37ca9a687c3</w:t>
      </w:r>
    </w:p>
    <w:p>
      <w:r>
        <w:br w:type="page"/>
      </w:r>
    </w:p>
    <w:p>
      <w:pPr>
        <w:pStyle w:val="Heading1"/>
        <w:keepNext/>
      </w:pPr>
      <w:r>
        <w:t>Appendix B. Reproducibility record</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4929"/>
            <w:shd w:fill="284B63"/>
            <w:vAlign w:val="center"/>
          </w:tcPr>
          <w:p>
            <w:r>
              <w:rPr>
                <w:b/>
                <w:color w:val="FFFFFF"/>
                <w:sz w:val="14"/>
              </w:rPr>
              <w:t>Element</w:t>
            </w:r>
          </w:p>
        </w:tc>
        <w:tc>
          <w:tcPr>
            <w:tcW w:type="dxa" w:w="4929"/>
            <w:shd w:fill="284B63"/>
            <w:vAlign w:val="center"/>
          </w:tcPr>
          <w:p>
            <w:r>
              <w:rPr>
                <w:b/>
                <w:color w:val="FFFFFF"/>
                <w:sz w:val="14"/>
              </w:rPr>
              <w:t>Frozen specification</w:t>
            </w:r>
          </w:p>
        </w:tc>
      </w:tr>
      <w:tr>
        <w:trPr>
          <w:cantSplit/>
        </w:trPr>
        <w:tc>
          <w:tcPr>
            <w:tcW w:type="dxa" w:w="4929"/>
            <w:vAlign w:val="center"/>
          </w:tcPr>
          <w:p>
            <w:pPr>
              <w:spacing w:after="0"/>
            </w:pPr>
            <w:r>
              <w:rPr>
                <w:sz w:val="14"/>
              </w:rPr>
              <w:t>Primary text field</w:t>
            </w:r>
          </w:p>
        </w:tc>
        <w:tc>
          <w:tcPr>
            <w:tcW w:type="dxa" w:w="4929"/>
            <w:vAlign w:val="center"/>
          </w:tcPr>
          <w:p>
            <w:pPr>
              <w:spacing w:after="0"/>
            </w:pPr>
            <w:r>
              <w:rPr>
                <w:sz w:val="14"/>
              </w:rPr>
              <w:t>comment_text_no_urls</w:t>
            </w:r>
          </w:p>
        </w:tc>
      </w:tr>
      <w:tr>
        <w:trPr>
          <w:cantSplit/>
        </w:trPr>
        <w:tc>
          <w:tcPr>
            <w:tcW w:type="dxa" w:w="4929"/>
            <w:vAlign w:val="center"/>
          </w:tcPr>
          <w:p>
            <w:pPr>
              <w:spacing w:after="0"/>
            </w:pPr>
            <w:r>
              <w:rPr>
                <w:sz w:val="14"/>
              </w:rPr>
              <w:t>TF-IDF n-grams</w:t>
            </w:r>
          </w:p>
        </w:tc>
        <w:tc>
          <w:tcPr>
            <w:tcW w:type="dxa" w:w="4929"/>
            <w:vAlign w:val="center"/>
          </w:tcPr>
          <w:p>
            <w:pPr>
              <w:spacing w:after="0"/>
            </w:pPr>
            <w:r>
              <w:rPr>
                <w:sz w:val="14"/>
              </w:rPr>
              <w:t>(1,2)</w:t>
            </w:r>
          </w:p>
        </w:tc>
      </w:tr>
      <w:tr>
        <w:trPr>
          <w:cantSplit/>
        </w:trPr>
        <w:tc>
          <w:tcPr>
            <w:tcW w:type="dxa" w:w="4929"/>
            <w:vAlign w:val="center"/>
          </w:tcPr>
          <w:p>
            <w:pPr>
              <w:spacing w:after="0"/>
            </w:pPr>
            <w:r>
              <w:rPr>
                <w:sz w:val="14"/>
              </w:rPr>
              <w:t>min_df / max_df</w:t>
            </w:r>
          </w:p>
        </w:tc>
        <w:tc>
          <w:tcPr>
            <w:tcW w:type="dxa" w:w="4929"/>
            <w:vAlign w:val="center"/>
          </w:tcPr>
          <w:p>
            <w:pPr>
              <w:spacing w:after="0"/>
            </w:pPr>
            <w:r>
              <w:rPr>
                <w:sz w:val="14"/>
              </w:rPr>
              <w:t>10 / 0.85</w:t>
            </w:r>
          </w:p>
        </w:tc>
      </w:tr>
      <w:tr>
        <w:trPr>
          <w:cantSplit/>
        </w:trPr>
        <w:tc>
          <w:tcPr>
            <w:tcW w:type="dxa" w:w="4929"/>
            <w:vAlign w:val="center"/>
          </w:tcPr>
          <w:p>
            <w:pPr>
              <w:spacing w:after="0"/>
            </w:pPr>
            <w:r>
              <w:rPr>
                <w:sz w:val="14"/>
              </w:rPr>
              <w:t>TF-IDF scaling</w:t>
            </w:r>
          </w:p>
        </w:tc>
        <w:tc>
          <w:tcPr>
            <w:tcW w:type="dxa" w:w="4929"/>
            <w:vAlign w:val="center"/>
          </w:tcPr>
          <w:p>
            <w:pPr>
              <w:spacing w:after="0"/>
            </w:pPr>
            <w:r>
              <w:rPr>
                <w:sz w:val="14"/>
              </w:rPr>
              <w:t>sublinear_tf=True, smooth_idf=True, l2 normalisation</w:t>
            </w:r>
          </w:p>
        </w:tc>
      </w:tr>
      <w:tr>
        <w:trPr>
          <w:cantSplit/>
        </w:trPr>
        <w:tc>
          <w:tcPr>
            <w:tcW w:type="dxa" w:w="4929"/>
            <w:vAlign w:val="center"/>
          </w:tcPr>
          <w:p>
            <w:pPr>
              <w:spacing w:after="0"/>
            </w:pPr>
            <w:r>
              <w:rPr>
                <w:sz w:val="14"/>
              </w:rPr>
              <w:t>NMF initialisation</w:t>
            </w:r>
          </w:p>
        </w:tc>
        <w:tc>
          <w:tcPr>
            <w:tcW w:type="dxa" w:w="4929"/>
            <w:vAlign w:val="center"/>
          </w:tcPr>
          <w:p>
            <w:pPr>
              <w:spacing w:after="0"/>
            </w:pPr>
            <w:r>
              <w:rPr>
                <w:sz w:val="14"/>
              </w:rPr>
              <w:t>NNDSVDa</w:t>
            </w:r>
          </w:p>
        </w:tc>
      </w:tr>
      <w:tr>
        <w:trPr>
          <w:cantSplit/>
        </w:trPr>
        <w:tc>
          <w:tcPr>
            <w:tcW w:type="dxa" w:w="4929"/>
            <w:vAlign w:val="center"/>
          </w:tcPr>
          <w:p>
            <w:pPr>
              <w:spacing w:after="0"/>
            </w:pPr>
            <w:r>
              <w:rPr>
                <w:sz w:val="14"/>
              </w:rPr>
              <w:t>Solver / loss</w:t>
            </w:r>
          </w:p>
        </w:tc>
        <w:tc>
          <w:tcPr>
            <w:tcW w:type="dxa" w:w="4929"/>
            <w:vAlign w:val="center"/>
          </w:tcPr>
          <w:p>
            <w:pPr>
              <w:spacing w:after="0"/>
            </w:pPr>
            <w:r>
              <w:rPr>
                <w:sz w:val="14"/>
              </w:rPr>
              <w:t>coordinate descent / Frobenius</w:t>
            </w:r>
          </w:p>
        </w:tc>
      </w:tr>
      <w:tr>
        <w:trPr>
          <w:cantSplit/>
        </w:trPr>
        <w:tc>
          <w:tcPr>
            <w:tcW w:type="dxa" w:w="4929"/>
            <w:vAlign w:val="center"/>
          </w:tcPr>
          <w:p>
            <w:pPr>
              <w:spacing w:after="0"/>
            </w:pPr>
            <w:r>
              <w:rPr>
                <w:sz w:val="14"/>
              </w:rPr>
              <w:t>Tolerance / max iterations</w:t>
            </w:r>
          </w:p>
        </w:tc>
        <w:tc>
          <w:tcPr>
            <w:tcW w:type="dxa" w:w="4929"/>
            <w:vAlign w:val="center"/>
          </w:tcPr>
          <w:p>
            <w:pPr>
              <w:spacing w:after="0"/>
            </w:pPr>
            <w:r>
              <w:rPr>
                <w:sz w:val="14"/>
              </w:rPr>
              <w:t>1e-4 / 500</w:t>
            </w:r>
          </w:p>
        </w:tc>
      </w:tr>
      <w:tr>
        <w:trPr>
          <w:cantSplit/>
        </w:trPr>
        <w:tc>
          <w:tcPr>
            <w:tcW w:type="dxa" w:w="4929"/>
            <w:vAlign w:val="center"/>
          </w:tcPr>
          <w:p>
            <w:pPr>
              <w:spacing w:after="0"/>
            </w:pPr>
            <w:r>
              <w:rPr>
                <w:sz w:val="14"/>
              </w:rPr>
              <w:t>Primary random state</w:t>
            </w:r>
          </w:p>
        </w:tc>
        <w:tc>
          <w:tcPr>
            <w:tcW w:type="dxa" w:w="4929"/>
            <w:vAlign w:val="center"/>
          </w:tcPr>
          <w:p>
            <w:pPr>
              <w:spacing w:after="0"/>
            </w:pPr>
            <w:r>
              <w:rPr>
                <w:sz w:val="14"/>
              </w:rPr>
              <w:t>20260806</w:t>
            </w:r>
          </w:p>
        </w:tc>
      </w:tr>
      <w:tr>
        <w:trPr>
          <w:cantSplit/>
        </w:trPr>
        <w:tc>
          <w:tcPr>
            <w:tcW w:type="dxa" w:w="4929"/>
            <w:vAlign w:val="center"/>
          </w:tcPr>
          <w:p>
            <w:pPr>
              <w:spacing w:after="0"/>
            </w:pPr>
            <w:r>
              <w:rPr>
                <w:sz w:val="14"/>
              </w:rPr>
              <w:t>Stability design</w:t>
            </w:r>
          </w:p>
        </w:tc>
        <w:tc>
          <w:tcPr>
            <w:tcW w:type="dxa" w:w="4929"/>
            <w:vAlign w:val="center"/>
          </w:tcPr>
          <w:p>
            <w:pPr>
              <w:spacing w:after="0"/>
            </w:pPr>
            <w:r>
              <w:rPr>
                <w:sz w:val="14"/>
              </w:rPr>
              <w:t>10 independent 80% corpus subsamples</w:t>
            </w:r>
          </w:p>
        </w:tc>
      </w:tr>
      <w:tr>
        <w:trPr>
          <w:cantSplit/>
        </w:trPr>
        <w:tc>
          <w:tcPr>
            <w:tcW w:type="dxa" w:w="4929"/>
            <w:vAlign w:val="center"/>
          </w:tcPr>
          <w:p>
            <w:pPr>
              <w:spacing w:after="0"/>
            </w:pPr>
            <w:r>
              <w:rPr>
                <w:sz w:val="14"/>
              </w:rPr>
              <w:t>Sensitivity design</w:t>
            </w:r>
          </w:p>
        </w:tc>
        <w:tc>
          <w:tcPr>
            <w:tcW w:type="dxa" w:w="4929"/>
            <w:vAlign w:val="center"/>
          </w:tcPr>
          <w:p>
            <w:pPr>
              <w:spacing w:after="0"/>
            </w:pPr>
            <w:r>
              <w:rPr>
                <w:sz w:val="14"/>
              </w:rPr>
              <w:t>parallel content-focused TF-IDF representation</w:t>
            </w:r>
          </w:p>
        </w:tc>
      </w:tr>
      <w:tr>
        <w:trPr>
          <w:cantSplit/>
        </w:trPr>
        <w:tc>
          <w:tcPr>
            <w:tcW w:type="dxa" w:w="4929"/>
            <w:vAlign w:val="center"/>
          </w:tcPr>
          <w:p>
            <w:pPr>
              <w:spacing w:after="0"/>
            </w:pPr>
            <w:r>
              <w:rPr>
                <w:sz w:val="14"/>
              </w:rPr>
              <w:t>Final model</w:t>
            </w:r>
          </w:p>
        </w:tc>
        <w:tc>
          <w:tcPr>
            <w:tcW w:type="dxa" w:w="4929"/>
            <w:vAlign w:val="center"/>
          </w:tcPr>
          <w:p>
            <w:pPr>
              <w:spacing w:after="0"/>
            </w:pPr>
            <w:r>
              <w:rPr>
                <w:sz w:val="14"/>
              </w:rPr>
              <w:t>inclusive primary k=16</w:t>
            </w:r>
          </w:p>
        </w:tc>
      </w:tr>
      <w:tr>
        <w:trPr>
          <w:cantSplit/>
        </w:trPr>
        <w:tc>
          <w:tcPr>
            <w:tcW w:type="dxa" w:w="4929"/>
            <w:vAlign w:val="center"/>
          </w:tcPr>
          <w:p>
            <w:pPr>
              <w:spacing w:after="0"/>
            </w:pPr>
            <w:r>
              <w:rPr>
                <w:sz w:val="14"/>
              </w:rPr>
              <w:t>Engagement robustness</w:t>
            </w:r>
          </w:p>
        </w:tc>
        <w:tc>
          <w:tcPr>
            <w:tcW w:type="dxa" w:w="4929"/>
            <w:vAlign w:val="center"/>
          </w:tcPr>
          <w:p>
            <w:pPr>
              <w:spacing w:after="0"/>
            </w:pPr>
            <w:r>
              <w:rPr>
                <w:sz w:val="14"/>
              </w:rPr>
              <w:t>100 repeated equal-comment samples at 10 and 20 comments/video</w:t>
            </w:r>
          </w:p>
        </w:tc>
      </w:tr>
    </w:tbl>
    <w:p>
      <w:pPr>
        <w:spacing w:after="40"/>
      </w:pPr>
    </w:p>
    <w:p>
      <w:pPr>
        <w:pStyle w:val="TableNote"/>
        <w:spacing w:after="80" w:line="259" w:lineRule="auto"/>
      </w:pPr>
      <w:r>
        <w:t>Source output groups used in this report: Stage 06b stability outputs; Stage 07c locked interpretation; Stage 08a standalone comment-level outputs; Stage 08b video-context and publication-year outputs; Stage 08c engagement outputs; and Stage 08d equal-comment robustness outputs.</w:t>
      </w:r>
    </w:p>
    <w:sectPr w:rsidR="00FC693F" w:rsidRPr="0006063C" w:rsidSect="00034616">
      <w:footerReference w:type="default" r:id="rId9"/>
      <w:pgSz w:w="12240" w:h="15840"/>
      <w:pgMar w:top="1020" w:right="1191" w:bottom="1020" w:left="1191"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 xml:space="preserve">YouTube Retrofit NMF Analysis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284B63"/>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3C6E7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84B6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84B6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rPr>
  </w:style>
  <w:style w:type="character" w:styleId="IntenseReference">
    <w:name w:val="Intense Reference"/>
    <w:basedOn w:val="DefaultParagraphFont"/>
    <w:uiPriority w:val="32"/>
    <w:qFormat/>
    <w:rsid w:val="00FC693F"/>
    <w:rPr>
      <w:b/>
      <w:bCs/>
      <w:smallCaps/>
      <w:color w:val="C0504D" w:themeColor="accent2"/>
      <w:spacing w:val="5"/>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40"/>
    </w:pPr>
    <w:rPr>
      <w:rFonts w:ascii="Aptos" w:hAnsi="Aptos"/>
      <w:i/>
      <w:color w:val="5A5A5A"/>
      <w:sz w:val="17"/>
    </w:rPr>
  </w:style>
  <w:style w:type="paragraph" w:customStyle="1" w:styleId="TableNote">
    <w:name w:val="Table Note"/>
    <w:rPr>
      <w:rFonts w:ascii="Aptos" w:hAnsi="Aptos"/>
      <w:color w:val="5F5F5F"/>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YouTube Retrofit NMF Topic Modeling and Standalone Analysis Report</dc:title>
  <dc:subject>Standalone NMF modeling, validation and results analysis</dc:subject>
  <dc:creator>Research project</dc:creator>
  <cp:keywords>NMF, YouTube, retrofit, topic modeling, TF-IDF, stability, sensitivity, engagement</cp:keywords>
  <dc:description>generated by python-docx</dc:description>
  <cp:lastModifiedBy/>
  <cp:revision>1</cp:revision>
  <dcterms:created xsi:type="dcterms:W3CDTF">2013-12-23T23:15:00Z</dcterms:created>
  <dcterms:modified xsi:type="dcterms:W3CDTF">2013-12-23T23:15:00Z</dcterms:modified>
  <cp:category/>
</cp:coreProperties>
</file>