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F5C00"/>
          <w:sz w:val="28"/>
          <w:szCs w:val="28"/>
        </w:rPr>
        <w:t xml:space="preserve">PLANIE</w:t>
      </w:r>
    </w:p>
    <w:p>
      <w:pPr>
        <w:spacing w:after="80"/>
      </w:pPr>
      <w:r>
        <w:rPr>
          <w:b/>
          <w:bCs/>
          <w:color w:val="1A1A1A"/>
          <w:sz w:val="44"/>
          <w:szCs w:val="44"/>
        </w:rPr>
        <w:t xml:space="preserve">GEO Partner Portal — Product Specification</w:t>
      </w:r>
    </w:p>
    <w:p>
      <w:pPr>
        <w:spacing w:after="400"/>
      </w:pPr>
      <w:r>
        <w:rPr>
          <w:i/>
          <w:iCs/>
          <w:color w:val="666666"/>
          <w:sz w:val="22"/>
          <w:szCs w:val="22"/>
        </w:rPr>
        <w:t xml:space="preserve">Dashboard requirements · Internal tracking · Tier offerings · Cost model · Tooling &amp; AI requirements</w:t>
      </w:r>
    </w:p>
    <w:p>
      <w:pPr>
        <w:spacing w:after="500"/>
      </w:pPr>
      <w:r>
        <w:rPr>
          <w:color w:val="666666"/>
          <w:sz w:val="19"/>
          <w:szCs w:val="19"/>
        </w:rPr>
        <w:t xml:space="preserve">PM Spec · v1.0 · July 2026 · Confidential</w:t>
      </w:r>
    </w:p>
    <w:p>
      <w:pPr>
        <w:spacing w:after="140" w:line="300"/>
      </w:pPr>
      <w:r>
        <w:rPr>
          <w:b w:val="false"/>
          <w:bCs w:val="false"/>
          <w:i w:val="false"/>
          <w:iCs w:val="false"/>
          <w:color w:val="1A1A1A"/>
          <w:sz w:val="21"/>
          <w:szCs w:val="21"/>
        </w:rPr>
        <w:t xml:space="preserve">This document defines everything required to finalise the GEO (Generative Engine Optimization) segment of the Planie partner portal. It covers the partner-facing dashboard specification by tier, the internal tracking and operations requirements on Planie's side, the consolidated commercial offering, a full cost model per tier, and the tooling stack required to deliver it — including where AI intelligence is genuinely needed and where it is not.</w:t>
      </w:r>
    </w:p>
    <w:p>
      <w:pPr>
        <w:pStyle w:val="Heading1"/>
        <w:spacing w:after="160" w:before="360"/>
      </w:pPr>
      <w:r>
        <w:rPr>
          <w:color w:val="1A1A1A"/>
        </w:rPr>
        <w:t xml:space="preserve">1. Overview</w:t>
      </w:r>
    </w:p>
    <w:p>
      <w:pPr>
        <w:spacing w:after="140" w:line="300"/>
      </w:pPr>
      <w:r>
        <w:rPr>
          <w:b w:val="false"/>
          <w:bCs w:val="false"/>
          <w:i w:val="false"/>
          <w:iCs w:val="false"/>
          <w:color w:val="1A1A1A"/>
          <w:sz w:val="21"/>
          <w:szCs w:val="21"/>
        </w:rPr>
        <w:t xml:space="preserve">GEO measures how well a venue performs when AI systems — Planie, Claude, and ChatGPT — generate recommendations. The partner portal's GEO segment is the surface through which partners see their score, understand what drives it, and are guided toward paid tiers. The strategic design is deliberate: the Free tier creates awareness, Growth creates dependency, and Pro creates high-margin service revenue.</w:t>
      </w:r>
    </w:p>
    <w:p>
      <w:pPr>
        <w:spacing w:after="140" w:line="300"/>
      </w:pPr>
      <w:r>
        <w:rPr>
          <w:b w:val="false"/>
          <w:bCs w:val="false"/>
          <w:i w:val="false"/>
          <w:iCs w:val="false"/>
          <w:color w:val="1A1A1A"/>
          <w:sz w:val="21"/>
          <w:szCs w:val="21"/>
        </w:rPr>
        <w:t xml:space="preserve">The GEO segment must accomplish three things simultaneously: give partners a genuinely useful view of their AI discoverability, convert free partners into paying ones through contextual gating, and produce the data Planie needs internally to operate, price, and defend the product.</w:t>
      </w:r>
    </w:p>
    <w:p>
      <w:pPr>
        <w:pStyle w:val="Heading1"/>
        <w:spacing w:after="160" w:before="360"/>
      </w:pPr>
      <w:r>
        <w:rPr>
          <w:color w:val="1A1A1A"/>
        </w:rPr>
        <w:t xml:space="preserve">2. Partner-facing dashboard specification</w:t>
      </w:r>
    </w:p>
    <w:p>
      <w:pPr>
        <w:pStyle w:val="Heading2"/>
        <w:spacing w:after="120" w:before="280"/>
      </w:pPr>
      <w:r>
        <w:rPr>
          <w:color w:val="1A1A1A"/>
        </w:rPr>
        <w:t xml:space="preserve">2.1 Free tier — 'Know your score'</w:t>
      </w:r>
    </w:p>
    <w:p>
      <w:pPr>
        <w:spacing w:after="140" w:line="300"/>
      </w:pPr>
      <w:r>
        <w:rPr>
          <w:b w:val="false"/>
          <w:bCs w:val="false"/>
          <w:i w:val="false"/>
          <w:iCs w:val="false"/>
          <w:color w:val="1A1A1A"/>
          <w:sz w:val="21"/>
          <w:szCs w:val="21"/>
        </w:rPr>
        <w:t xml:space="preserve">The Free view shows three live metrics and deliberately teases the rest. Every locked metric is visible in the layout but blurred, with one line of copy stating exactly what insight is missing and a contextual upgrade CTA on the lock itself — not only a generic banner.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00"/>
      </w:tblGrid>
      <w:tr>
        <w:trPr>
          <w:tblHeader/>
        </w:trPr>
        <w:tc>
          <w:tcPr>
            <w:tcW w:type="dxa" w:w="2600"/>
            <w:shd w:fill="1A1A1A" w:val="clear"/>
            <w:tcMar>
              <w:top w:type="dxa" w:w="80"/>
              <w:left w:type="dxa" w:w="100"/>
              <w:bottom w:type="dxa" w:w="80"/>
              <w:right w:type="dxa" w:w="100"/>
            </w:tcMar>
          </w:tcPr>
          <w:p>
            <w:r>
              <w:rPr>
                <w:b/>
                <w:bCs/>
                <w:i w:val="false"/>
                <w:iCs w:val="false"/>
                <w:color w:val="FFFFFF"/>
                <w:sz w:val="19"/>
                <w:szCs w:val="19"/>
              </w:rPr>
              <w:t xml:space="preserve">Component</w:t>
            </w:r>
          </w:p>
        </w:tc>
        <w:tc>
          <w:tcPr>
            <w:tcW w:type="dxa" w:w="4300"/>
            <w:shd w:fill="1A1A1A" w:val="clear"/>
            <w:tcMar>
              <w:top w:type="dxa" w:w="80"/>
              <w:left w:type="dxa" w:w="100"/>
              <w:bottom w:type="dxa" w:w="80"/>
              <w:right w:type="dxa" w:w="100"/>
            </w:tcMar>
          </w:tcPr>
          <w:p>
            <w:r>
              <w:rPr>
                <w:b/>
                <w:bCs/>
                <w:i w:val="false"/>
                <w:iCs w:val="false"/>
                <w:color w:val="FFFFFF"/>
                <w:sz w:val="19"/>
                <w:szCs w:val="19"/>
              </w:rPr>
              <w:t xml:space="preserve">Specification</w:t>
            </w:r>
          </w:p>
        </w:tc>
        <w:tc>
          <w:tcPr>
            <w:tcW w:type="dxa" w:w="2400"/>
            <w:shd w:fill="1A1A1A" w:val="clear"/>
            <w:tcMar>
              <w:top w:type="dxa" w:w="80"/>
              <w:left w:type="dxa" w:w="100"/>
              <w:bottom w:type="dxa" w:w="80"/>
              <w:right w:type="dxa" w:w="100"/>
            </w:tcMar>
          </w:tcPr>
          <w:p>
            <w:r>
              <w:rPr>
                <w:b/>
                <w:bCs/>
                <w:i w:val="false"/>
                <w:iCs w:val="false"/>
                <w:color w:val="FFFFFF"/>
                <w:sz w:val="19"/>
                <w:szCs w:val="19"/>
              </w:rPr>
              <w:t xml:space="preserve">Notes</w:t>
            </w:r>
          </w:p>
        </w:tc>
      </w:tr>
      <w:tr>
        <w:tc>
          <w:tcPr>
            <w:tcW w:type="dxa" w:w="2600"/>
            <w:tcMar>
              <w:top w:type="dxa" w:w="80"/>
              <w:left w:type="dxa" w:w="100"/>
              <w:bottom w:type="dxa" w:w="80"/>
              <w:right w:type="dxa" w:w="100"/>
            </w:tcMar>
          </w:tcPr>
          <w:p>
            <w:r>
              <w:rPr>
                <w:b w:val="false"/>
                <w:bCs w:val="false"/>
                <w:i w:val="false"/>
                <w:iCs w:val="false"/>
                <w:color w:val="1A1A1A"/>
                <w:sz w:val="19"/>
                <w:szCs w:val="19"/>
              </w:rPr>
              <w:t xml:space="preserve">GEO score ring</w:t>
            </w:r>
          </w:p>
        </w:tc>
        <w:tc>
          <w:tcPr>
            <w:tcW w:type="dxa" w:w="4300"/>
            <w:tcMar>
              <w:top w:type="dxa" w:w="80"/>
              <w:left w:type="dxa" w:w="100"/>
              <w:bottom w:type="dxa" w:w="80"/>
              <w:right w:type="dxa" w:w="100"/>
            </w:tcMar>
          </w:tcPr>
          <w:p>
            <w:r>
              <w:rPr>
                <w:b w:val="false"/>
                <w:bCs w:val="false"/>
                <w:i w:val="false"/>
                <w:iCs w:val="false"/>
                <w:color w:val="1A1A1A"/>
                <w:sz w:val="19"/>
                <w:szCs w:val="19"/>
              </w:rPr>
              <w:t xml:space="preserve">0–100 score, colour-coded: red below 40, amber 40–70, green 70+. Benchmark line: 'Top venues score 80+'.</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The 'aha' moment. Revealed 24–48h after listing.</w:t>
            </w:r>
          </w:p>
        </w:tc>
      </w:tr>
      <w:tr>
        <w:tc>
          <w:tcPr>
            <w:tcW w:type="dxa" w:w="2600"/>
            <w:shd w:fill="F5F5F3" w:val="clear"/>
            <w:tcMar>
              <w:top w:type="dxa" w:w="80"/>
              <w:left w:type="dxa" w:w="100"/>
              <w:bottom w:type="dxa" w:w="80"/>
              <w:right w:type="dxa" w:w="100"/>
            </w:tcMar>
          </w:tcPr>
          <w:p>
            <w:r>
              <w:rPr>
                <w:b w:val="false"/>
                <w:bCs w:val="false"/>
                <w:i w:val="false"/>
                <w:iCs w:val="false"/>
                <w:color w:val="1A1A1A"/>
                <w:sz w:val="19"/>
                <w:szCs w:val="19"/>
              </w:rPr>
              <w:t xml:space="preserve">Planie mention rate</w:t>
            </w:r>
          </w:p>
        </w:tc>
        <w:tc>
          <w:tcPr>
            <w:tcW w:type="dxa" w:w="4300"/>
            <w:shd w:fill="F5F5F3" w:val="clear"/>
            <w:tcMar>
              <w:top w:type="dxa" w:w="80"/>
              <w:left w:type="dxa" w:w="100"/>
              <w:bottom w:type="dxa" w:w="80"/>
              <w:right w:type="dxa" w:w="100"/>
            </w:tcMar>
          </w:tcPr>
          <w:p>
            <w:r>
              <w:rPr>
                <w:b w:val="false"/>
                <w:bCs w:val="false"/>
                <w:i w:val="false"/>
                <w:iCs w:val="false"/>
                <w:color w:val="1A1A1A"/>
                <w:sz w:val="19"/>
                <w:szCs w:val="19"/>
              </w:rPr>
              <w:t xml:space="preserve">Percentage of relevant Planie-generated itineraries that include this venue.</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Makes the score feel real.</w:t>
            </w:r>
          </w:p>
        </w:tc>
      </w:tr>
      <w:tr>
        <w:tc>
          <w:tcPr>
            <w:tcW w:type="dxa" w:w="2600"/>
            <w:tcMar>
              <w:top w:type="dxa" w:w="80"/>
              <w:left w:type="dxa" w:w="100"/>
              <w:bottom w:type="dxa" w:w="80"/>
              <w:right w:type="dxa" w:w="100"/>
            </w:tcMar>
          </w:tcPr>
          <w:p>
            <w:r>
              <w:rPr>
                <w:b w:val="false"/>
                <w:bCs w:val="false"/>
                <w:i w:val="false"/>
                <w:iCs w:val="false"/>
                <w:color w:val="1A1A1A"/>
                <w:sz w:val="19"/>
                <w:szCs w:val="19"/>
              </w:rPr>
              <w:t xml:space="preserve">Profile completeness</w:t>
            </w:r>
          </w:p>
        </w:tc>
        <w:tc>
          <w:tcPr>
            <w:tcW w:type="dxa" w:w="4300"/>
            <w:tcMar>
              <w:top w:type="dxa" w:w="80"/>
              <w:left w:type="dxa" w:w="100"/>
              <w:bottom w:type="dxa" w:w="80"/>
              <w:right w:type="dxa" w:w="100"/>
            </w:tcMar>
          </w:tcPr>
          <w:p>
            <w:r>
              <w:rPr>
                <w:b w:val="false"/>
                <w:bCs w:val="false"/>
                <w:i w:val="false"/>
                <w:iCs w:val="false"/>
                <w:color w:val="1A1A1A"/>
                <w:sz w:val="19"/>
                <w:szCs w:val="19"/>
              </w:rPr>
              <w:t xml:space="preserve">Percentage bar with a direct 'Complete your profile' action linking to the profile editor.</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The one free lever a partner can pull.</w:t>
            </w:r>
          </w:p>
        </w:tc>
      </w:tr>
      <w:tr>
        <w:tc>
          <w:tcPr>
            <w:tcW w:type="dxa" w:w="2600"/>
            <w:shd w:fill="F5F5F3" w:val="clear"/>
            <w:tcMar>
              <w:top w:type="dxa" w:w="80"/>
              <w:left w:type="dxa" w:w="100"/>
              <w:bottom w:type="dxa" w:w="80"/>
              <w:right w:type="dxa" w:w="100"/>
            </w:tcMar>
          </w:tcPr>
          <w:p>
            <w:r>
              <w:rPr>
                <w:b w:val="false"/>
                <w:bCs w:val="false"/>
                <w:i w:val="false"/>
                <w:iCs w:val="false"/>
                <w:color w:val="1A1A1A"/>
                <w:sz w:val="19"/>
                <w:szCs w:val="19"/>
              </w:rPr>
              <w:t xml:space="preserve">Locked metric cards</w:t>
            </w:r>
          </w:p>
        </w:tc>
        <w:tc>
          <w:tcPr>
            <w:tcW w:type="dxa" w:w="4300"/>
            <w:shd w:fill="F5F5F3" w:val="clear"/>
            <w:tcMar>
              <w:top w:type="dxa" w:w="80"/>
              <w:left w:type="dxa" w:w="100"/>
              <w:bottom w:type="dxa" w:w="80"/>
              <w:right w:type="dxa" w:w="100"/>
            </w:tcMar>
          </w:tcPr>
          <w:p>
            <w:r>
              <w:rPr>
                <w:b w:val="false"/>
                <w:bCs w:val="false"/>
                <w:i w:val="false"/>
                <w:iCs w:val="false"/>
                <w:color w:val="1A1A1A"/>
                <w:sz w:val="19"/>
                <w:szCs w:val="19"/>
              </w:rPr>
              <w:t xml:space="preserve">All Growth metrics rendered blurred with lock icons. Each lock has one line of value copy and its own upgrade CTA.</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Instrument each lock's CTA separately for conversion analytics.</w:t>
            </w:r>
          </w:p>
        </w:tc>
      </w:tr>
    </w:tbl>
    <w:p>
      <w:pPr>
        <w:spacing w:after="100"/>
      </w:pPr>
    </w:p>
    <w:p>
      <w:pPr>
        <w:pStyle w:val="Heading2"/>
        <w:spacing w:after="120" w:before="280"/>
      </w:pPr>
      <w:r>
        <w:rPr>
          <w:color w:val="1A1A1A"/>
        </w:rPr>
        <w:t xml:space="preserve">2.2 Growth tier — 'See everything, fix it yourself'</w:t>
      </w:r>
    </w:p>
    <w:p>
      <w:pPr>
        <w:spacing w:after="140" w:line="300"/>
      </w:pPr>
      <w:r>
        <w:rPr>
          <w:b w:val="false"/>
          <w:bCs w:val="false"/>
          <w:i w:val="false"/>
          <w:iCs w:val="false"/>
          <w:color w:val="1A1A1A"/>
          <w:sz w:val="21"/>
          <w:szCs w:val="21"/>
        </w:rPr>
        <w:t xml:space="preserve">Growth unlocks the full analytics suite. The centrepiece is the cross-platform visibility row — Planie, Claude, and ChatGPT scores side by side with 30-day deltas — because no other venue platform offers this. The fix list is the most important single element on the page: it converts data into action, and its estimated score impact per item is what makes the score feel controllable.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1A1A1A" w:val="clear"/>
            <w:tcMar>
              <w:top w:type="dxa" w:w="80"/>
              <w:left w:type="dxa" w:w="100"/>
              <w:bottom w:type="dxa" w:w="80"/>
              <w:right w:type="dxa" w:w="100"/>
            </w:tcMar>
          </w:tcPr>
          <w:p>
            <w:r>
              <w:rPr>
                <w:b/>
                <w:bCs/>
                <w:i w:val="false"/>
                <w:iCs w:val="false"/>
                <w:color w:val="FFFFFF"/>
                <w:sz w:val="19"/>
                <w:szCs w:val="19"/>
              </w:rPr>
              <w:t xml:space="preserve">Component</w:t>
            </w:r>
          </w:p>
        </w:tc>
        <w:tc>
          <w:tcPr>
            <w:tcW w:type="dxa" w:w="6400"/>
            <w:shd w:fill="1A1A1A" w:val="clear"/>
            <w:tcMar>
              <w:top w:type="dxa" w:w="80"/>
              <w:left w:type="dxa" w:w="100"/>
              <w:bottom w:type="dxa" w:w="80"/>
              <w:right w:type="dxa" w:w="100"/>
            </w:tcMar>
          </w:tcPr>
          <w:p>
            <w:r>
              <w:rPr>
                <w:b/>
                <w:bCs/>
                <w:i w:val="false"/>
                <w:iCs w:val="false"/>
                <w:color w:val="FFFFFF"/>
                <w:sz w:val="19"/>
                <w:szCs w:val="19"/>
              </w:rPr>
              <w:t xml:space="preserve">Specification</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Cross-platform visibility</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Three score cards (Planie / Claude / ChatGPT), each with a 30-day delta indicator. Weekly refresh.</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Keyword alignment</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0–100 score plus a list of suggested terms to add to the profile description.</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Occasion fit</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Breakdown by occasion type (date night, birthday, after-work, family, groups). Strong and weak occasions surfaced explicitly.</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AI sentiment</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Positive / neutral / qualified classification with a representative quote (e.g. 'good but pricey').</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Competitor benchmark</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Anonymised rank against the top 5 similar venues in the area, with the area leader's score shown.</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Score trend</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30/60/90-day line chart annotated with profile-change events, so cause and effect is visible.</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Group size fit</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How often the venue appears for solo, couple, 4–6, and large-group queries.</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Auto fix list</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Prioritised, venue-specific actions with estimated score impact per item (e.g. '+4 est.') and completion state.</w:t>
            </w:r>
          </w:p>
        </w:tc>
      </w:tr>
    </w:tbl>
    <w:p>
      <w:pPr>
        <w:spacing w:after="100"/>
      </w:pPr>
    </w:p>
    <w:p>
      <w:pPr>
        <w:pStyle w:val="Heading2"/>
        <w:spacing w:after="120" w:before="280"/>
      </w:pPr>
      <w:r>
        <w:rPr>
          <w:color w:val="1A1A1A"/>
        </w:rPr>
        <w:t xml:space="preserve">2.3 Pro tier — 'We make AI recommend you'</w:t>
      </w:r>
    </w:p>
    <w:p>
      <w:pPr>
        <w:spacing w:after="140" w:line="300"/>
      </w:pPr>
      <w:r>
        <w:rPr>
          <w:b w:val="false"/>
          <w:bCs w:val="false"/>
          <w:i w:val="false"/>
          <w:iCs w:val="false"/>
          <w:color w:val="1A1A1A"/>
          <w:sz w:val="21"/>
          <w:szCs w:val="21"/>
        </w:rPr>
        <w:t xml:space="preserve">Pro adds a managed layer on top of Growth rather than replacing it. The dashboard gains a service dimension: evidence of work done, concrete rank positions, and a human relationship.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1A1A1A" w:val="clear"/>
            <w:tcMar>
              <w:top w:type="dxa" w:w="80"/>
              <w:left w:type="dxa" w:w="100"/>
              <w:bottom w:type="dxa" w:w="80"/>
              <w:right w:type="dxa" w:w="100"/>
            </w:tcMar>
          </w:tcPr>
          <w:p>
            <w:r>
              <w:rPr>
                <w:b/>
                <w:bCs/>
                <w:i w:val="false"/>
                <w:iCs w:val="false"/>
                <w:color w:val="FFFFFF"/>
                <w:sz w:val="19"/>
                <w:szCs w:val="19"/>
              </w:rPr>
              <w:t xml:space="preserve">Component</w:t>
            </w:r>
          </w:p>
        </w:tc>
        <w:tc>
          <w:tcPr>
            <w:tcW w:type="dxa" w:w="6400"/>
            <w:shd w:fill="1A1A1A" w:val="clear"/>
            <w:tcMar>
              <w:top w:type="dxa" w:w="80"/>
              <w:left w:type="dxa" w:w="100"/>
              <w:bottom w:type="dxa" w:w="80"/>
              <w:right w:type="dxa" w:w="100"/>
            </w:tcMar>
          </w:tcPr>
          <w:p>
            <w:r>
              <w:rPr>
                <w:b/>
                <w:bCs/>
                <w:i w:val="false"/>
                <w:iCs w:val="false"/>
                <w:color w:val="FFFFFF"/>
                <w:sz w:val="19"/>
                <w:szCs w:val="19"/>
              </w:rPr>
              <w:t xml:space="preserve">Specification</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Monthly GEO report</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In-dashboard summary plus downloadable PDF: what was optimised, what moved, what is planned next month. The proof-of-work artefact that justifies the fee.</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Rank tracking</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Actual rank position in AI outputs for the venue's top 10 relevant queries on Claude and ChatGPT, tracked monthly.</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Seasonal opportunity alerts</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Proactive alerts ahead of occasions (Valentine's, Christmas, summer) with suggested offer copy.</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Booking attribution</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Where data allows, GEO score improvement linked to booking volume uplift. The ROI argument at renewal.</w:t>
            </w:r>
          </w:p>
        </w:tc>
      </w:tr>
      <w:tr>
        <w:tc>
          <w:tcPr>
            <w:tcW w:type="dxa" w:w="2900"/>
            <w:tcMar>
              <w:top w:type="dxa" w:w="80"/>
              <w:left w:type="dxa" w:w="100"/>
              <w:bottom w:type="dxa" w:w="80"/>
              <w:right w:type="dxa" w:w="100"/>
            </w:tcMar>
          </w:tcPr>
          <w:p>
            <w:r>
              <w:rPr>
                <w:b w:val="false"/>
                <w:bCs w:val="false"/>
                <w:i w:val="false"/>
                <w:iCs w:val="false"/>
                <w:color w:val="1A1A1A"/>
                <w:sz w:val="19"/>
                <w:szCs w:val="19"/>
              </w:rPr>
              <w:t xml:space="preserve">Account manager panel</w:t>
            </w:r>
          </w:p>
        </w:tc>
        <w:tc>
          <w:tcPr>
            <w:tcW w:type="dxa" w:w="6400"/>
            <w:tcMar>
              <w:top w:type="dxa" w:w="80"/>
              <w:left w:type="dxa" w:w="100"/>
              <w:bottom w:type="dxa" w:w="80"/>
              <w:right w:type="dxa" w:w="100"/>
            </w:tcMar>
          </w:tcPr>
          <w:p>
            <w:r>
              <w:rPr>
                <w:b w:val="false"/>
                <w:bCs w:val="false"/>
                <w:i w:val="false"/>
                <w:iCs w:val="false"/>
                <w:color w:val="1A1A1A"/>
                <w:sz w:val="19"/>
                <w:szCs w:val="19"/>
              </w:rPr>
              <w:t xml:space="preserve">AM name, photo, direct contact, and a book-a-call action. Monthly 30-minute call scheduling.</w:t>
            </w:r>
          </w:p>
        </w:tc>
      </w:tr>
      <w:tr>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75+ badge</w:t>
            </w:r>
          </w:p>
        </w:tc>
        <w:tc>
          <w:tcPr>
            <w:tcW w:type="dxa" w:w="6400"/>
            <w:shd w:fill="F5F5F3" w:val="clear"/>
            <w:tcMar>
              <w:top w:type="dxa" w:w="80"/>
              <w:left w:type="dxa" w:w="100"/>
              <w:bottom w:type="dxa" w:w="80"/>
              <w:right w:type="dxa" w:w="100"/>
            </w:tcMar>
          </w:tcPr>
          <w:p>
            <w:r>
              <w:rPr>
                <w:b w:val="false"/>
                <w:bCs w:val="false"/>
                <w:i w:val="false"/>
                <w:iCs w:val="false"/>
                <w:color w:val="1A1A1A"/>
                <w:sz w:val="19"/>
                <w:szCs w:val="19"/>
              </w:rPr>
              <w:t xml:space="preserve">Shareable badge awarded at GEO 75+, and featured-partner invitation at 80+.</w:t>
            </w:r>
          </w:p>
        </w:tc>
      </w:tr>
    </w:tbl>
    <w:p>
      <w:pPr>
        <w:pStyle w:val="Heading1"/>
        <w:spacing w:after="160" w:before="360"/>
      </w:pPr>
      <w:r>
        <w:rPr>
          <w:color w:val="1A1A1A"/>
        </w:rPr>
        <w:t xml:space="preserve">3. Internal tracking — what Planie sees</w:t>
      </w:r>
    </w:p>
    <w:p>
      <w:pPr>
        <w:spacing w:after="140" w:line="300"/>
      </w:pPr>
      <w:r>
        <w:rPr>
          <w:b w:val="false"/>
          <w:bCs w:val="false"/>
          <w:i w:val="false"/>
          <w:iCs w:val="false"/>
          <w:color w:val="1A1A1A"/>
          <w:sz w:val="21"/>
          <w:szCs w:val="21"/>
        </w:rPr>
        <w:t xml:space="preserve">This is the operational side the partner never sees. It splits into four areas: score infrastructure, commercial metrics, product health, and Pro operations.</w:t>
      </w:r>
    </w:p>
    <w:p>
      <w:pPr>
        <w:pStyle w:val="Heading2"/>
        <w:spacing w:after="120" w:before="280"/>
      </w:pPr>
      <w:r>
        <w:rPr>
          <w:color w:val="1A1A1A"/>
        </w:rPr>
        <w:t xml:space="preserve">3.1 Score infrastructure</w:t>
      </w:r>
    </w:p>
    <w:p>
      <w:pPr>
        <w:spacing w:after="140" w:line="300"/>
      </w:pPr>
      <w:r>
        <w:rPr>
          <w:b w:val="false"/>
          <w:bCs w:val="false"/>
          <w:i w:val="false"/>
          <w:iCs w:val="false"/>
          <w:color w:val="1A1A1A"/>
          <w:sz w:val="21"/>
          <w:szCs w:val="21"/>
        </w:rPr>
        <w:t xml:space="preserve">The probing pipeline is the technical foundation of the entire product. For each venue, scheduled automated queries run against Planie's own engine, the Claude API, and the OpenAI API across the venue's category, location, and occasion combinations. Every probe is logged — query, date, platform, raw response, extracted result — so any score is auditable when a partner disputes it. Probe frequency is tier-dependent: quarterly-to-monthly for Free (see cost model — the Free score can be computed almost entirely from internal signals), weekly for Growth, and weekly plus on-demand for Pro. Probe result stability must be monitored: if a venue's Claude score swings more than ±10 points week to week without profile changes, the methodology has a noise problem partners will notice.</w:t>
      </w:r>
    </w:p>
    <w:p>
      <w:pPr>
        <w:pStyle w:val="Heading2"/>
        <w:spacing w:after="120" w:before="280"/>
      </w:pPr>
      <w:r>
        <w:rPr>
          <w:color w:val="1A1A1A"/>
        </w:rPr>
        <w:t xml:space="preserve">3.2 Commercial metrics</w:t>
      </w:r>
    </w:p>
    <w:p>
      <w:pPr>
        <w:spacing w:after="140" w:line="300"/>
      </w:pPr>
      <w:r>
        <w:rPr>
          <w:b w:val="false"/>
          <w:bCs w:val="false"/>
          <w:i w:val="false"/>
          <w:iCs w:val="false"/>
          <w:color w:val="1A1A1A"/>
          <w:sz w:val="21"/>
          <w:szCs w:val="21"/>
        </w:rPr>
        <w:t xml:space="preserve">Free-to-Growth conversion rate, instrumented per locked-metric CTA so it is clear which tease converts; Growth-to-Pro conversion; time from score reveal to upgrade; churn by tier; and the correlation between score trend and churn — the product's core retention assumption is that a rising score retains, and that assumption must be validated with data.</w:t>
      </w:r>
    </w:p>
    <w:p>
      <w:pPr>
        <w:pStyle w:val="Heading2"/>
        <w:spacing w:after="120" w:before="280"/>
      </w:pPr>
      <w:r>
        <w:rPr>
          <w:color w:val="1A1A1A"/>
        </w:rPr>
        <w:t xml:space="preserve">3.3 Product health metrics</w:t>
      </w:r>
    </w:p>
    <w:p>
      <w:pPr>
        <w:spacing w:after="140" w:line="300"/>
      </w:pPr>
      <w:r>
        <w:rPr>
          <w:b w:val="false"/>
          <w:bCs w:val="false"/>
          <w:i w:val="false"/>
          <w:iCs w:val="false"/>
          <w:color w:val="1A1A1A"/>
          <w:sz w:val="21"/>
          <w:szCs w:val="21"/>
        </w:rPr>
        <w:t xml:space="preserve">Fix-list completion rate (are partners acting on recommendations); realised score improvement per completed fix action, used to calibrate the '+N est.' figures shown to partners; score distribution across the venue base (a healthy spread is required — if every venue scores 80 the score loses motivational power); and probe cost per venue per month tracked against tier revenue, since probing is the dominant variable cost.</w:t>
      </w:r>
    </w:p>
    <w:p>
      <w:pPr>
        <w:pStyle w:val="Heading2"/>
        <w:spacing w:after="120" w:before="280"/>
      </w:pPr>
      <w:r>
        <w:rPr>
          <w:color w:val="1A1A1A"/>
        </w:rPr>
        <w:t xml:space="preserve">3.4 Pro operations</w:t>
      </w:r>
    </w:p>
    <w:p>
      <w:pPr>
        <w:spacing w:after="140" w:line="300"/>
      </w:pPr>
      <w:r>
        <w:rPr>
          <w:b w:val="false"/>
          <w:bCs w:val="false"/>
          <w:i w:val="false"/>
          <w:iCs w:val="false"/>
          <w:color w:val="1A1A1A"/>
          <w:sz w:val="21"/>
          <w:szCs w:val="21"/>
        </w:rPr>
        <w:t xml:space="preserve">An account-manager capacity dashboard showing partners per AM, sprint completion, and report delivery status; per-partner sprint history; and the rolling 60-day score delta per Pro partner. The sales claim is 15–30 points in 60 days — the team needs to know when a partner is off-track before the renewal conversation, not after.</w:t>
      </w:r>
    </w:p>
    <w:p>
      <w:pPr>
        <w:pStyle w:val="Heading2"/>
        <w:spacing w:after="120" w:before="280"/>
      </w:pPr>
      <w:r>
        <w:rPr>
          <w:color w:val="1A1A1A"/>
        </w:rPr>
        <w:t xml:space="preserve">3.5 Risk flags</w:t>
      </w:r>
    </w:p>
    <w:p>
      <w:pPr>
        <w:spacing w:after="140" w:line="300"/>
      </w:pPr>
      <w:r>
        <w:rPr>
          <w:b w:val="false"/>
          <w:bCs w:val="false"/>
          <w:i w:val="false"/>
          <w:iCs w:val="false"/>
          <w:color w:val="1A1A1A"/>
          <w:sz w:val="21"/>
          <w:szCs w:val="21"/>
        </w:rPr>
        <w:t xml:space="preserve">Two standing risks: partners gaming keyword alignment with stuffed descriptions (monitor description edit patterns and cap keyword-driven score contribution), and the unresolved legal question of measuring and marketing visibility on Claude and ChatGPT — this needs review before the cross-platform angle is promoted publicly.</w:t>
      </w:r>
    </w:p>
    <w:p>
      <w:r>
        <w:br w:type="page"/>
      </w:r>
    </w:p>
    <w:p>
      <w:pPr>
        <w:pStyle w:val="Heading1"/>
        <w:spacing w:after="160" w:before="360"/>
      </w:pPr>
      <w:r>
        <w:rPr>
          <w:color w:val="1A1A1A"/>
        </w:rPr>
        <w:t xml:space="preserve">4. The offering, consolidated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00"/>
      </w:tblGrid>
      <w:tr>
        <w:trPr>
          <w:tblHeader/>
        </w:trPr>
        <w:tc>
          <w:tcPr>
            <w:tcW w:type="dxa" w:w="1700"/>
            <w:shd w:fill="1A1A1A" w:val="clear"/>
            <w:tcMar>
              <w:top w:type="dxa" w:w="80"/>
              <w:left w:type="dxa" w:w="100"/>
              <w:bottom w:type="dxa" w:w="80"/>
              <w:right w:type="dxa" w:w="100"/>
            </w:tcMar>
          </w:tcPr>
          <w:p>
            <w:r>
              <w:rPr>
                <w:b/>
                <w:bCs/>
                <w:i w:val="false"/>
                <w:iCs w:val="false"/>
                <w:color w:val="FFFFFF"/>
                <w:sz w:val="19"/>
                <w:szCs w:val="19"/>
              </w:rPr>
              <w:t xml:space="preserve">Tier</w:t>
            </w:r>
          </w:p>
        </w:tc>
        <w:tc>
          <w:tcPr>
            <w:tcW w:type="dxa" w:w="3700"/>
            <w:shd w:fill="1A1A1A" w:val="clear"/>
            <w:tcMar>
              <w:top w:type="dxa" w:w="80"/>
              <w:left w:type="dxa" w:w="100"/>
              <w:bottom w:type="dxa" w:w="80"/>
              <w:right w:type="dxa" w:w="100"/>
            </w:tcMar>
          </w:tcPr>
          <w:p>
            <w:r>
              <w:rPr>
                <w:b/>
                <w:bCs/>
                <w:i w:val="false"/>
                <w:iCs w:val="false"/>
                <w:color w:val="FFFFFF"/>
                <w:sz w:val="19"/>
                <w:szCs w:val="19"/>
              </w:rPr>
              <w:t xml:space="preserve">Positioning &amp; contents</w:t>
            </w:r>
          </w:p>
        </w:tc>
        <w:tc>
          <w:tcPr>
            <w:tcW w:type="dxa" w:w="3900"/>
            <w:shd w:fill="1A1A1A" w:val="clear"/>
            <w:tcMar>
              <w:top w:type="dxa" w:w="80"/>
              <w:left w:type="dxa" w:w="100"/>
              <w:bottom w:type="dxa" w:w="80"/>
              <w:right w:type="dxa" w:w="100"/>
            </w:tcMar>
          </w:tcPr>
          <w:p>
            <w:r>
              <w:rPr>
                <w:b/>
                <w:bCs/>
                <w:i w:val="false"/>
                <w:iCs w:val="false"/>
                <w:color w:val="FFFFFF"/>
                <w:sz w:val="19"/>
                <w:szCs w:val="19"/>
              </w:rPr>
              <w:t xml:space="preserve">Strategic purpose</w:t>
            </w:r>
          </w:p>
        </w:tc>
      </w:tr>
      <w:tr>
        <w:tc>
          <w:tcPr>
            <w:tcW w:type="dxa" w:w="1700"/>
            <w:tcMar>
              <w:top w:type="dxa" w:w="80"/>
              <w:left w:type="dxa" w:w="100"/>
              <w:bottom w:type="dxa" w:w="80"/>
              <w:right w:type="dxa" w:w="100"/>
            </w:tcMar>
          </w:tcPr>
          <w:p>
            <w:r>
              <w:rPr>
                <w:b w:val="false"/>
                <w:bCs w:val="false"/>
                <w:i w:val="false"/>
                <w:iCs w:val="false"/>
                <w:color w:val="1A1A1A"/>
                <w:sz w:val="19"/>
                <w:szCs w:val="19"/>
              </w:rPr>
              <w:t xml:space="preserve">Free</w:t>
            </w:r>
          </w:p>
        </w:tc>
        <w:tc>
          <w:tcPr>
            <w:tcW w:type="dxa" w:w="3700"/>
            <w:tcMar>
              <w:top w:type="dxa" w:w="80"/>
              <w:left w:type="dxa" w:w="100"/>
              <w:bottom w:type="dxa" w:w="80"/>
              <w:right w:type="dxa" w:w="100"/>
            </w:tcMar>
          </w:tcPr>
          <w:p>
            <w:r>
              <w:rPr>
                <w:b w:val="false"/>
                <w:bCs w:val="false"/>
                <w:i w:val="false"/>
                <w:iCs w:val="false"/>
                <w:color w:val="1A1A1A"/>
                <w:sz w:val="19"/>
                <w:szCs w:val="19"/>
              </w:rPr>
              <w:t xml:space="preserve">'Know your score.' GEO score, Planie mention rate, profile completeness. Self-serve, no cost.</w:t>
            </w:r>
          </w:p>
        </w:tc>
        <w:tc>
          <w:tcPr>
            <w:tcW w:type="dxa" w:w="3900"/>
            <w:tcMar>
              <w:top w:type="dxa" w:w="80"/>
              <w:left w:type="dxa" w:w="100"/>
              <w:bottom w:type="dxa" w:w="80"/>
              <w:right w:type="dxa" w:w="100"/>
            </w:tcMar>
          </w:tcPr>
          <w:p>
            <w:r>
              <w:rPr>
                <w:b w:val="false"/>
                <w:bCs w:val="false"/>
                <w:i w:val="false"/>
                <w:iCs w:val="false"/>
                <w:color w:val="1A1A1A"/>
                <w:sz w:val="19"/>
                <w:szCs w:val="19"/>
              </w:rPr>
              <w:t xml:space="preserve">Awareness and upgrade pressure. Every locked card is a conversion surface.</w:t>
            </w:r>
          </w:p>
        </w:tc>
      </w:tr>
      <w:tr>
        <w:tc>
          <w:tcPr>
            <w:tcW w:type="dxa" w:w="1700"/>
            <w:shd w:fill="F5F5F3" w:val="clear"/>
            <w:tcMar>
              <w:top w:type="dxa" w:w="80"/>
              <w:left w:type="dxa" w:w="100"/>
              <w:bottom w:type="dxa" w:w="80"/>
              <w:right w:type="dxa" w:w="100"/>
            </w:tcMar>
          </w:tcPr>
          <w:p>
            <w:r>
              <w:rPr>
                <w:b w:val="false"/>
                <w:bCs w:val="false"/>
                <w:i w:val="false"/>
                <w:iCs w:val="false"/>
                <w:color w:val="1A1A1A"/>
                <w:sz w:val="19"/>
                <w:szCs w:val="19"/>
              </w:rPr>
              <w:t xml:space="preserve">Growth</w:t>
            </w:r>
          </w:p>
        </w:tc>
        <w:tc>
          <w:tcPr>
            <w:tcW w:type="dxa" w:w="3700"/>
            <w:shd w:fill="F5F5F3" w:val="clear"/>
            <w:tcMar>
              <w:top w:type="dxa" w:w="80"/>
              <w:left w:type="dxa" w:w="100"/>
              <w:bottom w:type="dxa" w:w="80"/>
              <w:right w:type="dxa" w:w="100"/>
            </w:tcMar>
          </w:tcPr>
          <w:p>
            <w:r>
              <w:rPr>
                <w:b w:val="false"/>
                <w:bCs w:val="false"/>
                <w:i w:val="false"/>
                <w:iCs w:val="false"/>
                <w:color w:val="1A1A1A"/>
                <w:sz w:val="19"/>
                <w:szCs w:val="19"/>
              </w:rPr>
              <w:t xml:space="preserve">'See everything, fix it yourself.' Full metric suite, cross-platform visibility, trends, benchmarking, fix list. Monthly or annual self-serve subscription.</w:t>
            </w:r>
          </w:p>
        </w:tc>
        <w:tc>
          <w:tcPr>
            <w:tcW w:type="dxa" w:w="3900"/>
            <w:shd w:fill="F5F5F3" w:val="clear"/>
            <w:tcMar>
              <w:top w:type="dxa" w:w="80"/>
              <w:left w:type="dxa" w:w="100"/>
              <w:bottom w:type="dxa" w:w="80"/>
              <w:right w:type="dxa" w:w="100"/>
            </w:tcMar>
          </w:tcPr>
          <w:p>
            <w:r>
              <w:rPr>
                <w:b w:val="false"/>
                <w:bCs w:val="false"/>
                <w:i w:val="false"/>
                <w:iCs w:val="false"/>
                <w:color w:val="1A1A1A"/>
                <w:sz w:val="19"/>
                <w:szCs w:val="19"/>
              </w:rPr>
              <w:t xml:space="preserve">Dependency. A venue that has watched its Claude score for three months experiences cancellation as flying blind.</w:t>
            </w:r>
          </w:p>
        </w:tc>
      </w:tr>
      <w:tr>
        <w:tc>
          <w:tcPr>
            <w:tcW w:type="dxa" w:w="1700"/>
            <w:tcMar>
              <w:top w:type="dxa" w:w="80"/>
              <w:left w:type="dxa" w:w="100"/>
              <w:bottom w:type="dxa" w:w="80"/>
              <w:right w:type="dxa" w:w="100"/>
            </w:tcMar>
          </w:tcPr>
          <w:p>
            <w:r>
              <w:rPr>
                <w:b w:val="false"/>
                <w:bCs w:val="false"/>
                <w:i w:val="false"/>
                <w:iCs w:val="false"/>
                <w:color w:val="1A1A1A"/>
                <w:sz w:val="19"/>
                <w:szCs w:val="19"/>
              </w:rPr>
              <w:t xml:space="preserve">Pro</w:t>
            </w:r>
          </w:p>
        </w:tc>
        <w:tc>
          <w:tcPr>
            <w:tcW w:type="dxa" w:w="3700"/>
            <w:tcMar>
              <w:top w:type="dxa" w:w="80"/>
              <w:left w:type="dxa" w:w="100"/>
              <w:bottom w:type="dxa" w:w="80"/>
              <w:right w:type="dxa" w:w="100"/>
            </w:tcMar>
          </w:tcPr>
          <w:p>
            <w:r>
              <w:rPr>
                <w:b w:val="false"/>
                <w:bCs w:val="false"/>
                <w:i w:val="false"/>
                <w:iCs w:val="false"/>
                <w:color w:val="1A1A1A"/>
                <w:sz w:val="19"/>
                <w:szCs w:val="19"/>
              </w:rPr>
              <w:t xml:space="preserve">'We make AI recommend you.' Everything in Growth plus profile rewrite, monthly optimisation sprint, seasonal offer strategy, rank tracking, attribution, dedicated AM and monthly call.</w:t>
            </w:r>
          </w:p>
        </w:tc>
        <w:tc>
          <w:tcPr>
            <w:tcW w:type="dxa" w:w="3900"/>
            <w:tcMar>
              <w:top w:type="dxa" w:w="80"/>
              <w:left w:type="dxa" w:w="100"/>
              <w:bottom w:type="dxa" w:w="80"/>
              <w:right w:type="dxa" w:w="100"/>
            </w:tcMar>
          </w:tcPr>
          <w:p>
            <w:r>
              <w:rPr>
                <w:b w:val="false"/>
                <w:bCs w:val="false"/>
                <w:i w:val="false"/>
                <w:iCs w:val="false"/>
                <w:color w:val="1A1A1A"/>
                <w:sz w:val="19"/>
                <w:szCs w:val="19"/>
              </w:rPr>
              <w:t xml:space="preserve">High-margin service revenue, retention anchor, and the case studies that sell Growth.</w:t>
            </w:r>
          </w:p>
        </w:tc>
      </w:tr>
    </w:tbl>
    <w:p>
      <w:pPr>
        <w:spacing w:after="100"/>
      </w:pPr>
    </w:p>
    <w:p>
      <w:pPr>
        <w:spacing w:after="140" w:line="300"/>
      </w:pPr>
      <w:r>
        <w:rPr>
          <w:b w:val="false"/>
          <w:bCs w:val="false"/>
          <w:i w:val="false"/>
          <w:iCs w:val="false"/>
          <w:color w:val="1A1A1A"/>
          <w:sz w:val="21"/>
          <w:szCs w:val="21"/>
        </w:rPr>
        <w:t xml:space="preserve">Recommended pricing anchors, to be validated with the first cohort: Growth at £49–79 per month positioned against Google Business Profile upgrades and TripAdvisor premium listings; Pro at £299–499 per month positioned as a lightweight agency retainer rather than a SaaS tier. The cost model below shows why these anchors work.</w:t>
      </w:r>
    </w:p>
    <w:p>
      <w:pPr>
        <w:pStyle w:val="Heading1"/>
        <w:spacing w:after="160" w:before="360"/>
      </w:pPr>
      <w:r>
        <w:rPr>
          <w:color w:val="1A1A1A"/>
        </w:rPr>
        <w:t xml:space="preserve">5. Cost model per tier</w:t>
      </w:r>
    </w:p>
    <w:p>
      <w:pPr>
        <w:spacing w:after="140" w:line="300"/>
      </w:pPr>
      <w:r>
        <w:rPr>
          <w:b w:val="false"/>
          <w:bCs w:val="false"/>
          <w:i w:val="false"/>
          <w:iCs w:val="false"/>
          <w:color w:val="1A1A1A"/>
          <w:sz w:val="21"/>
          <w:szCs w:val="21"/>
        </w:rPr>
        <w:t xml:space="preserve">All figures are estimates in GBP at current API pricing (Claude Sonnet at ~$3 per million input tokens and ~$15 per million output; GPT-4o at ~$2.50/$10; lightweight models at a fraction of that). Core assumption: one full probe cycle for one venue is ~20 queries per platform, each averaging ~400 input and ~700 output tokens. That prices a full three-platform cycle at roughly £0.30–0.40 per venue.</w:t>
      </w:r>
    </w:p>
    <w:p>
      <w:pPr>
        <w:pStyle w:val="Heading2"/>
        <w:spacing w:after="120" w:before="280"/>
      </w:pPr>
      <w:r>
        <w:rPr>
          <w:color w:val="1A1A1A"/>
        </w:rPr>
        <w:t xml:space="preserve">5.1 Free tier — target COGS under £0.10 per venue per month</w:t>
      </w:r>
    </w:p>
    <w:p>
      <w:pPr>
        <w:spacing w:after="140" w:line="300"/>
      </w:pPr>
      <w:r>
        <w:rPr>
          <w:b w:val="false"/>
          <w:bCs w:val="false"/>
          <w:i w:val="false"/>
          <w:iCs w:val="false"/>
          <w:color w:val="1A1A1A"/>
          <w:sz w:val="21"/>
          <w:szCs w:val="21"/>
        </w:rPr>
        <w:t xml:space="preserve">The critical cost decision: the Free tier should not run external cross-platform probes. The Free GEO score can be computed almost entirely from internal signals — profile completeness (rules), Planie mention rate (own logs), and category/data-quality heuristics — with at most a quarterly external calibration probe. This keeps free venues near-zero cost at any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rPr>
          <w:tblHeader/>
        </w:trPr>
        <w:tc>
          <w:tcPr>
            <w:tcW w:type="dxa" w:w="4200"/>
            <w:shd w:fill="1A1A1A" w:val="clear"/>
            <w:tcMar>
              <w:top w:type="dxa" w:w="80"/>
              <w:left w:type="dxa" w:w="100"/>
              <w:bottom w:type="dxa" w:w="80"/>
              <w:right w:type="dxa" w:w="100"/>
            </w:tcMar>
          </w:tcPr>
          <w:p>
            <w:r>
              <w:rPr>
                <w:b/>
                <w:bCs/>
                <w:i w:val="false"/>
                <w:iCs w:val="false"/>
                <w:color w:val="FFFFFF"/>
                <w:sz w:val="19"/>
                <w:szCs w:val="19"/>
              </w:rPr>
              <w:t xml:space="preserve">Cost component</w:t>
            </w:r>
          </w:p>
        </w:tc>
        <w:tc>
          <w:tcPr>
            <w:tcW w:type="dxa" w:w="2400"/>
            <w:shd w:fill="1A1A1A" w:val="clear"/>
            <w:tcMar>
              <w:top w:type="dxa" w:w="80"/>
              <w:left w:type="dxa" w:w="100"/>
              <w:bottom w:type="dxa" w:w="80"/>
              <w:right w:type="dxa" w:w="100"/>
            </w:tcMar>
          </w:tcPr>
          <w:p>
            <w:r>
              <w:rPr>
                <w:b/>
                <w:bCs/>
                <w:i w:val="false"/>
                <w:iCs w:val="false"/>
                <w:color w:val="FFFFFF"/>
                <w:sz w:val="19"/>
                <w:szCs w:val="19"/>
              </w:rPr>
              <w:t xml:space="preserve">Est. per venue / month</w:t>
            </w:r>
          </w:p>
        </w:tc>
        <w:tc>
          <w:tcPr>
            <w:tcW w:type="dxa" w:w="2700"/>
            <w:shd w:fill="1A1A1A" w:val="clear"/>
            <w:tcMar>
              <w:top w:type="dxa" w:w="80"/>
              <w:left w:type="dxa" w:w="100"/>
              <w:bottom w:type="dxa" w:w="80"/>
              <w:right w:type="dxa" w:w="100"/>
            </w:tcMar>
          </w:tcPr>
          <w:p>
            <w:r>
              <w:rPr>
                <w:b/>
                <w:bCs/>
                <w:i w:val="false"/>
                <w:iCs w:val="false"/>
                <w:color w:val="FFFFFF"/>
                <w:sz w:val="19"/>
                <w:szCs w:val="19"/>
              </w:rPr>
              <w:t xml:space="preserve">Notes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Planie-internal signals (mention rate, completeness)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~£0.01</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Own database queries; effectively free.</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Score computation (weighted formula)</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£0.00</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Pure arithmetic, no AI.</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Quarterly external calibration probe (amortised)</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~£0.03</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One 3-platform cycle every 3 months.</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Infra share (storage, workers)</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~£0.02</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Marginal at scale.</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Total Free COGS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~£0.05–0.10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Sustainable even with thousands of free listings.</w:t>
            </w:r>
          </w:p>
        </w:tc>
      </w:tr>
    </w:tbl>
    <w:p>
      <w:pPr>
        <w:spacing w:after="100"/>
      </w:pPr>
    </w:p>
    <w:p>
      <w:pPr>
        <w:pStyle w:val="Heading2"/>
        <w:spacing w:after="120" w:before="280"/>
      </w:pPr>
      <w:r>
        <w:rPr>
          <w:color w:val="1A1A1A"/>
        </w:rPr>
        <w:t xml:space="preserve">5.2 Growth tier — est. COGS £2–4 per venue per month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rPr>
          <w:tblHeader/>
        </w:trPr>
        <w:tc>
          <w:tcPr>
            <w:tcW w:type="dxa" w:w="4200"/>
            <w:shd w:fill="1A1A1A" w:val="clear"/>
            <w:tcMar>
              <w:top w:type="dxa" w:w="80"/>
              <w:left w:type="dxa" w:w="100"/>
              <w:bottom w:type="dxa" w:w="80"/>
              <w:right w:type="dxa" w:w="100"/>
            </w:tcMar>
          </w:tcPr>
          <w:p>
            <w:r>
              <w:rPr>
                <w:b/>
                <w:bCs/>
                <w:i w:val="false"/>
                <w:iCs w:val="false"/>
                <w:color w:val="FFFFFF"/>
                <w:sz w:val="19"/>
                <w:szCs w:val="19"/>
              </w:rPr>
              <w:t xml:space="preserve">Cost component</w:t>
            </w:r>
          </w:p>
        </w:tc>
        <w:tc>
          <w:tcPr>
            <w:tcW w:type="dxa" w:w="2400"/>
            <w:shd w:fill="1A1A1A" w:val="clear"/>
            <w:tcMar>
              <w:top w:type="dxa" w:w="80"/>
              <w:left w:type="dxa" w:w="100"/>
              <w:bottom w:type="dxa" w:w="80"/>
              <w:right w:type="dxa" w:w="100"/>
            </w:tcMar>
          </w:tcPr>
          <w:p>
            <w:r>
              <w:rPr>
                <w:b/>
                <w:bCs/>
                <w:i w:val="false"/>
                <w:iCs w:val="false"/>
                <w:color w:val="FFFFFF"/>
                <w:sz w:val="19"/>
                <w:szCs w:val="19"/>
              </w:rPr>
              <w:t xml:space="preserve">Est. per venue / month</w:t>
            </w:r>
          </w:p>
        </w:tc>
        <w:tc>
          <w:tcPr>
            <w:tcW w:type="dxa" w:w="2700"/>
            <w:shd w:fill="1A1A1A" w:val="clear"/>
            <w:tcMar>
              <w:top w:type="dxa" w:w="80"/>
              <w:left w:type="dxa" w:w="100"/>
              <w:bottom w:type="dxa" w:w="80"/>
              <w:right w:type="dxa" w:w="100"/>
            </w:tcMar>
          </w:tcPr>
          <w:p>
            <w:r>
              <w:rPr>
                <w:b/>
                <w:bCs/>
                <w:i w:val="false"/>
                <w:iCs w:val="false"/>
                <w:color w:val="FFFFFF"/>
                <w:sz w:val="19"/>
                <w:szCs w:val="19"/>
              </w:rPr>
              <w:t xml:space="preserve">Notes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Weekly cross-platform probes (4.3 cycles)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~£1.40–1.70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The dominant cost. 20 queries × 3 platforms weekly.</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AI sentiment classification</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~£0.05</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Cheap model (Haiku / gpt-4o-mini) over probe responses.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Keyword alignment (embeddings)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~£0.01</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Embedding comparison; near-zero.</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Fix list generation</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~£0.03</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One grounded LLM call per month; could be pure rules.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Trend, benchmark, occasion fit</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£0.00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Derived from stored probe data. No new AI calls.</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Infra share (queue, storage, dashboard)</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~£0.30–0.50</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Scales with probe log volume.</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Total Growth COGS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~£1.80–2.30 (budget £2–4)</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At £49–79/mo pricing: ~93–97% gross margin.</w:t>
            </w:r>
          </w:p>
        </w:tc>
      </w:tr>
    </w:tbl>
    <w:p>
      <w:pPr>
        <w:spacing w:after="100"/>
      </w:pPr>
    </w:p>
    <w:p>
      <w:pPr>
        <w:pStyle w:val="Heading2"/>
        <w:spacing w:after="120" w:before="280"/>
      </w:pPr>
      <w:r>
        <w:rPr>
          <w:color w:val="1A1A1A"/>
        </w:rPr>
        <w:t xml:space="preserve">5.3 Pro tier — est. COGS £150–200 per partner per month, dominated by people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rPr>
          <w:tblHeader/>
        </w:trPr>
        <w:tc>
          <w:tcPr>
            <w:tcW w:type="dxa" w:w="4200"/>
            <w:shd w:fill="1A1A1A" w:val="clear"/>
            <w:tcMar>
              <w:top w:type="dxa" w:w="80"/>
              <w:left w:type="dxa" w:w="100"/>
              <w:bottom w:type="dxa" w:w="80"/>
              <w:right w:type="dxa" w:w="100"/>
            </w:tcMar>
          </w:tcPr>
          <w:p>
            <w:r>
              <w:rPr>
                <w:b/>
                <w:bCs/>
                <w:i w:val="false"/>
                <w:iCs w:val="false"/>
                <w:color w:val="FFFFFF"/>
                <w:sz w:val="19"/>
                <w:szCs w:val="19"/>
              </w:rPr>
              <w:t xml:space="preserve">Cost component</w:t>
            </w:r>
          </w:p>
        </w:tc>
        <w:tc>
          <w:tcPr>
            <w:tcW w:type="dxa" w:w="2400"/>
            <w:shd w:fill="1A1A1A" w:val="clear"/>
            <w:tcMar>
              <w:top w:type="dxa" w:w="80"/>
              <w:left w:type="dxa" w:w="100"/>
              <w:bottom w:type="dxa" w:w="80"/>
              <w:right w:type="dxa" w:w="100"/>
            </w:tcMar>
          </w:tcPr>
          <w:p>
            <w:r>
              <w:rPr>
                <w:b/>
                <w:bCs/>
                <w:i w:val="false"/>
                <w:iCs w:val="false"/>
                <w:color w:val="FFFFFF"/>
                <w:sz w:val="19"/>
                <w:szCs w:val="19"/>
              </w:rPr>
              <w:t xml:space="preserve">Est. per partner / month</w:t>
            </w:r>
          </w:p>
        </w:tc>
        <w:tc>
          <w:tcPr>
            <w:tcW w:type="dxa" w:w="2700"/>
            <w:shd w:fill="1A1A1A" w:val="clear"/>
            <w:tcMar>
              <w:top w:type="dxa" w:w="80"/>
              <w:left w:type="dxa" w:w="100"/>
              <w:bottom w:type="dxa" w:w="80"/>
              <w:right w:type="dxa" w:w="100"/>
            </w:tcMar>
          </w:tcPr>
          <w:p>
            <w:r>
              <w:rPr>
                <w:b/>
                <w:bCs/>
                <w:i w:val="false"/>
                <w:iCs w:val="false"/>
                <w:color w:val="FFFFFF"/>
                <w:sz w:val="19"/>
                <w:szCs w:val="19"/>
              </w:rPr>
              <w:t xml:space="preserve">Notes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Weekly probes + on-demand re-scores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~£2.50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Growth probing plus ad-hoc cycles after sprint changes.</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Rank tracking (top 10 queries, Claude + ChatGPT)</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~£1.00–1.50</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Monthly deep probe set with rank extraction.</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Monthly report generation</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~£0.10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LLM-assisted drafting plus PDF render.</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Account manager time</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~£150–185</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The real cost. Fully-loaded AM at ~£55k/yr supporting 25–30 partners (~3–4 hrs per partner per month: sprint, rewrite, call, report).</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Total Pro COGS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~£155–190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At £299–499/mo pricing: ~40–65% gross margin — healthy for a managed service.</w:t>
            </w:r>
          </w:p>
        </w:tc>
      </w:tr>
    </w:tbl>
    <w:p>
      <w:pPr>
        <w:spacing w:after="100"/>
      </w:pPr>
    </w:p>
    <w:p>
      <w:pPr>
        <w:pStyle w:val="Heading2"/>
        <w:spacing w:after="120" w:before="280"/>
      </w:pPr>
      <w:r>
        <w:rPr>
          <w:color w:val="1A1A1A"/>
        </w:rPr>
        <w:t xml:space="preserve">5.4 Fixed platform costs (not per venue)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rPr>
          <w:tblHeader/>
        </w:trPr>
        <w:tc>
          <w:tcPr>
            <w:tcW w:type="dxa" w:w="4200"/>
            <w:shd w:fill="1A1A1A" w:val="clear"/>
            <w:tcMar>
              <w:top w:type="dxa" w:w="80"/>
              <w:left w:type="dxa" w:w="100"/>
              <w:bottom w:type="dxa" w:w="80"/>
              <w:right w:type="dxa" w:w="100"/>
            </w:tcMar>
          </w:tcPr>
          <w:p>
            <w:r>
              <w:rPr>
                <w:b/>
                <w:bCs/>
                <w:i w:val="false"/>
                <w:iCs w:val="false"/>
                <w:color w:val="FFFFFF"/>
                <w:sz w:val="19"/>
                <w:szCs w:val="19"/>
              </w:rPr>
              <w:t xml:space="preserve">Item</w:t>
            </w:r>
          </w:p>
        </w:tc>
        <w:tc>
          <w:tcPr>
            <w:tcW w:type="dxa" w:w="2400"/>
            <w:shd w:fill="1A1A1A" w:val="clear"/>
            <w:tcMar>
              <w:top w:type="dxa" w:w="80"/>
              <w:left w:type="dxa" w:w="100"/>
              <w:bottom w:type="dxa" w:w="80"/>
              <w:right w:type="dxa" w:w="100"/>
            </w:tcMar>
          </w:tcPr>
          <w:p>
            <w:r>
              <w:rPr>
                <w:b/>
                <w:bCs/>
                <w:i w:val="false"/>
                <w:iCs w:val="false"/>
                <w:color w:val="FFFFFF"/>
                <w:sz w:val="19"/>
                <w:szCs w:val="19"/>
              </w:rPr>
              <w:t xml:space="preserve">Est. monthly</w:t>
            </w:r>
          </w:p>
        </w:tc>
        <w:tc>
          <w:tcPr>
            <w:tcW w:type="dxa" w:w="2700"/>
            <w:shd w:fill="1A1A1A" w:val="clear"/>
            <w:tcMar>
              <w:top w:type="dxa" w:w="80"/>
              <w:left w:type="dxa" w:w="100"/>
              <w:bottom w:type="dxa" w:w="80"/>
              <w:right w:type="dxa" w:w="100"/>
            </w:tcMar>
          </w:tcPr>
          <w:p>
            <w:r>
              <w:rPr>
                <w:b/>
                <w:bCs/>
                <w:i w:val="false"/>
                <w:iCs w:val="false"/>
                <w:color w:val="FFFFFF"/>
                <w:sz w:val="19"/>
                <w:szCs w:val="19"/>
              </w:rPr>
              <w:t xml:space="preserve">Notes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Probe scheduler / queue workers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£20–50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Existing Node backend + BullMQ/Redis, or serverless cron.</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Database growth (probe logs)</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£10–30</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PostgreSQL — already in the stack. Prune raw logs after 12 months.</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Transactional email (score reveals, alerts)</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£0–20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Resend or Postmark free/starter tier at launch.</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Internal BI dashboard</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Metabase self-hosted on existing infra.</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Product analytics (lock CTA instrumentation)</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£0</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PostHog free tier covers launch volumes.</w:t>
            </w:r>
          </w:p>
        </w:tc>
      </w:tr>
      <w:tr>
        <w:tc>
          <w:tcPr>
            <w:tcW w:type="dxa" w:w="4200"/>
            <w:shd w:fill="F5F5F3" w:val="clear"/>
            <w:tcMar>
              <w:top w:type="dxa" w:w="80"/>
              <w:left w:type="dxa" w:w="100"/>
              <w:bottom w:type="dxa" w:w="80"/>
              <w:right w:type="dxa" w:w="100"/>
            </w:tcMar>
          </w:tcPr>
          <w:p>
            <w:r>
              <w:rPr>
                <w:b w:val="false"/>
                <w:bCs w:val="false"/>
                <w:i w:val="false"/>
                <w:iCs w:val="false"/>
                <w:color w:val="1A1A1A"/>
                <w:sz w:val="19"/>
                <w:szCs w:val="19"/>
              </w:rPr>
              <w:t xml:space="preserve">Monitoring / error tracking</w:t>
            </w:r>
          </w:p>
        </w:tc>
        <w:tc>
          <w:tcPr>
            <w:tcW w:type="dxa" w:w="2400"/>
            <w:shd w:fill="F5F5F3" w:val="clear"/>
            <w:tcMar>
              <w:top w:type="dxa" w:w="80"/>
              <w:left w:type="dxa" w:w="100"/>
              <w:bottom w:type="dxa" w:w="80"/>
              <w:right w:type="dxa" w:w="100"/>
            </w:tcMar>
          </w:tcPr>
          <w:p>
            <w:r>
              <w:rPr>
                <w:b w:val="false"/>
                <w:bCs w:val="false"/>
                <w:i w:val="false"/>
                <w:iCs w:val="false"/>
                <w:color w:val="1A1A1A"/>
                <w:sz w:val="19"/>
                <w:szCs w:val="19"/>
              </w:rPr>
              <w:t xml:space="preserve">£0</w:t>
            </w:r>
          </w:p>
        </w:tc>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Sentry free tier.</w:t>
            </w:r>
          </w:p>
        </w:tc>
      </w:tr>
      <w:tr>
        <w:tc>
          <w:tcPr>
            <w:tcW w:type="dxa" w:w="4200"/>
            <w:tcMar>
              <w:top w:type="dxa" w:w="80"/>
              <w:left w:type="dxa" w:w="100"/>
              <w:bottom w:type="dxa" w:w="80"/>
              <w:right w:type="dxa" w:w="100"/>
            </w:tcMar>
          </w:tcPr>
          <w:p>
            <w:r>
              <w:rPr>
                <w:b w:val="false"/>
                <w:bCs w:val="false"/>
                <w:i w:val="false"/>
                <w:iCs w:val="false"/>
                <w:color w:val="1A1A1A"/>
                <w:sz w:val="19"/>
                <w:szCs w:val="19"/>
              </w:rPr>
              <w:t xml:space="preserve">Total incremental fixed</w:t>
            </w:r>
          </w:p>
        </w:tc>
        <w:tc>
          <w:tcPr>
            <w:tcW w:type="dxa" w:w="2400"/>
            <w:tcMar>
              <w:top w:type="dxa" w:w="80"/>
              <w:left w:type="dxa" w:w="100"/>
              <w:bottom w:type="dxa" w:w="80"/>
              <w:right w:type="dxa" w:w="100"/>
            </w:tcMar>
          </w:tcPr>
          <w:p>
            <w:r>
              <w:rPr>
                <w:b w:val="false"/>
                <w:bCs w:val="false"/>
                <w:i w:val="false"/>
                <w:iCs w:val="false"/>
                <w:color w:val="1A1A1A"/>
                <w:sz w:val="19"/>
                <w:szCs w:val="19"/>
              </w:rPr>
              <w:t xml:space="preserve">~£30–100 / month at launch</w:t>
            </w:r>
          </w:p>
        </w:tc>
        <w:tc>
          <w:tcPr>
            <w:tcW w:type="dxa" w:w="2700"/>
            <w:tcMar>
              <w:top w:type="dxa" w:w="80"/>
              <w:left w:type="dxa" w:w="100"/>
              <w:bottom w:type="dxa" w:w="80"/>
              <w:right w:type="dxa" w:w="100"/>
            </w:tcMar>
          </w:tcPr>
          <w:p>
            <w:r>
              <w:rPr>
                <w:b w:val="false"/>
                <w:bCs w:val="false"/>
                <w:i w:val="false"/>
                <w:iCs w:val="false"/>
                <w:color w:val="1A1A1A"/>
                <w:sz w:val="19"/>
                <w:szCs w:val="19"/>
              </w:rPr>
              <w:t xml:space="preserve">Rises with probe volume, not partner count.</w:t>
            </w:r>
          </w:p>
        </w:tc>
      </w:tr>
    </w:tbl>
    <w:p>
      <w:pPr>
        <w:spacing w:after="100"/>
      </w:pPr>
    </w:p>
    <w:p>
      <w:pPr>
        <w:spacing w:after="140" w:line="300"/>
      </w:pPr>
      <w:r>
        <w:rPr>
          <w:b w:val="false"/>
          <w:bCs w:val="false"/>
          <w:i w:val="false"/>
          <w:iCs w:val="false"/>
          <w:color w:val="1A1A1A"/>
          <w:sz w:val="21"/>
          <w:szCs w:val="21"/>
        </w:rPr>
        <w:t xml:space="preserve">Worked example at a starter cohort of 500 free, 50 Growth, and 10 Pro partners: variable costs ≈ £25–50 (free) + £100–200 (Growth) + £1,550–1,900 (Pro, mostly one part-time AM) + ~£60 fixed ≈ £1,750–2,200 per month, against revenue of roughly £2,500–4,000 (Growth) + £3,000–5,000 (Pro). The model is comfortably positive from the first cohort provided the AM ratio holds.</w:t>
      </w:r>
    </w:p>
    <w:p>
      <w:r>
        <w:br w:type="page"/>
      </w:r>
    </w:p>
    <w:p>
      <w:pPr>
        <w:pStyle w:val="Heading1"/>
        <w:spacing w:after="160" w:before="360"/>
      </w:pPr>
      <w:r>
        <w:rPr>
          <w:color w:val="1A1A1A"/>
        </w:rPr>
        <w:t xml:space="preserve">6. Tooling &amp; AI requirements</w:t>
      </w:r>
    </w:p>
    <w:p>
      <w:pPr>
        <w:spacing w:after="140" w:line="300"/>
      </w:pPr>
      <w:r>
        <w:rPr>
          <w:b w:val="false"/>
          <w:bCs w:val="false"/>
          <w:i w:val="false"/>
          <w:iCs w:val="false"/>
          <w:color w:val="1A1A1A"/>
          <w:sz w:val="21"/>
          <w:szCs w:val="21"/>
        </w:rPr>
        <w:t xml:space="preserve">Not every metric needs AI. Roughly half the dashboard is rules, logs, and arithmetic — the AI spend concentrates in external probing and light classification. This matters for both cost and reliability: everything that can be deterministic should be.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1300"/>
        <w:gridCol w:w="2200"/>
      </w:tblGrid>
      <w:tr>
        <w:trPr>
          <w:tblHeader/>
        </w:trPr>
        <w:tc>
          <w:tcPr>
            <w:tcW w:type="dxa" w:w="2700"/>
            <w:shd w:fill="1A1A1A" w:val="clear"/>
            <w:tcMar>
              <w:top w:type="dxa" w:w="80"/>
              <w:left w:type="dxa" w:w="100"/>
              <w:bottom w:type="dxa" w:w="80"/>
              <w:right w:type="dxa" w:w="100"/>
            </w:tcMar>
          </w:tcPr>
          <w:p>
            <w:r>
              <w:rPr>
                <w:b/>
                <w:bCs/>
                <w:i w:val="false"/>
                <w:iCs w:val="false"/>
                <w:color w:val="FFFFFF"/>
                <w:sz w:val="19"/>
                <w:szCs w:val="19"/>
              </w:rPr>
              <w:t xml:space="preserve">Metric / capability</w:t>
            </w:r>
          </w:p>
        </w:tc>
        <w:tc>
          <w:tcPr>
            <w:tcW w:type="dxa" w:w="3100"/>
            <w:shd w:fill="1A1A1A" w:val="clear"/>
            <w:tcMar>
              <w:top w:type="dxa" w:w="80"/>
              <w:left w:type="dxa" w:w="100"/>
              <w:bottom w:type="dxa" w:w="80"/>
              <w:right w:type="dxa" w:w="100"/>
            </w:tcMar>
          </w:tcPr>
          <w:p>
            <w:r>
              <w:rPr>
                <w:b/>
                <w:bCs/>
                <w:i w:val="false"/>
                <w:iCs w:val="false"/>
                <w:color w:val="FFFFFF"/>
                <w:sz w:val="19"/>
                <w:szCs w:val="19"/>
              </w:rPr>
              <w:t xml:space="preserve">Method &amp; tooling</w:t>
            </w:r>
          </w:p>
        </w:tc>
        <w:tc>
          <w:tcPr>
            <w:tcW w:type="dxa" w:w="1300"/>
            <w:shd w:fill="1A1A1A" w:val="clear"/>
            <w:tcMar>
              <w:top w:type="dxa" w:w="80"/>
              <w:left w:type="dxa" w:w="100"/>
              <w:bottom w:type="dxa" w:w="80"/>
              <w:right w:type="dxa" w:w="100"/>
            </w:tcMar>
          </w:tcPr>
          <w:p>
            <w:r>
              <w:rPr>
                <w:b/>
                <w:bCs/>
                <w:i w:val="false"/>
                <w:iCs w:val="false"/>
                <w:color w:val="FFFFFF"/>
                <w:sz w:val="19"/>
                <w:szCs w:val="19"/>
              </w:rPr>
              <w:t xml:space="preserve">AI needed?</w:t>
            </w:r>
          </w:p>
        </w:tc>
        <w:tc>
          <w:tcPr>
            <w:tcW w:type="dxa" w:w="2200"/>
            <w:shd w:fill="1A1A1A" w:val="clear"/>
            <w:tcMar>
              <w:top w:type="dxa" w:w="80"/>
              <w:left w:type="dxa" w:w="100"/>
              <w:bottom w:type="dxa" w:w="80"/>
              <w:right w:type="dxa" w:w="100"/>
            </w:tcMar>
          </w:tcPr>
          <w:p>
            <w:r>
              <w:rPr>
                <w:b/>
                <w:bCs/>
                <w:i w:val="false"/>
                <w:iCs w:val="false"/>
                <w:color w:val="FFFFFF"/>
                <w:sz w:val="19"/>
                <w:szCs w:val="19"/>
              </w:rPr>
              <w:t xml:space="preserve">Marginal cost</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GEO score (composite)</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Weighted formula over sub-signals. Internal code.</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No</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Planie mention rate</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Event logging of itinerary generations in own PostgreSQL.</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No</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Profile completeness</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Rules engine over profile fields.</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No</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Claude visibility score</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Scheduled probes via Anthropic API; structured-output parsing.</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Yes</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~£0.15–0.20 / cycle</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ChatGPT visibility score</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Scheduled probes via OpenAI API; same parser.</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Yes</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~£0.10–0.15 / cycle</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Keyword alignment</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Embedding similarity (OpenAI text-embedding-3-small) between profile text and category descriptor sets.</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Light</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~£0.01 / month</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Occasion &amp; group size fit</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Segmentation of stored probe results by query template.</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Derived</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AI sentiment</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Cheap LLM classifier (Claude Haiku or gpt-4o-mini) over probe responses.</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Yes (cheap)</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~£0.05 / month</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Competitor benchmark</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Ranking over scores already stored. SQL.</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No</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Score trend</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Time-series query over score history. SQL + chart.</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No</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Auto fix list</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Rules shortlist of gaps, optionally phrased by an LLM. Can ship rules-only.</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Optional</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~£0.03 / month</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Rank tracking (Pro)</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Deep probe set with position extraction via structured output.</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Yes</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~£1.00–1.50 / month</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Seasonal alerts (Pro)</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Calendar rules trigger; LLM drafts the suggested offer copy.</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Hybrid</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Pennies</w:t>
            </w:r>
          </w:p>
        </w:tc>
      </w:tr>
      <w:tr>
        <w:tc>
          <w:tcPr>
            <w:tcW w:type="dxa" w:w="2700"/>
            <w:shd w:fill="F5F5F3" w:val="clear"/>
            <w:tcMar>
              <w:top w:type="dxa" w:w="80"/>
              <w:left w:type="dxa" w:w="100"/>
              <w:bottom w:type="dxa" w:w="80"/>
              <w:right w:type="dxa" w:w="100"/>
            </w:tcMar>
          </w:tcPr>
          <w:p>
            <w:r>
              <w:rPr>
                <w:b w:val="false"/>
                <w:bCs w:val="false"/>
                <w:i w:val="false"/>
                <w:iCs w:val="false"/>
                <w:color w:val="1A1A1A"/>
                <w:sz w:val="19"/>
                <w:szCs w:val="19"/>
              </w:rPr>
              <w:t xml:space="preserve">Booking attribution (Pro)</w:t>
            </w:r>
          </w:p>
        </w:tc>
        <w:tc>
          <w:tcPr>
            <w:tcW w:type="dxa" w:w="3100"/>
            <w:shd w:fill="F5F5F3" w:val="clear"/>
            <w:tcMar>
              <w:top w:type="dxa" w:w="80"/>
              <w:left w:type="dxa" w:w="100"/>
              <w:bottom w:type="dxa" w:w="80"/>
              <w:right w:type="dxa" w:w="100"/>
            </w:tcMar>
          </w:tcPr>
          <w:p>
            <w:r>
              <w:rPr>
                <w:b w:val="false"/>
                <w:bCs w:val="false"/>
                <w:i w:val="false"/>
                <w:iCs w:val="false"/>
                <w:color w:val="1A1A1A"/>
                <w:sz w:val="19"/>
                <w:szCs w:val="19"/>
              </w:rPr>
              <w:t xml:space="preserve">Join of booking data with score history. SQL.</w:t>
            </w:r>
          </w:p>
        </w:tc>
        <w:tc>
          <w:tcPr>
            <w:tcW w:type="dxa" w:w="1300"/>
            <w:shd w:fill="F5F5F3" w:val="clear"/>
            <w:tcMar>
              <w:top w:type="dxa" w:w="80"/>
              <w:left w:type="dxa" w:w="100"/>
              <w:bottom w:type="dxa" w:w="80"/>
              <w:right w:type="dxa" w:w="100"/>
            </w:tcMar>
          </w:tcPr>
          <w:p>
            <w:r>
              <w:rPr>
                <w:b w:val="false"/>
                <w:bCs w:val="false"/>
                <w:i w:val="false"/>
                <w:iCs w:val="false"/>
                <w:color w:val="1A1A1A"/>
                <w:sz w:val="19"/>
                <w:szCs w:val="19"/>
              </w:rPr>
              <w:t xml:space="preserve">No</w:t>
            </w:r>
          </w:p>
        </w:tc>
        <w:tc>
          <w:tcPr>
            <w:tcW w:type="dxa" w:w="2200"/>
            <w:shd w:fill="F5F5F3" w:val="clear"/>
            <w:tcMar>
              <w:top w:type="dxa" w:w="80"/>
              <w:left w:type="dxa" w:w="100"/>
              <w:bottom w:type="dxa" w:w="80"/>
              <w:right w:type="dxa" w:w="100"/>
            </w:tcMar>
          </w:tcPr>
          <w:p>
            <w:r>
              <w:rPr>
                <w:b w:val="false"/>
                <w:bCs w:val="false"/>
                <w:i w:val="false"/>
                <w:iCs w:val="false"/>
                <w:color w:val="1A1A1A"/>
                <w:sz w:val="19"/>
                <w:szCs w:val="19"/>
              </w:rPr>
              <w:t xml:space="preserve">Zero</w:t>
            </w:r>
          </w:p>
        </w:tc>
      </w:tr>
      <w:tr>
        <w:tc>
          <w:tcPr>
            <w:tcW w:type="dxa" w:w="2700"/>
            <w:tcMar>
              <w:top w:type="dxa" w:w="80"/>
              <w:left w:type="dxa" w:w="100"/>
              <w:bottom w:type="dxa" w:w="80"/>
              <w:right w:type="dxa" w:w="100"/>
            </w:tcMar>
          </w:tcPr>
          <w:p>
            <w:r>
              <w:rPr>
                <w:b w:val="false"/>
                <w:bCs w:val="false"/>
                <w:i w:val="false"/>
                <w:iCs w:val="false"/>
                <w:color w:val="1A1A1A"/>
                <w:sz w:val="19"/>
                <w:szCs w:val="19"/>
              </w:rPr>
              <w:t xml:space="preserve">Monthly Pro report</w:t>
            </w:r>
          </w:p>
        </w:tc>
        <w:tc>
          <w:tcPr>
            <w:tcW w:type="dxa" w:w="3100"/>
            <w:tcMar>
              <w:top w:type="dxa" w:w="80"/>
              <w:left w:type="dxa" w:w="100"/>
              <w:bottom w:type="dxa" w:w="80"/>
              <w:right w:type="dxa" w:w="100"/>
            </w:tcMar>
          </w:tcPr>
          <w:p>
            <w:r>
              <w:rPr>
                <w:b w:val="false"/>
                <w:bCs w:val="false"/>
                <w:i w:val="false"/>
                <w:iCs w:val="false"/>
                <w:color w:val="1A1A1A"/>
                <w:sz w:val="19"/>
                <w:szCs w:val="19"/>
              </w:rPr>
              <w:t xml:space="preserve">Template + LLM-assisted narrative + PDF render (existing Node stack).</w:t>
            </w:r>
          </w:p>
        </w:tc>
        <w:tc>
          <w:tcPr>
            <w:tcW w:type="dxa" w:w="1300"/>
            <w:tcMar>
              <w:top w:type="dxa" w:w="80"/>
              <w:left w:type="dxa" w:w="100"/>
              <w:bottom w:type="dxa" w:w="80"/>
              <w:right w:type="dxa" w:w="100"/>
            </w:tcMar>
          </w:tcPr>
          <w:p>
            <w:r>
              <w:rPr>
                <w:b w:val="false"/>
                <w:bCs w:val="false"/>
                <w:i w:val="false"/>
                <w:iCs w:val="false"/>
                <w:color w:val="1A1A1A"/>
                <w:sz w:val="19"/>
                <w:szCs w:val="19"/>
              </w:rPr>
              <w:t xml:space="preserve">Hybrid</w:t>
            </w:r>
          </w:p>
        </w:tc>
        <w:tc>
          <w:tcPr>
            <w:tcW w:type="dxa" w:w="2200"/>
            <w:tcMar>
              <w:top w:type="dxa" w:w="80"/>
              <w:left w:type="dxa" w:w="100"/>
              <w:bottom w:type="dxa" w:w="80"/>
              <w:right w:type="dxa" w:w="100"/>
            </w:tcMar>
          </w:tcPr>
          <w:p>
            <w:r>
              <w:rPr>
                <w:b w:val="false"/>
                <w:bCs w:val="false"/>
                <w:i w:val="false"/>
                <w:iCs w:val="false"/>
                <w:color w:val="1A1A1A"/>
                <w:sz w:val="19"/>
                <w:szCs w:val="19"/>
              </w:rPr>
              <w:t xml:space="preserve">~£0.10 / month</w:t>
            </w:r>
          </w:p>
        </w:tc>
      </w:tr>
    </w:tbl>
    <w:p>
      <w:pPr>
        <w:spacing w:after="100"/>
      </w:pPr>
    </w:p>
    <w:p>
      <w:pPr>
        <w:pStyle w:val="Heading2"/>
        <w:spacing w:after="120" w:before="280"/>
      </w:pPr>
      <w:r>
        <w:rPr>
          <w:color w:val="1A1A1A"/>
        </w:rPr>
        <w:t xml:space="preserve">6.1 Implementation stack — what to add vs. what you already have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00"/>
      </w:tblGrid>
      <w:tr>
        <w:trPr>
          <w:tblHeader/>
        </w:trPr>
        <w:tc>
          <w:tcPr>
            <w:tcW w:type="dxa" w:w="3200"/>
            <w:shd w:fill="1A1A1A" w:val="clear"/>
            <w:tcMar>
              <w:top w:type="dxa" w:w="80"/>
              <w:left w:type="dxa" w:w="100"/>
              <w:bottom w:type="dxa" w:w="80"/>
              <w:right w:type="dxa" w:w="100"/>
            </w:tcMar>
          </w:tcPr>
          <w:p>
            <w:r>
              <w:rPr>
                <w:b/>
                <w:bCs/>
                <w:i w:val="false"/>
                <w:iCs w:val="false"/>
                <w:color w:val="FFFFFF"/>
                <w:sz w:val="19"/>
                <w:szCs w:val="19"/>
              </w:rPr>
              <w:t xml:space="preserve">Need</w:t>
            </w:r>
          </w:p>
        </w:tc>
        <w:tc>
          <w:tcPr>
            <w:tcW w:type="dxa" w:w="3200"/>
            <w:shd w:fill="1A1A1A" w:val="clear"/>
            <w:tcMar>
              <w:top w:type="dxa" w:w="80"/>
              <w:left w:type="dxa" w:w="100"/>
              <w:bottom w:type="dxa" w:w="80"/>
              <w:right w:type="dxa" w:w="100"/>
            </w:tcMar>
          </w:tcPr>
          <w:p>
            <w:r>
              <w:rPr>
                <w:b/>
                <w:bCs/>
                <w:i w:val="false"/>
                <w:iCs w:val="false"/>
                <w:color w:val="FFFFFF"/>
                <w:sz w:val="19"/>
                <w:szCs w:val="19"/>
              </w:rPr>
              <w:t xml:space="preserve">Recommended tool</w:t>
            </w:r>
          </w:p>
        </w:tc>
        <w:tc>
          <w:tcPr>
            <w:tcW w:type="dxa" w:w="2900"/>
            <w:shd w:fill="1A1A1A" w:val="clear"/>
            <w:tcMar>
              <w:top w:type="dxa" w:w="80"/>
              <w:left w:type="dxa" w:w="100"/>
              <w:bottom w:type="dxa" w:w="80"/>
              <w:right w:type="dxa" w:w="100"/>
            </w:tcMar>
          </w:tcPr>
          <w:p>
            <w:r>
              <w:rPr>
                <w:b/>
                <w:bCs/>
                <w:i w:val="false"/>
                <w:iCs w:val="false"/>
                <w:color w:val="FFFFFF"/>
                <w:sz w:val="19"/>
                <w:szCs w:val="19"/>
              </w:rPr>
              <w:t xml:space="preserve">Status</w:t>
            </w:r>
          </w:p>
        </w:tc>
      </w:tr>
      <w:tr>
        <w:tc>
          <w:tcPr>
            <w:tcW w:type="dxa" w:w="3200"/>
            <w:tcMar>
              <w:top w:type="dxa" w:w="80"/>
              <w:left w:type="dxa" w:w="100"/>
              <w:bottom w:type="dxa" w:w="80"/>
              <w:right w:type="dxa" w:w="100"/>
            </w:tcMar>
          </w:tcPr>
          <w:p>
            <w:r>
              <w:rPr>
                <w:b w:val="false"/>
                <w:bCs w:val="false"/>
                <w:i w:val="false"/>
                <w:iCs w:val="false"/>
                <w:color w:val="1A1A1A"/>
                <w:sz w:val="19"/>
                <w:szCs w:val="19"/>
              </w:rPr>
              <w:t xml:space="preserve">Probing — Claude</w:t>
            </w:r>
          </w:p>
        </w:tc>
        <w:tc>
          <w:tcPr>
            <w:tcW w:type="dxa" w:w="3200"/>
            <w:tcMar>
              <w:top w:type="dxa" w:w="80"/>
              <w:left w:type="dxa" w:w="100"/>
              <w:bottom w:type="dxa" w:w="80"/>
              <w:right w:type="dxa" w:w="100"/>
            </w:tcMar>
          </w:tcPr>
          <w:p>
            <w:r>
              <w:rPr>
                <w:b w:val="false"/>
                <w:bCs w:val="false"/>
                <w:i w:val="false"/>
                <w:iCs w:val="false"/>
                <w:color w:val="1A1A1A"/>
                <w:sz w:val="19"/>
                <w:szCs w:val="19"/>
              </w:rPr>
              <w:t xml:space="preserve">Anthropic API (Sonnet for probes; Haiku for classification)</w:t>
            </w:r>
          </w:p>
        </w:tc>
        <w:tc>
          <w:tcPr>
            <w:tcW w:type="dxa" w:w="2900"/>
            <w:tcMar>
              <w:top w:type="dxa" w:w="80"/>
              <w:left w:type="dxa" w:w="100"/>
              <w:bottom w:type="dxa" w:w="80"/>
              <w:right w:type="dxa" w:w="100"/>
            </w:tcMar>
          </w:tcPr>
          <w:p>
            <w:r>
              <w:rPr>
                <w:b w:val="false"/>
                <w:bCs w:val="false"/>
                <w:i w:val="false"/>
                <w:iCs w:val="false"/>
                <w:color w:val="1A1A1A"/>
                <w:sz w:val="19"/>
                <w:szCs w:val="19"/>
              </w:rPr>
              <w:t xml:space="preserve">New — API key + budget</w:t>
            </w:r>
          </w:p>
        </w:tc>
      </w:tr>
      <w:tr>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Probing — ChatGPT</w:t>
            </w:r>
          </w:p>
        </w:tc>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OpenAI API (already integrated for itinerary generation)</w:t>
            </w:r>
          </w:p>
        </w:tc>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Existing — extend usage</w:t>
            </w:r>
          </w:p>
        </w:tc>
      </w:tr>
      <w:tr>
        <w:tc>
          <w:tcPr>
            <w:tcW w:type="dxa" w:w="3200"/>
            <w:tcMar>
              <w:top w:type="dxa" w:w="80"/>
              <w:left w:type="dxa" w:w="100"/>
              <w:bottom w:type="dxa" w:w="80"/>
              <w:right w:type="dxa" w:w="100"/>
            </w:tcMar>
          </w:tcPr>
          <w:p>
            <w:r>
              <w:rPr>
                <w:b w:val="false"/>
                <w:bCs w:val="false"/>
                <w:i w:val="false"/>
                <w:iCs w:val="false"/>
                <w:color w:val="1A1A1A"/>
                <w:sz w:val="19"/>
                <w:szCs w:val="19"/>
              </w:rPr>
              <w:t xml:space="preserve">Job scheduling / queueing</w:t>
            </w:r>
          </w:p>
        </w:tc>
        <w:tc>
          <w:tcPr>
            <w:tcW w:type="dxa" w:w="3200"/>
            <w:tcMar>
              <w:top w:type="dxa" w:w="80"/>
              <w:left w:type="dxa" w:w="100"/>
              <w:bottom w:type="dxa" w:w="80"/>
              <w:right w:type="dxa" w:w="100"/>
            </w:tcMar>
          </w:tcPr>
          <w:p>
            <w:r>
              <w:rPr>
                <w:b w:val="false"/>
                <w:bCs w:val="false"/>
                <w:i w:val="false"/>
                <w:iCs w:val="false"/>
                <w:color w:val="1A1A1A"/>
                <w:sz w:val="19"/>
                <w:szCs w:val="19"/>
              </w:rPr>
              <w:t xml:space="preserve">BullMQ + Redis on existing Node backend (or serverless cron)</w:t>
            </w:r>
          </w:p>
        </w:tc>
        <w:tc>
          <w:tcPr>
            <w:tcW w:type="dxa" w:w="2900"/>
            <w:tcMar>
              <w:top w:type="dxa" w:w="80"/>
              <w:left w:type="dxa" w:w="100"/>
              <w:bottom w:type="dxa" w:w="80"/>
              <w:right w:type="dxa" w:w="100"/>
            </w:tcMar>
          </w:tcPr>
          <w:p>
            <w:r>
              <w:rPr>
                <w:b w:val="false"/>
                <w:bCs w:val="false"/>
                <w:i w:val="false"/>
                <w:iCs w:val="false"/>
                <w:color w:val="1A1A1A"/>
                <w:sz w:val="19"/>
                <w:szCs w:val="19"/>
              </w:rPr>
              <w:t xml:space="preserve">New — small addition</w:t>
            </w:r>
          </w:p>
        </w:tc>
      </w:tr>
      <w:tr>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Probe log &amp; score storage</w:t>
            </w:r>
          </w:p>
        </w:tc>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PostgreSQL</w:t>
            </w:r>
          </w:p>
        </w:tc>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Existing</w:t>
            </w:r>
          </w:p>
        </w:tc>
      </w:tr>
      <w:tr>
        <w:tc>
          <w:tcPr>
            <w:tcW w:type="dxa" w:w="3200"/>
            <w:tcMar>
              <w:top w:type="dxa" w:w="80"/>
              <w:left w:type="dxa" w:w="100"/>
              <w:bottom w:type="dxa" w:w="80"/>
              <w:right w:type="dxa" w:w="100"/>
            </w:tcMar>
          </w:tcPr>
          <w:p>
            <w:r>
              <w:rPr>
                <w:b w:val="false"/>
                <w:bCs w:val="false"/>
                <w:i w:val="false"/>
                <w:iCs w:val="false"/>
                <w:color w:val="1A1A1A"/>
                <w:sz w:val="19"/>
                <w:szCs w:val="19"/>
              </w:rPr>
              <w:t xml:space="preserve">Embeddings</w:t>
            </w:r>
          </w:p>
        </w:tc>
        <w:tc>
          <w:tcPr>
            <w:tcW w:type="dxa" w:w="3200"/>
            <w:tcMar>
              <w:top w:type="dxa" w:w="80"/>
              <w:left w:type="dxa" w:w="100"/>
              <w:bottom w:type="dxa" w:w="80"/>
              <w:right w:type="dxa" w:w="100"/>
            </w:tcMar>
          </w:tcPr>
          <w:p>
            <w:r>
              <w:rPr>
                <w:b w:val="false"/>
                <w:bCs w:val="false"/>
                <w:i w:val="false"/>
                <w:iCs w:val="false"/>
                <w:color w:val="1A1A1A"/>
                <w:sz w:val="19"/>
                <w:szCs w:val="19"/>
              </w:rPr>
              <w:t xml:space="preserve">OpenAI text-embedding-3-small</w:t>
            </w:r>
          </w:p>
        </w:tc>
        <w:tc>
          <w:tcPr>
            <w:tcW w:type="dxa" w:w="2900"/>
            <w:tcMar>
              <w:top w:type="dxa" w:w="80"/>
              <w:left w:type="dxa" w:w="100"/>
              <w:bottom w:type="dxa" w:w="80"/>
              <w:right w:type="dxa" w:w="100"/>
            </w:tcMar>
          </w:tcPr>
          <w:p>
            <w:r>
              <w:rPr>
                <w:b w:val="false"/>
                <w:bCs w:val="false"/>
                <w:i w:val="false"/>
                <w:iCs w:val="false"/>
                <w:color w:val="1A1A1A"/>
                <w:sz w:val="19"/>
                <w:szCs w:val="19"/>
              </w:rPr>
              <w:t xml:space="preserve">Existing account</w:t>
            </w:r>
          </w:p>
        </w:tc>
      </w:tr>
      <w:tr>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Billing for Growth/Pro</w:t>
            </w:r>
          </w:p>
        </w:tc>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Stripe subscriptions</w:t>
            </w:r>
          </w:p>
        </w:tc>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Existing</w:t>
            </w:r>
          </w:p>
        </w:tc>
      </w:tr>
      <w:tr>
        <w:tc>
          <w:tcPr>
            <w:tcW w:type="dxa" w:w="3200"/>
            <w:tcMar>
              <w:top w:type="dxa" w:w="80"/>
              <w:left w:type="dxa" w:w="100"/>
              <w:bottom w:type="dxa" w:w="80"/>
              <w:right w:type="dxa" w:w="100"/>
            </w:tcMar>
          </w:tcPr>
          <w:p>
            <w:r>
              <w:rPr>
                <w:b w:val="false"/>
                <w:bCs w:val="false"/>
                <w:i w:val="false"/>
                <w:iCs w:val="false"/>
                <w:color w:val="1A1A1A"/>
                <w:sz w:val="19"/>
                <w:szCs w:val="19"/>
              </w:rPr>
              <w:t xml:space="preserve">Transactional email</w:t>
            </w:r>
          </w:p>
        </w:tc>
        <w:tc>
          <w:tcPr>
            <w:tcW w:type="dxa" w:w="3200"/>
            <w:tcMar>
              <w:top w:type="dxa" w:w="80"/>
              <w:left w:type="dxa" w:w="100"/>
              <w:bottom w:type="dxa" w:w="80"/>
              <w:right w:type="dxa" w:w="100"/>
            </w:tcMar>
          </w:tcPr>
          <w:p>
            <w:r>
              <w:rPr>
                <w:b w:val="false"/>
                <w:bCs w:val="false"/>
                <w:i w:val="false"/>
                <w:iCs w:val="false"/>
                <w:color w:val="1A1A1A"/>
                <w:sz w:val="19"/>
                <w:szCs w:val="19"/>
              </w:rPr>
              <w:t xml:space="preserve">Resend or Postmark</w:t>
            </w:r>
          </w:p>
        </w:tc>
        <w:tc>
          <w:tcPr>
            <w:tcW w:type="dxa" w:w="2900"/>
            <w:tcMar>
              <w:top w:type="dxa" w:w="80"/>
              <w:left w:type="dxa" w:w="100"/>
              <w:bottom w:type="dxa" w:w="80"/>
              <w:right w:type="dxa" w:w="100"/>
            </w:tcMar>
          </w:tcPr>
          <w:p>
            <w:r>
              <w:rPr>
                <w:b w:val="false"/>
                <w:bCs w:val="false"/>
                <w:i w:val="false"/>
                <w:iCs w:val="false"/>
                <w:color w:val="1A1A1A"/>
                <w:sz w:val="19"/>
                <w:szCs w:val="19"/>
              </w:rPr>
              <w:t xml:space="preserve">New — trivial</w:t>
            </w:r>
          </w:p>
        </w:tc>
      </w:tr>
      <w:tr>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Internal BI</w:t>
            </w:r>
          </w:p>
        </w:tc>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Metabase (self-hosted, free)</w:t>
            </w:r>
          </w:p>
        </w:tc>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New — half-day setup</w:t>
            </w:r>
          </w:p>
        </w:tc>
      </w:tr>
      <w:tr>
        <w:tc>
          <w:tcPr>
            <w:tcW w:type="dxa" w:w="3200"/>
            <w:tcMar>
              <w:top w:type="dxa" w:w="80"/>
              <w:left w:type="dxa" w:w="100"/>
              <w:bottom w:type="dxa" w:w="80"/>
              <w:right w:type="dxa" w:w="100"/>
            </w:tcMar>
          </w:tcPr>
          <w:p>
            <w:r>
              <w:rPr>
                <w:b w:val="false"/>
                <w:bCs w:val="false"/>
                <w:i w:val="false"/>
                <w:iCs w:val="false"/>
                <w:color w:val="1A1A1A"/>
                <w:sz w:val="19"/>
                <w:szCs w:val="19"/>
              </w:rPr>
              <w:t xml:space="preserve">Product analytics</w:t>
            </w:r>
          </w:p>
        </w:tc>
        <w:tc>
          <w:tcPr>
            <w:tcW w:type="dxa" w:w="3200"/>
            <w:tcMar>
              <w:top w:type="dxa" w:w="80"/>
              <w:left w:type="dxa" w:w="100"/>
              <w:bottom w:type="dxa" w:w="80"/>
              <w:right w:type="dxa" w:w="100"/>
            </w:tcMar>
          </w:tcPr>
          <w:p>
            <w:r>
              <w:rPr>
                <w:b w:val="false"/>
                <w:bCs w:val="false"/>
                <w:i w:val="false"/>
                <w:iCs w:val="false"/>
                <w:color w:val="1A1A1A"/>
                <w:sz w:val="19"/>
                <w:szCs w:val="19"/>
              </w:rPr>
              <w:t xml:space="preserve">PostHog (free tier) for lock-CTA and funnel instrumentation</w:t>
            </w:r>
          </w:p>
        </w:tc>
        <w:tc>
          <w:tcPr>
            <w:tcW w:type="dxa" w:w="2900"/>
            <w:tcMar>
              <w:top w:type="dxa" w:w="80"/>
              <w:left w:type="dxa" w:w="100"/>
              <w:bottom w:type="dxa" w:w="80"/>
              <w:right w:type="dxa" w:w="100"/>
            </w:tcMar>
          </w:tcPr>
          <w:p>
            <w:r>
              <w:rPr>
                <w:b w:val="false"/>
                <w:bCs w:val="false"/>
                <w:i w:val="false"/>
                <w:iCs w:val="false"/>
                <w:color w:val="1A1A1A"/>
                <w:sz w:val="19"/>
                <w:szCs w:val="19"/>
              </w:rPr>
              <w:t xml:space="preserve">New — SDK drop-in</w:t>
            </w:r>
          </w:p>
        </w:tc>
      </w:tr>
      <w:tr>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PDF report generation</w:t>
            </w:r>
          </w:p>
        </w:tc>
        <w:tc>
          <w:tcPr>
            <w:tcW w:type="dxa" w:w="3200"/>
            <w:shd w:fill="F5F5F3" w:val="clear"/>
            <w:tcMar>
              <w:top w:type="dxa" w:w="80"/>
              <w:left w:type="dxa" w:w="100"/>
              <w:bottom w:type="dxa" w:w="80"/>
              <w:right w:type="dxa" w:w="100"/>
            </w:tcMar>
          </w:tcPr>
          <w:p>
            <w:r>
              <w:rPr>
                <w:b w:val="false"/>
                <w:bCs w:val="false"/>
                <w:i w:val="false"/>
                <w:iCs w:val="false"/>
                <w:color w:val="1A1A1A"/>
                <w:sz w:val="19"/>
                <w:szCs w:val="19"/>
              </w:rPr>
              <w:t xml:space="preserve">Puppeteer or docx generation on existing Node stack</w:t>
            </w:r>
          </w:p>
        </w:tc>
        <w:tc>
          <w:tcPr>
            <w:tcW w:type="dxa" w:w="2900"/>
            <w:shd w:fill="F5F5F3" w:val="clear"/>
            <w:tcMar>
              <w:top w:type="dxa" w:w="80"/>
              <w:left w:type="dxa" w:w="100"/>
              <w:bottom w:type="dxa" w:w="80"/>
              <w:right w:type="dxa" w:w="100"/>
            </w:tcMar>
          </w:tcPr>
          <w:p>
            <w:r>
              <w:rPr>
                <w:b w:val="false"/>
                <w:bCs w:val="false"/>
                <w:i w:val="false"/>
                <w:iCs w:val="false"/>
                <w:color w:val="1A1A1A"/>
                <w:sz w:val="19"/>
                <w:szCs w:val="19"/>
              </w:rPr>
              <w:t xml:space="preserve">Existing capability</w:t>
            </w:r>
          </w:p>
        </w:tc>
      </w:tr>
    </w:tbl>
    <w:p>
      <w:pPr>
        <w:spacing w:after="100"/>
      </w:pPr>
    </w:p>
    <w:p>
      <w:pPr>
        <w:spacing w:after="140" w:line="300"/>
      </w:pPr>
      <w:r>
        <w:rPr>
          <w:b w:val="false"/>
          <w:bCs w:val="false"/>
          <w:i w:val="false"/>
          <w:iCs w:val="false"/>
          <w:color w:val="1A1A1A"/>
          <w:sz w:val="21"/>
          <w:szCs w:val="21"/>
        </w:rPr>
        <w:t xml:space="preserve">The one genuinely new engineering asset is the probing pipeline: query templating per venue, scheduled execution, structured parsing, score computation, and logging. Everything else is configuration on infrastructure Planie already runs.</w:t>
      </w:r>
    </w:p>
    <w:p>
      <w:pPr>
        <w:pStyle w:val="Heading1"/>
        <w:spacing w:after="160" w:before="360"/>
      </w:pPr>
      <w:r>
        <w:rPr>
          <w:color w:val="1A1A1A"/>
        </w:rPr>
        <w:t xml:space="preserve">7. Legal &amp; compliance requirements</w:t>
      </w:r>
    </w:p>
    <w:p>
      <w:pPr>
        <w:spacing w:after="140" w:line="300"/>
      </w:pPr>
      <w:r>
        <w:rPr>
          <w:b w:val="false"/>
          <w:bCs w:val="false"/>
          <w:i w:val="false"/>
          <w:iCs w:val="false"/>
          <w:color w:val="1A1A1A"/>
          <w:sz w:val="21"/>
          <w:szCs w:val="21"/>
        </w:rPr>
        <w:t xml:space="preserve">Measuring and marketing visibility on Claude and ChatGPT is an established commercial practice — an entire category of AI-visibility monitoring tools operates openly on this model — but it is only defensible if delivered in a specific way. The requirements below are build constraints, not suggestions. This section reflects a factual reading of current platform terms and UK marketing law; a solicitor should sanity-check public marketing copy before launch.</w:t>
      </w:r>
    </w:p>
    <w:p>
      <w:pPr>
        <w:pStyle w:val="Heading2"/>
        <w:spacing w:after="120" w:before="280"/>
      </w:pPr>
      <w:r>
        <w:rPr>
          <w:color w:val="1A1A1A"/>
        </w:rPr>
        <w:t xml:space="preserve">7.1 Measurement: API-only probing</w:t>
      </w:r>
    </w:p>
    <w:p>
      <w:pPr>
        <w:spacing w:after="140" w:line="300"/>
      </w:pPr>
      <w:r>
        <w:rPr>
          <w:b w:val="false"/>
          <w:bCs w:val="false"/>
          <w:i w:val="false"/>
          <w:iCs w:val="false"/>
          <w:color w:val="1A1A1A"/>
          <w:sz w:val="21"/>
          <w:szCs w:val="21"/>
        </w:rPr>
        <w:t xml:space="preserve">All probing must run through the official paid APIs (Anthropic API, OpenAI API). Automated extraction from the consumer products — ChatGPT.com or Claude.ai — is explicitly prohibited by both providers' terms and must never be part of the pipeline, including as a fallback. Probing via API is ordinary, paid, intended use of the products.</w:t>
      </w:r>
    </w:p>
    <w:p>
      <w:pPr>
        <w:spacing w:after="140" w:line="300"/>
      </w:pPr>
      <w:r>
        <w:rPr>
          <w:b w:val="false"/>
          <w:bCs w:val="false"/>
          <w:i w:val="false"/>
          <w:iCs w:val="false"/>
          <w:color w:val="1A1A1A"/>
          <w:sz w:val="21"/>
          <w:szCs w:val="21"/>
        </w:rPr>
        <w:t xml:space="preserve">Engineering implication: the pipeline must be architected so consumer-app scraping is not possible even as a degraded mode, and probe volumes must stay proportionate — high-volume systematic querying is what triggered enforcement action between the labs themselves in 2025. Rate-limit probe jobs, batch sensibly, and keep per-venue query counts to what the methodology genuinely requires.</w:t>
      </w:r>
    </w:p>
    <w:p>
      <w:pPr>
        <w:pStyle w:val="Heading2"/>
        <w:spacing w:after="120" w:before="280"/>
      </w:pPr>
      <w:r>
        <w:rPr>
          <w:color w:val="1A1A1A"/>
        </w:rPr>
        <w:t xml:space="preserve">7.2 The 'competing product' clauses</w:t>
      </w:r>
    </w:p>
    <w:p>
      <w:pPr>
        <w:spacing w:after="140" w:line="300"/>
      </w:pPr>
      <w:r>
        <w:rPr>
          <w:b w:val="false"/>
          <w:bCs w:val="false"/>
          <w:i w:val="false"/>
          <w:iCs w:val="false"/>
          <w:color w:val="1A1A1A"/>
          <w:sz w:val="21"/>
          <w:szCs w:val="21"/>
        </w:rPr>
        <w:t xml:space="preserve">Both providers prohibit using their services to build competing products or train competing AI models. A venue-visibility analytics product is not a competing model, and Planie does not train on probe outputs — but providers enforce these clauses at their discretion, and their real lever is API termination, not litigation. Mitigations: never use probe outputs as training data; keep the use case transparent; keep volumes moderate; and treat continued API access as a dependency risk in the product plan (scores degrade gracefully if one platform's access is lost).</w:t>
      </w:r>
    </w:p>
    <w:p>
      <w:pPr>
        <w:pStyle w:val="Heading2"/>
        <w:spacing w:after="120" w:before="280"/>
      </w:pPr>
      <w:r>
        <w:rPr>
          <w:color w:val="1A1A1A"/>
        </w:rPr>
        <w:t xml:space="preserve">7.3 Brand usage &amp; marketing claims</w:t>
      </w:r>
    </w:p>
    <w:p>
      <w:pPr>
        <w:spacing w:after="140" w:line="300"/>
      </w:pPr>
      <w:r>
        <w:rPr>
          <w:b w:val="false"/>
          <w:bCs w:val="false"/>
          <w:i w:val="false"/>
          <w:iCs w:val="false"/>
          <w:color w:val="1A1A1A"/>
          <w:sz w:val="21"/>
          <w:szCs w:val="21"/>
        </w:rPr>
        <w:t xml:space="preserve">Referring to Claude and ChatGPT by name to describe what is measured is permissible descriptive use. However: no provider logos in the product or marketing without checking each provider's brand guidelines; a persistent non-affiliation disclaimer ('Planie is not affiliated with, endorsed by, or partnered with OpenAI or Anthropic') on the GEO dashboard, pricing page, and sales materials; and no language implying insider access or direct manipulation of the models. 'We help you become more visible to AI systems' is acceptable framing; anything resembling privileged access is not.</w:t>
      </w:r>
    </w:p>
    <w:p>
      <w:pPr>
        <w:pStyle w:val="Heading2"/>
        <w:spacing w:after="120" w:before="280"/>
      </w:pPr>
      <w:r>
        <w:rPr>
          <w:color w:val="1A1A1A"/>
        </w:rPr>
        <w:t xml:space="preserve">7.4 UK marketing law &amp; claim substantiation</w:t>
      </w:r>
    </w:p>
    <w:p>
      <w:pPr>
        <w:spacing w:after="140" w:line="300"/>
      </w:pPr>
      <w:r>
        <w:rPr>
          <w:b w:val="false"/>
          <w:bCs w:val="false"/>
          <w:i w:val="false"/>
          <w:iCs w:val="false"/>
          <w:color w:val="1A1A1A"/>
          <w:sz w:val="21"/>
          <w:szCs w:val="21"/>
        </w:rPr>
        <w:t xml:space="preserve">Score claims fall under the ASA/CAP Code and the Business Protection from Misleading Marketing Regulations 2008. Requirements: the '15–30 points in 60 days' claim may not be marketed until substantiated with real cohort data, and must then be framed as typical results, not a guarantee; a public methodology page must disclose that scores are periodic sampled estimates from API probing and that API responses are a proxy for (not a literal replica of) the consumer apps, which include search and memory features; and partner terms must include a clause stating scores are estimates, mirroring the providers' own accuracy disclaimers.</w:t>
      </w:r>
    </w:p>
    <w:p>
      <w:pPr>
        <w:pStyle w:val="Heading2"/>
        <w:spacing w:after="120" w:before="280"/>
      </w:pPr>
      <w:r>
        <w:rPr>
          <w:color w:val="1A1A1A"/>
        </w:rPr>
        <w:t xml:space="preserve">7.5 Compliance checklist (build-blocking)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2100"/>
        <w:gridCol w:w="2000"/>
      </w:tblGrid>
      <w:tr>
        <w:trPr>
          <w:tblHeader/>
        </w:trPr>
        <w:tc>
          <w:tcPr>
            <w:tcW w:type="dxa" w:w="5200"/>
            <w:shd w:fill="1A1A1A" w:val="clear"/>
            <w:tcMar>
              <w:top w:type="dxa" w:w="80"/>
              <w:left w:type="dxa" w:w="100"/>
              <w:bottom w:type="dxa" w:w="80"/>
              <w:right w:type="dxa" w:w="100"/>
            </w:tcMar>
          </w:tcPr>
          <w:p>
            <w:r>
              <w:rPr>
                <w:b/>
                <w:bCs/>
                <w:i w:val="false"/>
                <w:iCs w:val="false"/>
                <w:color w:val="FFFFFF"/>
                <w:sz w:val="19"/>
                <w:szCs w:val="19"/>
              </w:rPr>
              <w:t xml:space="preserve">Requirement</w:t>
            </w:r>
          </w:p>
        </w:tc>
        <w:tc>
          <w:tcPr>
            <w:tcW w:type="dxa" w:w="2100"/>
            <w:shd w:fill="1A1A1A" w:val="clear"/>
            <w:tcMar>
              <w:top w:type="dxa" w:w="80"/>
              <w:left w:type="dxa" w:w="100"/>
              <w:bottom w:type="dxa" w:w="80"/>
              <w:right w:type="dxa" w:w="100"/>
            </w:tcMar>
          </w:tcPr>
          <w:p>
            <w:r>
              <w:rPr>
                <w:b/>
                <w:bCs/>
                <w:i w:val="false"/>
                <w:iCs w:val="false"/>
                <w:color w:val="FFFFFF"/>
                <w:sz w:val="19"/>
                <w:szCs w:val="19"/>
              </w:rPr>
              <w:t xml:space="preserve">Surface</w:t>
            </w:r>
          </w:p>
        </w:tc>
        <w:tc>
          <w:tcPr>
            <w:tcW w:type="dxa" w:w="2000"/>
            <w:shd w:fill="1A1A1A" w:val="clear"/>
            <w:tcMar>
              <w:top w:type="dxa" w:w="80"/>
              <w:left w:type="dxa" w:w="100"/>
              <w:bottom w:type="dxa" w:w="80"/>
              <w:right w:type="dxa" w:w="100"/>
            </w:tcMar>
          </w:tcPr>
          <w:p>
            <w:r>
              <w:rPr>
                <w:b/>
                <w:bCs/>
                <w:i w:val="false"/>
                <w:iCs w:val="false"/>
                <w:color w:val="FFFFFF"/>
                <w:sz w:val="19"/>
                <w:szCs w:val="19"/>
              </w:rPr>
              <w:t xml:space="preserve">Status</w:t>
            </w:r>
          </w:p>
        </w:tc>
      </w:tr>
      <w:tr>
        <w:tc>
          <w:tcPr>
            <w:tcW w:type="dxa" w:w="5200"/>
            <w:tcMar>
              <w:top w:type="dxa" w:w="80"/>
              <w:left w:type="dxa" w:w="100"/>
              <w:bottom w:type="dxa" w:w="80"/>
              <w:right w:type="dxa" w:w="100"/>
            </w:tcMar>
          </w:tcPr>
          <w:p>
            <w:r>
              <w:rPr>
                <w:b w:val="false"/>
                <w:bCs w:val="false"/>
                <w:i w:val="false"/>
                <w:iCs w:val="false"/>
                <w:color w:val="1A1A1A"/>
                <w:sz w:val="19"/>
                <w:szCs w:val="19"/>
              </w:rPr>
              <w:t xml:space="preserve">API-only probing; no consumer-app automation anywhere in the pipeline</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Backend</w:t>
            </w:r>
          </w:p>
        </w:tc>
        <w:tc>
          <w:tcPr>
            <w:tcW w:type="dxa" w:w="2000"/>
            <w:tcMar>
              <w:top w:type="dxa" w:w="80"/>
              <w:left w:type="dxa" w:w="100"/>
              <w:bottom w:type="dxa" w:w="80"/>
              <w:right w:type="dxa" w:w="100"/>
            </w:tcMar>
          </w:tcPr>
          <w:p>
            <w:r>
              <w:rPr>
                <w:b w:val="false"/>
                <w:bCs w:val="false"/>
                <w:i w:val="false"/>
                <w:iCs w:val="false"/>
                <w:color w:val="1A1A1A"/>
                <w:sz w:val="19"/>
                <w:szCs w:val="19"/>
              </w:rPr>
              <w:t xml:space="preserve">Build constraint</w:t>
            </w:r>
          </w:p>
        </w:tc>
      </w:tr>
      <w:tr>
        <w:tc>
          <w:tcPr>
            <w:tcW w:type="dxa" w:w="5200"/>
            <w:shd w:fill="F5F5F3" w:val="clear"/>
            <w:tcMar>
              <w:top w:type="dxa" w:w="80"/>
              <w:left w:type="dxa" w:w="100"/>
              <w:bottom w:type="dxa" w:w="80"/>
              <w:right w:type="dxa" w:w="100"/>
            </w:tcMar>
          </w:tcPr>
          <w:p>
            <w:r>
              <w:rPr>
                <w:b w:val="false"/>
                <w:bCs w:val="false"/>
                <w:i w:val="false"/>
                <w:iCs w:val="false"/>
                <w:color w:val="1A1A1A"/>
                <w:sz w:val="19"/>
                <w:szCs w:val="19"/>
              </w:rPr>
              <w:t xml:space="preserve">Probe rate limiting and proportionate volumes</w:t>
            </w:r>
          </w:p>
        </w:tc>
        <w:tc>
          <w:tcPr>
            <w:tcW w:type="dxa" w:w="2100"/>
            <w:shd w:fill="F5F5F3" w:val="clear"/>
            <w:tcMar>
              <w:top w:type="dxa" w:w="80"/>
              <w:left w:type="dxa" w:w="100"/>
              <w:bottom w:type="dxa" w:w="80"/>
              <w:right w:type="dxa" w:w="100"/>
            </w:tcMar>
          </w:tcPr>
          <w:p>
            <w:r>
              <w:rPr>
                <w:b w:val="false"/>
                <w:bCs w:val="false"/>
                <w:i w:val="false"/>
                <w:iCs w:val="false"/>
                <w:color w:val="1A1A1A"/>
                <w:sz w:val="19"/>
                <w:szCs w:val="19"/>
              </w:rPr>
              <w:t xml:space="preserve">Backend</w:t>
            </w:r>
          </w:p>
        </w:tc>
        <w:tc>
          <w:tcPr>
            <w:tcW w:type="dxa" w:w="2000"/>
            <w:shd w:fill="F5F5F3" w:val="clear"/>
            <w:tcMar>
              <w:top w:type="dxa" w:w="80"/>
              <w:left w:type="dxa" w:w="100"/>
              <w:bottom w:type="dxa" w:w="80"/>
              <w:right w:type="dxa" w:w="100"/>
            </w:tcMar>
          </w:tcPr>
          <w:p>
            <w:r>
              <w:rPr>
                <w:b w:val="false"/>
                <w:bCs w:val="false"/>
                <w:i w:val="false"/>
                <w:iCs w:val="false"/>
                <w:color w:val="1A1A1A"/>
                <w:sz w:val="19"/>
                <w:szCs w:val="19"/>
              </w:rPr>
              <w:t xml:space="preserve">Build constraint</w:t>
            </w:r>
          </w:p>
        </w:tc>
      </w:tr>
      <w:tr>
        <w:tc>
          <w:tcPr>
            <w:tcW w:type="dxa" w:w="5200"/>
            <w:tcMar>
              <w:top w:type="dxa" w:w="80"/>
              <w:left w:type="dxa" w:w="100"/>
              <w:bottom w:type="dxa" w:w="80"/>
              <w:right w:type="dxa" w:w="100"/>
            </w:tcMar>
          </w:tcPr>
          <w:p>
            <w:r>
              <w:rPr>
                <w:b w:val="false"/>
                <w:bCs w:val="false"/>
                <w:i w:val="false"/>
                <w:iCs w:val="false"/>
                <w:color w:val="1A1A1A"/>
                <w:sz w:val="19"/>
                <w:szCs w:val="19"/>
              </w:rPr>
              <w:t xml:space="preserve">No probe outputs used as training data</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Backend</w:t>
            </w:r>
          </w:p>
        </w:tc>
        <w:tc>
          <w:tcPr>
            <w:tcW w:type="dxa" w:w="2000"/>
            <w:tcMar>
              <w:top w:type="dxa" w:w="80"/>
              <w:left w:type="dxa" w:w="100"/>
              <w:bottom w:type="dxa" w:w="80"/>
              <w:right w:type="dxa" w:w="100"/>
            </w:tcMar>
          </w:tcPr>
          <w:p>
            <w:r>
              <w:rPr>
                <w:b w:val="false"/>
                <w:bCs w:val="false"/>
                <w:i w:val="false"/>
                <w:iCs w:val="false"/>
                <w:color w:val="1A1A1A"/>
                <w:sz w:val="19"/>
                <w:szCs w:val="19"/>
              </w:rPr>
              <w:t xml:space="preserve">Build constraint</w:t>
            </w:r>
          </w:p>
        </w:tc>
      </w:tr>
      <w:tr>
        <w:tc>
          <w:tcPr>
            <w:tcW w:type="dxa" w:w="5200"/>
            <w:shd w:fill="F5F5F3" w:val="clear"/>
            <w:tcMar>
              <w:top w:type="dxa" w:w="80"/>
              <w:left w:type="dxa" w:w="100"/>
              <w:bottom w:type="dxa" w:w="80"/>
              <w:right w:type="dxa" w:w="100"/>
            </w:tcMar>
          </w:tcPr>
          <w:p>
            <w:r>
              <w:rPr>
                <w:b w:val="false"/>
                <w:bCs w:val="false"/>
                <w:i w:val="false"/>
                <w:iCs w:val="false"/>
                <w:color w:val="1A1A1A"/>
                <w:sz w:val="19"/>
                <w:szCs w:val="19"/>
              </w:rPr>
              <w:t xml:space="preserve">Public methodology page (sampling, frequency, proxy caveat)</w:t>
            </w:r>
          </w:p>
        </w:tc>
        <w:tc>
          <w:tcPr>
            <w:tcW w:type="dxa" w:w="2100"/>
            <w:shd w:fill="F5F5F3" w:val="clear"/>
            <w:tcMar>
              <w:top w:type="dxa" w:w="80"/>
              <w:left w:type="dxa" w:w="100"/>
              <w:bottom w:type="dxa" w:w="80"/>
              <w:right w:type="dxa" w:w="100"/>
            </w:tcMar>
          </w:tcPr>
          <w:p>
            <w:r>
              <w:rPr>
                <w:b w:val="false"/>
                <w:bCs w:val="false"/>
                <w:i w:val="false"/>
                <w:iCs w:val="false"/>
                <w:color w:val="1A1A1A"/>
                <w:sz w:val="19"/>
                <w:szCs w:val="19"/>
              </w:rPr>
              <w:t xml:space="preserve">Website</w:t>
            </w:r>
          </w:p>
        </w:tc>
        <w:tc>
          <w:tcPr>
            <w:tcW w:type="dxa" w:w="2000"/>
            <w:shd w:fill="F5F5F3" w:val="clear"/>
            <w:tcMar>
              <w:top w:type="dxa" w:w="80"/>
              <w:left w:type="dxa" w:w="100"/>
              <w:bottom w:type="dxa" w:w="80"/>
              <w:right w:type="dxa" w:w="100"/>
            </w:tcMar>
          </w:tcPr>
          <w:p>
            <w:r>
              <w:rPr>
                <w:b w:val="false"/>
                <w:bCs w:val="false"/>
                <w:i w:val="false"/>
                <w:iCs w:val="false"/>
                <w:color w:val="1A1A1A"/>
                <w:sz w:val="19"/>
                <w:szCs w:val="19"/>
              </w:rPr>
              <w:t xml:space="preserve">Pre-launch</w:t>
            </w:r>
          </w:p>
        </w:tc>
      </w:tr>
      <w:tr>
        <w:tc>
          <w:tcPr>
            <w:tcW w:type="dxa" w:w="5200"/>
            <w:tcMar>
              <w:top w:type="dxa" w:w="80"/>
              <w:left w:type="dxa" w:w="100"/>
              <w:bottom w:type="dxa" w:w="80"/>
              <w:right w:type="dxa" w:w="100"/>
            </w:tcMar>
          </w:tcPr>
          <w:p>
            <w:r>
              <w:rPr>
                <w:b w:val="false"/>
                <w:bCs w:val="false"/>
                <w:i w:val="false"/>
                <w:iCs w:val="false"/>
                <w:color w:val="1A1A1A"/>
                <w:sz w:val="19"/>
                <w:szCs w:val="19"/>
              </w:rPr>
              <w:t xml:space="preserve">Non-affiliation disclaimer on dashboard, pricing, sales decks</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Frontend + marketing</w:t>
            </w:r>
          </w:p>
        </w:tc>
        <w:tc>
          <w:tcPr>
            <w:tcW w:type="dxa" w:w="2000"/>
            <w:tcMar>
              <w:top w:type="dxa" w:w="80"/>
              <w:left w:type="dxa" w:w="100"/>
              <w:bottom w:type="dxa" w:w="80"/>
              <w:right w:type="dxa" w:w="100"/>
            </w:tcMar>
          </w:tcPr>
          <w:p>
            <w:r>
              <w:rPr>
                <w:b w:val="false"/>
                <w:bCs w:val="false"/>
                <w:i w:val="false"/>
                <w:iCs w:val="false"/>
                <w:color w:val="1A1A1A"/>
                <w:sz w:val="19"/>
                <w:szCs w:val="19"/>
              </w:rPr>
              <w:t xml:space="preserve">Pre-launch</w:t>
            </w:r>
          </w:p>
        </w:tc>
      </w:tr>
      <w:tr>
        <w:tc>
          <w:tcPr>
            <w:tcW w:type="dxa" w:w="5200"/>
            <w:shd w:fill="F5F5F3" w:val="clear"/>
            <w:tcMar>
              <w:top w:type="dxa" w:w="80"/>
              <w:left w:type="dxa" w:w="100"/>
              <w:bottom w:type="dxa" w:w="80"/>
              <w:right w:type="dxa" w:w="100"/>
            </w:tcMar>
          </w:tcPr>
          <w:p>
            <w:r>
              <w:rPr>
                <w:b w:val="false"/>
                <w:bCs w:val="false"/>
                <w:i w:val="false"/>
                <w:iCs w:val="false"/>
                <w:color w:val="1A1A1A"/>
                <w:sz w:val="19"/>
                <w:szCs w:val="19"/>
              </w:rPr>
              <w:t xml:space="preserve">Descriptive brand-name use only; no logos without brand-guideline review</w:t>
            </w:r>
          </w:p>
        </w:tc>
        <w:tc>
          <w:tcPr>
            <w:tcW w:type="dxa" w:w="2100"/>
            <w:shd w:fill="F5F5F3" w:val="clear"/>
            <w:tcMar>
              <w:top w:type="dxa" w:w="80"/>
              <w:left w:type="dxa" w:w="100"/>
              <w:bottom w:type="dxa" w:w="80"/>
              <w:right w:type="dxa" w:w="100"/>
            </w:tcMar>
          </w:tcPr>
          <w:p>
            <w:r>
              <w:rPr>
                <w:b w:val="false"/>
                <w:bCs w:val="false"/>
                <w:i w:val="false"/>
                <w:iCs w:val="false"/>
                <w:color w:val="1A1A1A"/>
                <w:sz w:val="19"/>
                <w:szCs w:val="19"/>
              </w:rPr>
              <w:t xml:space="preserve">Frontend + marketing</w:t>
            </w:r>
          </w:p>
        </w:tc>
        <w:tc>
          <w:tcPr>
            <w:tcW w:type="dxa" w:w="2000"/>
            <w:shd w:fill="F5F5F3" w:val="clear"/>
            <w:tcMar>
              <w:top w:type="dxa" w:w="80"/>
              <w:left w:type="dxa" w:w="100"/>
              <w:bottom w:type="dxa" w:w="80"/>
              <w:right w:type="dxa" w:w="100"/>
            </w:tcMar>
          </w:tcPr>
          <w:p>
            <w:r>
              <w:rPr>
                <w:b w:val="false"/>
                <w:bCs w:val="false"/>
                <w:i w:val="false"/>
                <w:iCs w:val="false"/>
                <w:color w:val="1A1A1A"/>
                <w:sz w:val="19"/>
                <w:szCs w:val="19"/>
              </w:rPr>
              <w:t xml:space="preserve">Pre-launch</w:t>
            </w:r>
          </w:p>
        </w:tc>
      </w:tr>
      <w:tr>
        <w:tc>
          <w:tcPr>
            <w:tcW w:type="dxa" w:w="5200"/>
            <w:tcMar>
              <w:top w:type="dxa" w:w="80"/>
              <w:left w:type="dxa" w:w="100"/>
              <w:bottom w:type="dxa" w:w="80"/>
              <w:right w:type="dxa" w:w="100"/>
            </w:tcMar>
          </w:tcPr>
          <w:p>
            <w:r>
              <w:rPr>
                <w:b w:val="false"/>
                <w:bCs w:val="false"/>
                <w:i w:val="false"/>
                <w:iCs w:val="false"/>
                <w:color w:val="1A1A1A"/>
                <w:sz w:val="19"/>
                <w:szCs w:val="19"/>
              </w:rPr>
              <w:t xml:space="preserve">'Scores are estimates' clause in partner terms</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Legal</w:t>
            </w:r>
          </w:p>
        </w:tc>
        <w:tc>
          <w:tcPr>
            <w:tcW w:type="dxa" w:w="2000"/>
            <w:tcMar>
              <w:top w:type="dxa" w:w="80"/>
              <w:left w:type="dxa" w:w="100"/>
              <w:bottom w:type="dxa" w:w="80"/>
              <w:right w:type="dxa" w:w="100"/>
            </w:tcMar>
          </w:tcPr>
          <w:p>
            <w:r>
              <w:rPr>
                <w:b w:val="false"/>
                <w:bCs w:val="false"/>
                <w:i w:val="false"/>
                <w:iCs w:val="false"/>
                <w:color w:val="1A1A1A"/>
                <w:sz w:val="19"/>
                <w:szCs w:val="19"/>
              </w:rPr>
              <w:t xml:space="preserve">Pre-launch</w:t>
            </w:r>
          </w:p>
        </w:tc>
      </w:tr>
      <w:tr>
        <w:tc>
          <w:tcPr>
            <w:tcW w:type="dxa" w:w="5200"/>
            <w:shd w:fill="F5F5F3" w:val="clear"/>
            <w:tcMar>
              <w:top w:type="dxa" w:w="80"/>
              <w:left w:type="dxa" w:w="100"/>
              <w:bottom w:type="dxa" w:w="80"/>
              <w:right w:type="dxa" w:w="100"/>
            </w:tcMar>
          </w:tcPr>
          <w:p>
            <w:r>
              <w:rPr>
                <w:b w:val="false"/>
                <w:bCs w:val="false"/>
                <w:i w:val="false"/>
                <w:iCs w:val="false"/>
                <w:color w:val="1A1A1A"/>
                <w:sz w:val="19"/>
                <w:szCs w:val="19"/>
              </w:rPr>
              <w:t xml:space="preserve">Performance claims gated until cohort-substantiated</w:t>
            </w:r>
          </w:p>
        </w:tc>
        <w:tc>
          <w:tcPr>
            <w:tcW w:type="dxa" w:w="2100"/>
            <w:shd w:fill="F5F5F3" w:val="clear"/>
            <w:tcMar>
              <w:top w:type="dxa" w:w="80"/>
              <w:left w:type="dxa" w:w="100"/>
              <w:bottom w:type="dxa" w:w="80"/>
              <w:right w:type="dxa" w:w="100"/>
            </w:tcMar>
          </w:tcPr>
          <w:p>
            <w:r>
              <w:rPr>
                <w:b w:val="false"/>
                <w:bCs w:val="false"/>
                <w:i w:val="false"/>
                <w:iCs w:val="false"/>
                <w:color w:val="1A1A1A"/>
                <w:sz w:val="19"/>
                <w:szCs w:val="19"/>
              </w:rPr>
              <w:t xml:space="preserve">Marketing</w:t>
            </w:r>
          </w:p>
        </w:tc>
        <w:tc>
          <w:tcPr>
            <w:tcW w:type="dxa" w:w="2000"/>
            <w:shd w:fill="F5F5F3" w:val="clear"/>
            <w:tcMar>
              <w:top w:type="dxa" w:w="80"/>
              <w:left w:type="dxa" w:w="100"/>
              <w:bottom w:type="dxa" w:w="80"/>
              <w:right w:type="dxa" w:w="100"/>
            </w:tcMar>
          </w:tcPr>
          <w:p>
            <w:r>
              <w:rPr>
                <w:b w:val="false"/>
                <w:bCs w:val="false"/>
                <w:i w:val="false"/>
                <w:iCs w:val="false"/>
                <w:color w:val="1A1A1A"/>
                <w:sz w:val="19"/>
                <w:szCs w:val="19"/>
              </w:rPr>
              <w:t xml:space="preserve">Post-pilot</w:t>
            </w:r>
          </w:p>
        </w:tc>
      </w:tr>
      <w:tr>
        <w:tc>
          <w:tcPr>
            <w:tcW w:type="dxa" w:w="5200"/>
            <w:tcMar>
              <w:top w:type="dxa" w:w="80"/>
              <w:left w:type="dxa" w:w="100"/>
              <w:bottom w:type="dxa" w:w="80"/>
              <w:right w:type="dxa" w:w="100"/>
            </w:tcMar>
          </w:tcPr>
          <w:p>
            <w:r>
              <w:rPr>
                <w:b w:val="false"/>
                <w:bCs w:val="false"/>
                <w:i w:val="false"/>
                <w:iCs w:val="false"/>
                <w:color w:val="1A1A1A"/>
                <w:sz w:val="19"/>
                <w:szCs w:val="19"/>
              </w:rPr>
              <w:t xml:space="preserve">Solicitor review of public marketing copy</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Legal</w:t>
            </w:r>
          </w:p>
        </w:tc>
        <w:tc>
          <w:tcPr>
            <w:tcW w:type="dxa" w:w="2000"/>
            <w:tcMar>
              <w:top w:type="dxa" w:w="80"/>
              <w:left w:type="dxa" w:w="100"/>
              <w:bottom w:type="dxa" w:w="80"/>
              <w:right w:type="dxa" w:w="100"/>
            </w:tcMar>
          </w:tcPr>
          <w:p>
            <w:r>
              <w:rPr>
                <w:b w:val="false"/>
                <w:bCs w:val="false"/>
                <w:i w:val="false"/>
                <w:iCs w:val="false"/>
                <w:color w:val="1A1A1A"/>
                <w:sz w:val="19"/>
                <w:szCs w:val="19"/>
              </w:rPr>
              <w:t xml:space="preserve">Pre-launch</w:t>
            </w:r>
          </w:p>
        </w:tc>
      </w:tr>
    </w:tbl>
    <w:p>
      <w:pPr>
        <w:spacing w:after="100"/>
      </w:pPr>
    </w:p>
    <w:p>
      <w:pPr>
        <w:pStyle w:val="Heading1"/>
        <w:spacing w:after="160" w:before="360"/>
      </w:pPr>
      <w:r>
        <w:rPr>
          <w:color w:val="1A1A1A"/>
        </w:rPr>
        <w:t xml:space="preserve">8. Open questions &amp; next steps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00"/>
      </w:tblGrid>
      <w:tr>
        <w:trPr>
          <w:tblHeader/>
        </w:trPr>
        <w:tc>
          <w:tcPr>
            <w:tcW w:type="dxa" w:w="3400"/>
            <w:shd w:fill="1A1A1A" w:val="clear"/>
            <w:tcMar>
              <w:top w:type="dxa" w:w="80"/>
              <w:left w:type="dxa" w:w="100"/>
              <w:bottom w:type="dxa" w:w="80"/>
              <w:right w:type="dxa" w:w="100"/>
            </w:tcMar>
          </w:tcPr>
          <w:p>
            <w:r>
              <w:rPr>
                <w:b/>
                <w:bCs/>
                <w:i w:val="false"/>
                <w:iCs w:val="false"/>
                <w:color w:val="FFFFFF"/>
                <w:sz w:val="19"/>
                <w:szCs w:val="19"/>
              </w:rPr>
              <w:t xml:space="preserve">Question</w:t>
            </w:r>
          </w:p>
        </w:tc>
        <w:tc>
          <w:tcPr>
            <w:tcW w:type="dxa" w:w="3800"/>
            <w:shd w:fill="1A1A1A" w:val="clear"/>
            <w:tcMar>
              <w:top w:type="dxa" w:w="80"/>
              <w:left w:type="dxa" w:w="100"/>
              <w:bottom w:type="dxa" w:w="80"/>
              <w:right w:type="dxa" w:w="100"/>
            </w:tcMar>
          </w:tcPr>
          <w:p>
            <w:r>
              <w:rPr>
                <w:b/>
                <w:bCs/>
                <w:i w:val="false"/>
                <w:iCs w:val="false"/>
                <w:color w:val="FFFFFF"/>
                <w:sz w:val="19"/>
                <w:szCs w:val="19"/>
              </w:rPr>
              <w:t xml:space="preserve">Detail</w:t>
            </w:r>
          </w:p>
        </w:tc>
        <w:tc>
          <w:tcPr>
            <w:tcW w:type="dxa" w:w="2100"/>
            <w:shd w:fill="1A1A1A" w:val="clear"/>
            <w:tcMar>
              <w:top w:type="dxa" w:w="80"/>
              <w:left w:type="dxa" w:w="100"/>
              <w:bottom w:type="dxa" w:w="80"/>
              <w:right w:type="dxa" w:w="100"/>
            </w:tcMar>
          </w:tcPr>
          <w:p>
            <w:r>
              <w:rPr>
                <w:b/>
                <w:bCs/>
                <w:i w:val="false"/>
                <w:iCs w:val="false"/>
                <w:color w:val="FFFFFF"/>
                <w:sz w:val="19"/>
                <w:szCs w:val="19"/>
              </w:rPr>
              <w:t xml:space="preserve">Owner / action</w:t>
            </w:r>
          </w:p>
        </w:tc>
      </w:tr>
      <w:tr>
        <w:tc>
          <w:tcPr>
            <w:tcW w:type="dxa" w:w="3400"/>
            <w:tcMar>
              <w:top w:type="dxa" w:w="80"/>
              <w:left w:type="dxa" w:w="100"/>
              <w:bottom w:type="dxa" w:w="80"/>
              <w:right w:type="dxa" w:w="100"/>
            </w:tcMar>
          </w:tcPr>
          <w:p>
            <w:r>
              <w:rPr>
                <w:b w:val="false"/>
                <w:bCs w:val="false"/>
                <w:i w:val="false"/>
                <w:iCs w:val="false"/>
                <w:color w:val="1A1A1A"/>
                <w:sz w:val="19"/>
                <w:szCs w:val="19"/>
              </w:rPr>
              <w:t xml:space="preserve">Probe methodology &amp; stability</w:t>
            </w:r>
          </w:p>
        </w:tc>
        <w:tc>
          <w:tcPr>
            <w:tcW w:type="dxa" w:w="3800"/>
            <w:tcMar>
              <w:top w:type="dxa" w:w="80"/>
              <w:left w:type="dxa" w:w="100"/>
              <w:bottom w:type="dxa" w:w="80"/>
              <w:right w:type="dxa" w:w="100"/>
            </w:tcMar>
          </w:tcPr>
          <w:p>
            <w:r>
              <w:rPr>
                <w:b w:val="false"/>
                <w:bCs w:val="false"/>
                <w:i w:val="false"/>
                <w:iCs w:val="false"/>
                <w:color w:val="1A1A1A"/>
                <w:sz w:val="19"/>
                <w:szCs w:val="19"/>
              </w:rPr>
              <w:t xml:space="preserve">Define query templates per category × occasion, sample sizes, and the noise threshold that triggers methodology review.</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Eng + PM — before build</w:t>
            </w:r>
          </w:p>
        </w:tc>
      </w:tr>
      <w:tr>
        <w:tc>
          <w:tcPr>
            <w:tcW w:type="dxa" w:w="3400"/>
            <w:shd w:fill="F5F5F3" w:val="clear"/>
            <w:tcMar>
              <w:top w:type="dxa" w:w="80"/>
              <w:left w:type="dxa" w:w="100"/>
              <w:bottom w:type="dxa" w:w="80"/>
              <w:right w:type="dxa" w:w="100"/>
            </w:tcMar>
          </w:tcPr>
          <w:p>
            <w:r>
              <w:rPr>
                <w:b w:val="false"/>
                <w:bCs w:val="false"/>
                <w:i w:val="false"/>
                <w:iCs w:val="false"/>
                <w:color w:val="1A1A1A"/>
                <w:sz w:val="19"/>
                <w:szCs w:val="19"/>
              </w:rPr>
              <w:t xml:space="preserve">Free-tier score formula</w:t>
            </w:r>
          </w:p>
        </w:tc>
        <w:tc>
          <w:tcPr>
            <w:tcW w:type="dxa" w:w="3800"/>
            <w:shd w:fill="F5F5F3" w:val="clear"/>
            <w:tcMar>
              <w:top w:type="dxa" w:w="80"/>
              <w:left w:type="dxa" w:w="100"/>
              <w:bottom w:type="dxa" w:w="80"/>
              <w:right w:type="dxa" w:w="100"/>
            </w:tcMar>
          </w:tcPr>
          <w:p>
            <w:r>
              <w:rPr>
                <w:b w:val="false"/>
                <w:bCs w:val="false"/>
                <w:i w:val="false"/>
                <w:iCs w:val="false"/>
                <w:color w:val="1A1A1A"/>
                <w:sz w:val="19"/>
                <w:szCs w:val="19"/>
              </w:rPr>
              <w:t xml:space="preserve">Confirm the internal-signals-only composite so free listings stay near-zero cost.</w:t>
            </w:r>
          </w:p>
        </w:tc>
        <w:tc>
          <w:tcPr>
            <w:tcW w:type="dxa" w:w="2100"/>
            <w:shd w:fill="F5F5F3" w:val="clear"/>
            <w:tcMar>
              <w:top w:type="dxa" w:w="80"/>
              <w:left w:type="dxa" w:w="100"/>
              <w:bottom w:type="dxa" w:w="80"/>
              <w:right w:type="dxa" w:w="100"/>
            </w:tcMar>
          </w:tcPr>
          <w:p>
            <w:r>
              <w:rPr>
                <w:b w:val="false"/>
                <w:bCs w:val="false"/>
                <w:i w:val="false"/>
                <w:iCs w:val="false"/>
                <w:color w:val="1A1A1A"/>
                <w:sz w:val="19"/>
                <w:szCs w:val="19"/>
              </w:rPr>
              <w:t xml:space="preserve">PM — this sprint</w:t>
            </w:r>
          </w:p>
        </w:tc>
      </w:tr>
      <w:tr>
        <w:tc>
          <w:tcPr>
            <w:tcW w:type="dxa" w:w="3400"/>
            <w:tcMar>
              <w:top w:type="dxa" w:w="80"/>
              <w:left w:type="dxa" w:w="100"/>
              <w:bottom w:type="dxa" w:w="80"/>
              <w:right w:type="dxa" w:w="100"/>
            </w:tcMar>
          </w:tcPr>
          <w:p>
            <w:r>
              <w:rPr>
                <w:b w:val="false"/>
                <w:bCs w:val="false"/>
                <w:i w:val="false"/>
                <w:iCs w:val="false"/>
                <w:color w:val="1A1A1A"/>
                <w:sz w:val="19"/>
                <w:szCs w:val="19"/>
              </w:rPr>
              <w:t xml:space="preserve">Pricing validation</w:t>
            </w:r>
          </w:p>
        </w:tc>
        <w:tc>
          <w:tcPr>
            <w:tcW w:type="dxa" w:w="3800"/>
            <w:tcMar>
              <w:top w:type="dxa" w:w="80"/>
              <w:left w:type="dxa" w:w="100"/>
              <w:bottom w:type="dxa" w:w="80"/>
              <w:right w:type="dxa" w:w="100"/>
            </w:tcMar>
          </w:tcPr>
          <w:p>
            <w:r>
              <w:rPr>
                <w:b w:val="false"/>
                <w:bCs w:val="false"/>
                <w:i w:val="false"/>
                <w:iCs w:val="false"/>
                <w:color w:val="1A1A1A"/>
                <w:sz w:val="19"/>
                <w:szCs w:val="19"/>
              </w:rPr>
              <w:t xml:space="preserve">Run the £49–79 / £299–499 anchors past the first partner cohort.</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Commercial — pilot</w:t>
            </w:r>
          </w:p>
        </w:tc>
      </w:tr>
      <w:tr>
        <w:tc>
          <w:tcPr>
            <w:tcW w:type="dxa" w:w="3400"/>
            <w:shd w:fill="F5F5F3" w:val="clear"/>
            <w:tcMar>
              <w:top w:type="dxa" w:w="80"/>
              <w:left w:type="dxa" w:w="100"/>
              <w:bottom w:type="dxa" w:w="80"/>
              <w:right w:type="dxa" w:w="100"/>
            </w:tcMar>
          </w:tcPr>
          <w:p>
            <w:r>
              <w:rPr>
                <w:b w:val="false"/>
                <w:bCs w:val="false"/>
                <w:i w:val="false"/>
                <w:iCs w:val="false"/>
                <w:color w:val="1A1A1A"/>
                <w:sz w:val="19"/>
                <w:szCs w:val="19"/>
              </w:rPr>
              <w:t xml:space="preserve">AM capacity model</w:t>
            </w:r>
          </w:p>
        </w:tc>
        <w:tc>
          <w:tcPr>
            <w:tcW w:type="dxa" w:w="3800"/>
            <w:shd w:fill="F5F5F3" w:val="clear"/>
            <w:tcMar>
              <w:top w:type="dxa" w:w="80"/>
              <w:left w:type="dxa" w:w="100"/>
              <w:bottom w:type="dxa" w:w="80"/>
              <w:right w:type="dxa" w:w="100"/>
            </w:tcMar>
          </w:tcPr>
          <w:p>
            <w:r>
              <w:rPr>
                <w:b w:val="false"/>
                <w:bCs w:val="false"/>
                <w:i w:val="false"/>
                <w:iCs w:val="false"/>
                <w:color w:val="1A1A1A"/>
                <w:sz w:val="19"/>
                <w:szCs w:val="19"/>
              </w:rPr>
              <w:t xml:space="preserve">Confirm 25–30 partners per AM assumption with a pilot cohort of 5–10 Pro partners.</w:t>
            </w:r>
          </w:p>
        </w:tc>
        <w:tc>
          <w:tcPr>
            <w:tcW w:type="dxa" w:w="2100"/>
            <w:shd w:fill="F5F5F3" w:val="clear"/>
            <w:tcMar>
              <w:top w:type="dxa" w:w="80"/>
              <w:left w:type="dxa" w:w="100"/>
              <w:bottom w:type="dxa" w:w="80"/>
              <w:right w:type="dxa" w:w="100"/>
            </w:tcMar>
          </w:tcPr>
          <w:p>
            <w:r>
              <w:rPr>
                <w:b w:val="false"/>
                <w:bCs w:val="false"/>
                <w:i w:val="false"/>
                <w:iCs w:val="false"/>
                <w:color w:val="1A1A1A"/>
                <w:sz w:val="19"/>
                <w:szCs w:val="19"/>
              </w:rPr>
              <w:t xml:space="preserve">Ops — pilot</w:t>
            </w:r>
          </w:p>
        </w:tc>
      </w:tr>
      <w:tr>
        <w:tc>
          <w:tcPr>
            <w:tcW w:type="dxa" w:w="3400"/>
            <w:tcMar>
              <w:top w:type="dxa" w:w="80"/>
              <w:left w:type="dxa" w:w="100"/>
              <w:bottom w:type="dxa" w:w="80"/>
              <w:right w:type="dxa" w:w="100"/>
            </w:tcMar>
          </w:tcPr>
          <w:p>
            <w:r>
              <w:rPr>
                <w:b w:val="false"/>
                <w:bCs w:val="false"/>
                <w:i w:val="false"/>
                <w:iCs w:val="false"/>
                <w:color w:val="1A1A1A"/>
                <w:sz w:val="19"/>
                <w:szCs w:val="19"/>
              </w:rPr>
              <w:t xml:space="preserve">Marketing copy legal sign-off</w:t>
            </w:r>
          </w:p>
        </w:tc>
        <w:tc>
          <w:tcPr>
            <w:tcW w:type="dxa" w:w="3800"/>
            <w:tcMar>
              <w:top w:type="dxa" w:w="80"/>
              <w:left w:type="dxa" w:w="100"/>
              <w:bottom w:type="dxa" w:w="80"/>
              <w:right w:type="dxa" w:w="100"/>
            </w:tcMar>
          </w:tcPr>
          <w:p>
            <w:r>
              <w:rPr>
                <w:b w:val="false"/>
                <w:bCs w:val="false"/>
                <w:i w:val="false"/>
                <w:iCs w:val="false"/>
                <w:color w:val="1A1A1A"/>
                <w:sz w:val="19"/>
                <w:szCs w:val="19"/>
              </w:rPr>
              <w:t xml:space="preserve">Solicitor review of GEO marketing claims against section 7 requirements.</w:t>
            </w:r>
          </w:p>
        </w:tc>
        <w:tc>
          <w:tcPr>
            <w:tcW w:type="dxa" w:w="2100"/>
            <w:tcMar>
              <w:top w:type="dxa" w:w="80"/>
              <w:left w:type="dxa" w:w="100"/>
              <w:bottom w:type="dxa" w:w="80"/>
              <w:right w:type="dxa" w:w="100"/>
            </w:tcMar>
          </w:tcPr>
          <w:p>
            <w:r>
              <w:rPr>
                <w:b w:val="false"/>
                <w:bCs w:val="false"/>
                <w:i w:val="false"/>
                <w:iCs w:val="false"/>
                <w:color w:val="1A1A1A"/>
                <w:sz w:val="19"/>
                <w:szCs w:val="19"/>
              </w:rPr>
              <w:t xml:space="preserve">Legal — before launch</w:t>
            </w:r>
          </w:p>
        </w:tc>
      </w:tr>
    </w:tbl>
    <w:p>
      <w:pPr>
        <w:spacing w:after="100"/>
      </w:pPr>
    </w:p>
    <w:p>
      <w:pPr>
        <w:spacing w:before="300"/>
      </w:pPr>
      <w:r>
        <w:rPr>
          <w:i/>
          <w:iCs/>
          <w:color w:val="666666"/>
          <w:sz w:val="19"/>
          <w:szCs w:val="19"/>
        </w:rPr>
        <w:t xml:space="preserve">End of document</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rial" w:cs="Arial" w:eastAsia="Arial" w:hAnsi="Arial"/>
      <w:b/>
      <w:bCs/>
      <w:color w:val="1A1A1A"/>
      <w:sz w:val="32"/>
      <w:szCs w:val="32"/>
    </w:rPr>
  </w:style>
  <w:style w:type="paragraph" w:styleId="Heading2">
    <w:name w:val="Heading 2"/>
    <w:basedOn w:val="Normal"/>
    <w:next w:val="Normal"/>
    <w:qFormat/>
    <w:pPr>
      <w:spacing w:after="120" w:before="280"/>
    </w:pPr>
    <w:rPr>
      <w:rFonts w:ascii="Arial" w:cs="Arial" w:eastAsia="Arial" w:hAnsi="Arial"/>
      <w:b/>
      <w:bCs/>
      <w:color w:val="1A1A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2026-07-09T10:42:50.601Z</dcterms:created>
  <dcterms:modified xsi:type="dcterms:W3CDTF">2026-07-09T10:42:50.614Z</dcterms:modified>
</cp:coreProperties>
</file>

<file path=docProps/custom.xml><?xml version="1.0" encoding="utf-8"?>
<Properties xmlns="http://schemas.openxmlformats.org/officeDocument/2006/custom-properties" xmlns:vt="http://schemas.openxmlformats.org/officeDocument/2006/docPropsVTypes"/>
</file>