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BE" w:rsidRPr="002938A1" w:rsidRDefault="0093524D">
      <w:pPr>
        <w:rPr>
          <w:b/>
          <w:bCs/>
          <w:u w:val="single"/>
        </w:rPr>
      </w:pPr>
      <w:r w:rsidRPr="002938A1">
        <w:rPr>
          <w:b/>
          <w:bCs/>
          <w:u w:val="single"/>
        </w:rPr>
        <w:t>Our injection mix and other tips</w:t>
      </w:r>
    </w:p>
    <w:p w:rsidR="0093524D" w:rsidRDefault="0093524D" w:rsidP="002938A1">
      <w:r>
        <w:t xml:space="preserve">Please note: </w:t>
      </w:r>
      <w:r w:rsidR="00592F5D">
        <w:t>We mostly use smaller concentration</w:t>
      </w:r>
      <w:r w:rsidR="00E813D3">
        <w:t>s</w:t>
      </w:r>
      <w:r w:rsidR="00592F5D">
        <w:t xml:space="preserve"> of injection materials than what is written in </w:t>
      </w:r>
      <w:proofErr w:type="spellStart"/>
      <w:r w:rsidR="00592F5D" w:rsidRPr="00592F5D">
        <w:t>Paix</w:t>
      </w:r>
      <w:r w:rsidR="00592F5D">
        <w:t>’s</w:t>
      </w:r>
      <w:proofErr w:type="spellEnd"/>
      <w:r w:rsidR="00592F5D">
        <w:t xml:space="preserve"> paper. In addition, </w:t>
      </w:r>
      <w:r w:rsidR="00B74432">
        <w:t>we</w:t>
      </w:r>
      <w:r>
        <w:t xml:space="preserve"> use </w:t>
      </w:r>
      <w:r w:rsidR="00592F5D">
        <w:t xml:space="preserve">a commercial </w:t>
      </w:r>
      <w:r>
        <w:t>CAS9 enzyme from IDT (</w:t>
      </w:r>
      <w:r w:rsidRPr="0093524D">
        <w:t xml:space="preserve">Alt-R® </w:t>
      </w:r>
      <w:proofErr w:type="spellStart"/>
      <w:r w:rsidRPr="0093524D">
        <w:t>S.p</w:t>
      </w:r>
      <w:proofErr w:type="spellEnd"/>
      <w:r w:rsidRPr="0093524D">
        <w:t>. Ca</w:t>
      </w:r>
      <w:r>
        <w:t>s9 Nuclease V3</w:t>
      </w:r>
      <w:r w:rsidRPr="0093524D">
        <w:t>)</w:t>
      </w:r>
      <w:r>
        <w:t xml:space="preserve">, I suppose that CAS9 from a different source will </w:t>
      </w:r>
      <w:r w:rsidR="002938A1">
        <w:t>require</w:t>
      </w:r>
      <w:r>
        <w:t xml:space="preserve"> calibration.</w:t>
      </w:r>
    </w:p>
    <w:p w:rsidR="0093524D" w:rsidRDefault="0093524D">
      <w:pPr>
        <w:rPr>
          <w:b/>
          <w:bCs/>
        </w:rPr>
      </w:pPr>
      <w:r w:rsidRPr="0093524D">
        <w:rPr>
          <w:b/>
          <w:bCs/>
        </w:rPr>
        <w:t>Injection mix</w:t>
      </w:r>
      <w:r w:rsidR="002938A1">
        <w:rPr>
          <w:b/>
          <w:bCs/>
        </w:rPr>
        <w:t xml:space="preserve"> (</w:t>
      </w:r>
      <w:r>
        <w:rPr>
          <w:b/>
          <w:bCs/>
        </w:rPr>
        <w:t>20</w:t>
      </w:r>
      <w:r>
        <w:rPr>
          <w:rFonts w:cstheme="minorHAnsi"/>
          <w:b/>
          <w:bCs/>
        </w:rPr>
        <w:t>µ</w:t>
      </w:r>
      <w:r>
        <w:rPr>
          <w:b/>
          <w:bCs/>
        </w:rPr>
        <w:t>l)</w:t>
      </w:r>
    </w:p>
    <w:p w:rsidR="0093524D" w:rsidRDefault="0093524D" w:rsidP="000A4EC2">
      <w:pPr>
        <w:rPr>
          <w:rFonts w:cstheme="minorHAnsi"/>
        </w:rPr>
      </w:pPr>
      <w:r>
        <w:t xml:space="preserve">CAS9 enzyme (provided </w:t>
      </w:r>
      <w:r w:rsidR="000A4EC2">
        <w:t>conc.</w:t>
      </w:r>
      <w:r>
        <w:t xml:space="preserve"> 10</w:t>
      </w:r>
      <w:r>
        <w:rPr>
          <w:rFonts w:cstheme="minorHAnsi"/>
        </w:rPr>
        <w:t>µ</w:t>
      </w:r>
      <w:r>
        <w:t>g/</w:t>
      </w:r>
      <w:r>
        <w:rPr>
          <w:rFonts w:cstheme="minorHAnsi"/>
        </w:rPr>
        <w:t>µl): 1.6µl</w:t>
      </w:r>
    </w:p>
    <w:p w:rsidR="0093524D" w:rsidRDefault="000A4EC2" w:rsidP="0093524D">
      <w:pPr>
        <w:rPr>
          <w:rFonts w:cstheme="minorHAnsi"/>
        </w:rPr>
      </w:pPr>
      <w:proofErr w:type="spellStart"/>
      <w:r>
        <w:t>tracrRNA</w:t>
      </w:r>
      <w:proofErr w:type="spellEnd"/>
      <w:r w:rsidR="006063A9">
        <w:t xml:space="preserve"> (0.4</w:t>
      </w:r>
      <w:r w:rsidR="006063A9">
        <w:rPr>
          <w:rFonts w:cstheme="minorHAnsi"/>
        </w:rPr>
        <w:t>µg/µl)</w:t>
      </w:r>
      <w:r w:rsidR="00592F5D">
        <w:rPr>
          <w:rFonts w:cstheme="minorHAnsi"/>
        </w:rPr>
        <w:t>: 5µl</w:t>
      </w:r>
    </w:p>
    <w:p w:rsidR="00592F5D" w:rsidRDefault="00592F5D" w:rsidP="009335B9">
      <w:pPr>
        <w:rPr>
          <w:rFonts w:cstheme="minorHAnsi"/>
        </w:rPr>
      </w:pPr>
      <w:r>
        <w:rPr>
          <w:rFonts w:cstheme="minorHAnsi"/>
        </w:rPr>
        <w:t>dpy-10 crRNA (</w:t>
      </w:r>
      <w:r w:rsidR="009335B9">
        <w:t>0.4</w:t>
      </w:r>
      <w:r w:rsidR="009335B9">
        <w:rPr>
          <w:rFonts w:cstheme="minorHAnsi"/>
        </w:rPr>
        <w:t>µg/µl</w:t>
      </w:r>
      <w:r>
        <w:rPr>
          <w:rFonts w:cstheme="minorHAnsi"/>
        </w:rPr>
        <w:t>)</w:t>
      </w:r>
      <w:r w:rsidR="009335B9">
        <w:rPr>
          <w:rFonts w:cstheme="minorHAnsi"/>
        </w:rPr>
        <w:t>: 1µl</w:t>
      </w:r>
    </w:p>
    <w:p w:rsidR="00592F5D" w:rsidRDefault="009335B9" w:rsidP="009335B9">
      <w:pPr>
        <w:rPr>
          <w:rFonts w:cstheme="minorHAnsi"/>
        </w:rPr>
      </w:pPr>
      <w:r>
        <w:t xml:space="preserve">dpy-10 </w:t>
      </w:r>
      <w:proofErr w:type="spellStart"/>
      <w:r>
        <w:t>ssODN</w:t>
      </w:r>
      <w:proofErr w:type="spellEnd"/>
      <w:r>
        <w:t xml:space="preserve"> (1</w:t>
      </w:r>
      <w:r>
        <w:rPr>
          <w:rFonts w:cstheme="minorHAnsi"/>
        </w:rPr>
        <w:t>µg/µl)</w:t>
      </w:r>
      <w:r>
        <w:t>: 0.8</w:t>
      </w:r>
      <w:r>
        <w:rPr>
          <w:rFonts w:cstheme="minorHAnsi"/>
        </w:rPr>
        <w:t>µl</w:t>
      </w:r>
    </w:p>
    <w:p w:rsidR="009335B9" w:rsidRPr="00D3094E" w:rsidRDefault="009335B9" w:rsidP="008B5849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Targeted gene crRNA (</w:t>
      </w:r>
      <w:r w:rsidR="008B5849">
        <w:rPr>
          <w:color w:val="000000"/>
          <w:shd w:val="clear" w:color="auto" w:fill="FFFFFF"/>
        </w:rPr>
        <w:t>0.6mM</w:t>
      </w:r>
      <w:r>
        <w:rPr>
          <w:color w:val="000000"/>
          <w:shd w:val="clear" w:color="auto" w:fill="FFFFFF"/>
        </w:rPr>
        <w:t xml:space="preserve">): </w:t>
      </w:r>
      <w:r w:rsidR="008B5849">
        <w:rPr>
          <w:color w:val="000000"/>
          <w:shd w:val="clear" w:color="auto" w:fill="FFFFFF"/>
        </w:rPr>
        <w:t>2</w:t>
      </w:r>
      <w:r>
        <w:rPr>
          <w:color w:val="000000"/>
          <w:shd w:val="clear" w:color="auto" w:fill="FFFFFF"/>
        </w:rPr>
        <w:t xml:space="preserve">μl </w:t>
      </w:r>
    </w:p>
    <w:p w:rsidR="009335B9" w:rsidRPr="00D3094E" w:rsidRDefault="008B5849" w:rsidP="008B5849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Targeted gene </w:t>
      </w:r>
      <w:proofErr w:type="spellStart"/>
      <w:r w:rsidR="009335B9">
        <w:rPr>
          <w:color w:val="000000"/>
          <w:shd w:val="clear" w:color="auto" w:fill="FFFFFF"/>
        </w:rPr>
        <w:t>ssODN</w:t>
      </w:r>
      <w:proofErr w:type="spellEnd"/>
      <w:r w:rsidR="009335B9">
        <w:rPr>
          <w:color w:val="000000"/>
          <w:shd w:val="clear" w:color="auto" w:fill="FFFFFF"/>
        </w:rPr>
        <w:t xml:space="preserve"> (1μg/</w:t>
      </w:r>
      <w:proofErr w:type="spellStart"/>
      <w:r w:rsidR="009335B9">
        <w:rPr>
          <w:color w:val="000000"/>
          <w:shd w:val="clear" w:color="auto" w:fill="FFFFFF"/>
        </w:rPr>
        <w:t>μl</w:t>
      </w:r>
      <w:proofErr w:type="spellEnd"/>
      <w:r w:rsidR="009335B9">
        <w:rPr>
          <w:color w:val="000000"/>
          <w:shd w:val="clear" w:color="auto" w:fill="FFFFFF"/>
        </w:rPr>
        <w:t xml:space="preserve">): </w:t>
      </w:r>
      <w:r>
        <w:rPr>
          <w:color w:val="000000"/>
          <w:shd w:val="clear" w:color="auto" w:fill="FFFFFF"/>
        </w:rPr>
        <w:t xml:space="preserve">4.5μl </w:t>
      </w:r>
    </w:p>
    <w:p w:rsidR="009335B9" w:rsidRDefault="009335B9" w:rsidP="009335B9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KCl</w:t>
      </w:r>
      <w:proofErr w:type="spellEnd"/>
      <w:r>
        <w:rPr>
          <w:color w:val="000000"/>
          <w:shd w:val="clear" w:color="auto" w:fill="FFFFFF"/>
        </w:rPr>
        <w:t xml:space="preserve"> </w:t>
      </w:r>
      <w:r w:rsidRPr="00D3094E">
        <w:rPr>
          <w:color w:val="000000"/>
          <w:shd w:val="clear" w:color="auto" w:fill="FFFFFF"/>
        </w:rPr>
        <w:t>(1M): 0.5μl</w:t>
      </w:r>
    </w:p>
    <w:p w:rsidR="008B5849" w:rsidRDefault="008B5849" w:rsidP="008B5849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DDW: 4.6</w:t>
      </w:r>
      <w:r w:rsidRPr="00D3094E">
        <w:rPr>
          <w:color w:val="000000"/>
          <w:shd w:val="clear" w:color="auto" w:fill="FFFFFF"/>
        </w:rPr>
        <w:t>μl</w:t>
      </w:r>
      <w:r>
        <w:rPr>
          <w:color w:val="000000"/>
          <w:shd w:val="clear" w:color="auto" w:fill="FFFFFF"/>
        </w:rPr>
        <w:t xml:space="preserve"> (to </w:t>
      </w:r>
      <w:r w:rsidRPr="00D3094E">
        <w:rPr>
          <w:color w:val="000000"/>
          <w:shd w:val="clear" w:color="auto" w:fill="FFFFFF"/>
        </w:rPr>
        <w:t>reach</w:t>
      </w:r>
      <w:r>
        <w:rPr>
          <w:color w:val="000000"/>
          <w:shd w:val="clear" w:color="auto" w:fill="FFFFFF"/>
        </w:rPr>
        <w:t xml:space="preserve"> </w:t>
      </w:r>
      <w:r w:rsidRPr="00D3094E">
        <w:rPr>
          <w:color w:val="000000"/>
          <w:shd w:val="clear" w:color="auto" w:fill="FFFFFF"/>
        </w:rPr>
        <w:t>a</w:t>
      </w:r>
      <w:r>
        <w:rPr>
          <w:color w:val="000000"/>
          <w:shd w:val="clear" w:color="auto" w:fill="FFFFFF"/>
        </w:rPr>
        <w:t xml:space="preserve"> </w:t>
      </w:r>
      <w:r w:rsidRPr="00D3094E">
        <w:rPr>
          <w:color w:val="000000"/>
          <w:shd w:val="clear" w:color="auto" w:fill="FFFFFF"/>
        </w:rPr>
        <w:t>final</w:t>
      </w:r>
      <w:r>
        <w:rPr>
          <w:color w:val="000000"/>
          <w:shd w:val="clear" w:color="auto" w:fill="FFFFFF"/>
        </w:rPr>
        <w:t xml:space="preserve"> </w:t>
      </w:r>
      <w:r w:rsidRPr="00D3094E">
        <w:rPr>
          <w:color w:val="000000"/>
          <w:shd w:val="clear" w:color="auto" w:fill="FFFFFF"/>
        </w:rPr>
        <w:t>volume</w:t>
      </w:r>
      <w:r>
        <w:rPr>
          <w:color w:val="000000"/>
          <w:shd w:val="clear" w:color="auto" w:fill="FFFFFF"/>
        </w:rPr>
        <w:t xml:space="preserve"> </w:t>
      </w:r>
      <w:r w:rsidRPr="00D3094E">
        <w:rPr>
          <w:color w:val="000000"/>
          <w:shd w:val="clear" w:color="auto" w:fill="FFFFFF"/>
        </w:rPr>
        <w:t>of</w:t>
      </w:r>
      <w:r>
        <w:rPr>
          <w:color w:val="000000"/>
          <w:shd w:val="clear" w:color="auto" w:fill="FFFFFF"/>
        </w:rPr>
        <w:t xml:space="preserve"> </w:t>
      </w:r>
      <w:r w:rsidRPr="00D3094E">
        <w:rPr>
          <w:color w:val="000000"/>
          <w:shd w:val="clear" w:color="auto" w:fill="FFFFFF"/>
        </w:rPr>
        <w:t>20μl</w:t>
      </w:r>
      <w:r>
        <w:rPr>
          <w:color w:val="000000"/>
          <w:shd w:val="clear" w:color="auto" w:fill="FFFFFF"/>
        </w:rPr>
        <w:t>)</w:t>
      </w:r>
    </w:p>
    <w:p w:rsidR="00E813D3" w:rsidRDefault="00E813D3" w:rsidP="00E813D3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Incubate the mix for 10-20 minutes at 37</w:t>
      </w:r>
      <w:r w:rsidRPr="00E813D3">
        <w:rPr>
          <w:color w:val="000000"/>
          <w:shd w:val="clear" w:color="auto" w:fill="FFFFFF"/>
          <w:vertAlign w:val="superscript"/>
        </w:rPr>
        <w:t>o</w:t>
      </w:r>
      <w:r>
        <w:rPr>
          <w:color w:val="000000"/>
          <w:shd w:val="clear" w:color="auto" w:fill="FFFFFF"/>
        </w:rPr>
        <w:t>C and then centrifuge with maximum speed for 5 minutes before loading the needle.</w:t>
      </w:r>
    </w:p>
    <w:p w:rsidR="006013B2" w:rsidRDefault="006013B2" w:rsidP="004633CF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tracrRNA</w:t>
      </w:r>
      <w:proofErr w:type="spellEnd"/>
      <w:r>
        <w:rPr>
          <w:color w:val="000000"/>
          <w:shd w:val="clear" w:color="auto" w:fill="FFFFFF"/>
        </w:rPr>
        <w:t xml:space="preserve"> </w:t>
      </w:r>
      <w:r w:rsidR="004633CF">
        <w:rPr>
          <w:color w:val="000000"/>
          <w:shd w:val="clear" w:color="auto" w:fill="FFFFFF"/>
        </w:rPr>
        <w:t>preparation</w:t>
      </w:r>
      <w:r>
        <w:rPr>
          <w:color w:val="000000"/>
          <w:shd w:val="clear" w:color="auto" w:fill="FFFFFF"/>
        </w:rPr>
        <w:t>:</w:t>
      </w:r>
      <w:r w:rsidR="004633CF">
        <w:rPr>
          <w:color w:val="000000"/>
          <w:shd w:val="clear" w:color="auto" w:fill="FFFFFF"/>
        </w:rPr>
        <w:t xml:space="preserve"> IDT provides 5nmol of </w:t>
      </w:r>
      <w:proofErr w:type="spellStart"/>
      <w:r w:rsidR="004633CF">
        <w:rPr>
          <w:color w:val="000000"/>
          <w:shd w:val="clear" w:color="auto" w:fill="FFFFFF"/>
        </w:rPr>
        <w:t>tracrRNA</w:t>
      </w:r>
      <w:proofErr w:type="spellEnd"/>
      <w:r w:rsidR="004633CF">
        <w:rPr>
          <w:color w:val="000000"/>
          <w:shd w:val="clear" w:color="auto" w:fill="FFFFFF"/>
        </w:rPr>
        <w:t xml:space="preserve"> which are 111</w:t>
      </w:r>
      <w:r w:rsidR="004633CF">
        <w:rPr>
          <w:rFonts w:cstheme="minorHAnsi"/>
          <w:color w:val="000000"/>
          <w:shd w:val="clear" w:color="auto" w:fill="FFFFFF"/>
        </w:rPr>
        <w:t>µ</w:t>
      </w:r>
      <w:r w:rsidR="004633CF">
        <w:rPr>
          <w:color w:val="000000"/>
          <w:shd w:val="clear" w:color="auto" w:fill="FFFFFF"/>
        </w:rPr>
        <w:t>g and a duplex buffer. For 0.4</w:t>
      </w:r>
      <w:r w:rsidR="004633CF" w:rsidRPr="004633CF">
        <w:rPr>
          <w:rFonts w:cstheme="minorHAnsi"/>
          <w:color w:val="000000"/>
          <w:shd w:val="clear" w:color="auto" w:fill="FFFFFF"/>
        </w:rPr>
        <w:t xml:space="preserve"> </w:t>
      </w:r>
      <w:r w:rsidR="004633CF">
        <w:rPr>
          <w:rFonts w:cstheme="minorHAnsi"/>
          <w:color w:val="000000"/>
          <w:shd w:val="clear" w:color="auto" w:fill="FFFFFF"/>
        </w:rPr>
        <w:t>µ</w:t>
      </w:r>
      <w:r w:rsidR="004633CF">
        <w:rPr>
          <w:color w:val="000000"/>
          <w:shd w:val="clear" w:color="auto" w:fill="FFFFFF"/>
        </w:rPr>
        <w:t>g/</w:t>
      </w:r>
      <w:r w:rsidR="004633CF">
        <w:rPr>
          <w:rFonts w:cstheme="minorHAnsi"/>
          <w:color w:val="000000"/>
          <w:shd w:val="clear" w:color="auto" w:fill="FFFFFF"/>
        </w:rPr>
        <w:t>µ</w:t>
      </w:r>
      <w:r w:rsidR="004633CF">
        <w:rPr>
          <w:color w:val="000000"/>
          <w:shd w:val="clear" w:color="auto" w:fill="FFFFFF"/>
        </w:rPr>
        <w:t>l add 277</w:t>
      </w:r>
      <w:r w:rsidR="004633CF">
        <w:rPr>
          <w:rFonts w:cstheme="minorHAnsi"/>
          <w:color w:val="000000"/>
          <w:shd w:val="clear" w:color="auto" w:fill="FFFFFF"/>
        </w:rPr>
        <w:t>µ</w:t>
      </w:r>
      <w:r w:rsidR="004633CF">
        <w:rPr>
          <w:color w:val="000000"/>
          <w:shd w:val="clear" w:color="auto" w:fill="FFFFFF"/>
        </w:rPr>
        <w:t xml:space="preserve">l of the buffer provided. Before adding spin-down the </w:t>
      </w:r>
      <w:proofErr w:type="spellStart"/>
      <w:r w:rsidR="004633CF">
        <w:rPr>
          <w:color w:val="000000"/>
          <w:shd w:val="clear" w:color="auto" w:fill="FFFFFF"/>
        </w:rPr>
        <w:t>tracrRNA</w:t>
      </w:r>
      <w:proofErr w:type="spellEnd"/>
      <w:r w:rsidR="004633CF">
        <w:rPr>
          <w:color w:val="000000"/>
          <w:shd w:val="clear" w:color="auto" w:fill="FFFFFF"/>
        </w:rPr>
        <w:t xml:space="preserve"> tube. </w:t>
      </w:r>
    </w:p>
    <w:p w:rsidR="00034BBC" w:rsidRDefault="00D70629" w:rsidP="00034BBC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crRNA preparation: we buy 10nmol of crRNA of the targeted gene. After a quick spin down, we add 16μl of TE buffer (pH 7.5) and warm the solution at 40</w:t>
      </w:r>
      <w:r w:rsidRPr="00D70629">
        <w:rPr>
          <w:color w:val="000000"/>
          <w:shd w:val="clear" w:color="auto" w:fill="FFFFFF"/>
          <w:vertAlign w:val="superscript"/>
        </w:rPr>
        <w:t xml:space="preserve"> </w:t>
      </w:r>
      <w:proofErr w:type="spellStart"/>
      <w:r w:rsidRPr="00E813D3">
        <w:rPr>
          <w:color w:val="000000"/>
          <w:shd w:val="clear" w:color="auto" w:fill="FFFFFF"/>
          <w:vertAlign w:val="superscript"/>
        </w:rPr>
        <w:t>o</w:t>
      </w:r>
      <w:r>
        <w:rPr>
          <w:color w:val="000000"/>
          <w:shd w:val="clear" w:color="auto" w:fill="FFFFFF"/>
        </w:rPr>
        <w:t>C</w:t>
      </w:r>
      <w:proofErr w:type="spellEnd"/>
      <w:r>
        <w:rPr>
          <w:color w:val="000000"/>
          <w:shd w:val="clear" w:color="auto" w:fill="FFFFFF"/>
        </w:rPr>
        <w:t xml:space="preserve"> until the powder dissolves</w:t>
      </w:r>
      <w:r w:rsidR="00034BBC">
        <w:rPr>
          <w:color w:val="000000"/>
          <w:shd w:val="clear" w:color="auto" w:fill="FFFFFF"/>
        </w:rPr>
        <w:t xml:space="preserve"> (a few minutes)</w:t>
      </w:r>
      <w:r>
        <w:rPr>
          <w:color w:val="000000"/>
          <w:shd w:val="clear" w:color="auto" w:fill="FFFFFF"/>
        </w:rPr>
        <w:t xml:space="preserve">. Do not mix actively (no pipetting or </w:t>
      </w:r>
      <w:proofErr w:type="spellStart"/>
      <w:r>
        <w:rPr>
          <w:color w:val="000000"/>
          <w:shd w:val="clear" w:color="auto" w:fill="FFFFFF"/>
        </w:rPr>
        <w:t>vortexing</w:t>
      </w:r>
      <w:proofErr w:type="spellEnd"/>
      <w:r>
        <w:rPr>
          <w:color w:val="000000"/>
          <w:shd w:val="clear" w:color="auto" w:fill="FFFFFF"/>
        </w:rPr>
        <w:t>). Store the crRNA in the freezer (-20</w:t>
      </w:r>
      <w:r w:rsidR="00144D95">
        <w:rPr>
          <w:color w:val="000000"/>
          <w:shd w:val="clear" w:color="auto" w:fill="FFFFFF"/>
        </w:rPr>
        <w:t xml:space="preserve"> </w:t>
      </w:r>
      <w:r w:rsidR="00034BBC">
        <w:rPr>
          <w:color w:val="000000"/>
          <w:shd w:val="clear" w:color="auto" w:fill="FFFFFF"/>
        </w:rPr>
        <w:t>or</w:t>
      </w:r>
      <w:r w:rsidR="00144D95">
        <w:rPr>
          <w:color w:val="000000"/>
          <w:shd w:val="clear" w:color="auto" w:fill="FFFFFF"/>
        </w:rPr>
        <w:t xml:space="preserve"> below</w:t>
      </w:r>
      <w:r>
        <w:rPr>
          <w:color w:val="000000"/>
          <w:shd w:val="clear" w:color="auto" w:fill="FFFFFF"/>
        </w:rPr>
        <w:t>).</w:t>
      </w:r>
    </w:p>
    <w:p w:rsidR="006013B2" w:rsidRDefault="006013B2" w:rsidP="006013B2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TE buffer preparation: in final volume of 100ml put 1ml of </w:t>
      </w:r>
      <w:proofErr w:type="spellStart"/>
      <w:r>
        <w:rPr>
          <w:color w:val="000000"/>
          <w:shd w:val="clear" w:color="auto" w:fill="FFFFFF"/>
        </w:rPr>
        <w:t>Tris</w:t>
      </w:r>
      <w:proofErr w:type="spellEnd"/>
      <w:r>
        <w:rPr>
          <w:color w:val="000000"/>
          <w:shd w:val="clear" w:color="auto" w:fill="FFFFFF"/>
        </w:rPr>
        <w:t xml:space="preserve"> 1M pH 7.5 and 0.2ml of EDTA 0.5M</w:t>
      </w:r>
    </w:p>
    <w:p w:rsidR="00D70629" w:rsidRPr="00D3094E" w:rsidRDefault="00034BBC" w:rsidP="002938A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 don’t think there is much importance to the order in which we make the injection mix. I usually put the water, </w:t>
      </w:r>
      <w:proofErr w:type="spellStart"/>
      <w:r>
        <w:rPr>
          <w:color w:val="000000"/>
          <w:shd w:val="clear" w:color="auto" w:fill="FFFFFF"/>
        </w:rPr>
        <w:t>KCl</w:t>
      </w:r>
      <w:proofErr w:type="spellEnd"/>
      <w:r>
        <w:rPr>
          <w:color w:val="000000"/>
          <w:shd w:val="clear" w:color="auto" w:fill="FFFFFF"/>
        </w:rPr>
        <w:t xml:space="preserve"> and </w:t>
      </w:r>
      <w:proofErr w:type="spellStart"/>
      <w:r>
        <w:rPr>
          <w:color w:val="000000"/>
          <w:shd w:val="clear" w:color="auto" w:fill="FFFFFF"/>
        </w:rPr>
        <w:t>tracrRNA</w:t>
      </w:r>
      <w:proofErr w:type="spellEnd"/>
      <w:r>
        <w:rPr>
          <w:color w:val="000000"/>
          <w:shd w:val="clear" w:color="auto" w:fill="FFFFFF"/>
        </w:rPr>
        <w:t xml:space="preserve"> together first to get some volume and then</w:t>
      </w:r>
      <w:r w:rsidR="002938A1">
        <w:rPr>
          <w:color w:val="000000"/>
          <w:shd w:val="clear" w:color="auto" w:fill="FFFFFF"/>
        </w:rPr>
        <w:t xml:space="preserve"> add</w:t>
      </w:r>
      <w:r>
        <w:rPr>
          <w:color w:val="000000"/>
          <w:shd w:val="clear" w:color="auto" w:fill="FFFFFF"/>
        </w:rPr>
        <w:t xml:space="preserve"> the dpy-10 and targeted gene cr</w:t>
      </w:r>
      <w:r w:rsidR="00294F96">
        <w:rPr>
          <w:color w:val="000000"/>
          <w:shd w:val="clear" w:color="auto" w:fill="FFFFFF"/>
        </w:rPr>
        <w:t xml:space="preserve">RNAs, </w:t>
      </w:r>
      <w:proofErr w:type="spellStart"/>
      <w:r w:rsidR="00294F96">
        <w:rPr>
          <w:color w:val="000000"/>
          <w:shd w:val="clear" w:color="auto" w:fill="FFFFFF"/>
        </w:rPr>
        <w:t>ssODNs</w:t>
      </w:r>
      <w:proofErr w:type="spellEnd"/>
      <w:r w:rsidR="00294F96">
        <w:rPr>
          <w:color w:val="000000"/>
          <w:shd w:val="clear" w:color="auto" w:fill="FFFFFF"/>
        </w:rPr>
        <w:t xml:space="preserve"> and lastly I </w:t>
      </w:r>
      <w:r w:rsidR="002938A1">
        <w:rPr>
          <w:color w:val="000000"/>
          <w:shd w:val="clear" w:color="auto" w:fill="FFFFFF"/>
        </w:rPr>
        <w:t>add</w:t>
      </w:r>
      <w:r w:rsidR="00294F96">
        <w:rPr>
          <w:color w:val="000000"/>
          <w:shd w:val="clear" w:color="auto" w:fill="FFFFFF"/>
        </w:rPr>
        <w:t xml:space="preserve"> the enzyme. I mix the solution by pipetting while I add each of the components.</w:t>
      </w:r>
      <w:r w:rsidR="00D70629">
        <w:rPr>
          <w:color w:val="000000"/>
          <w:shd w:val="clear" w:color="auto" w:fill="FFFFFF"/>
        </w:rPr>
        <w:t xml:space="preserve"> </w:t>
      </w:r>
    </w:p>
    <w:p w:rsidR="009335B9" w:rsidRDefault="00E813D3" w:rsidP="009335B9">
      <w:r>
        <w:t>Other tips:</w:t>
      </w:r>
    </w:p>
    <w:p w:rsidR="00E813D3" w:rsidRDefault="00E813D3" w:rsidP="00D70629">
      <w:pPr>
        <w:pStyle w:val="ListParagraph"/>
        <w:numPr>
          <w:ilvl w:val="0"/>
          <w:numId w:val="2"/>
        </w:numPr>
      </w:pPr>
      <w:r>
        <w:t>When you design the homology arms</w:t>
      </w:r>
      <w:r w:rsidR="00753A7D">
        <w:t>:</w:t>
      </w:r>
      <w:r>
        <w:t xml:space="preserve"> one</w:t>
      </w:r>
      <w:r w:rsidR="00753A7D">
        <w:t xml:space="preserve"> of them</w:t>
      </w:r>
      <w:r>
        <w:t xml:space="preserve"> </w:t>
      </w:r>
      <w:r w:rsidR="00F73F52">
        <w:t>should</w:t>
      </w:r>
      <w:r>
        <w:t xml:space="preserve"> start after the edits and the other </w:t>
      </w:r>
      <w:r w:rsidR="00F73F52">
        <w:t>should</w:t>
      </w:r>
      <w:r>
        <w:t xml:space="preserve"> start </w:t>
      </w:r>
      <w:r w:rsidR="00F73F52">
        <w:rPr>
          <w:b/>
          <w:bCs/>
        </w:rPr>
        <w:t xml:space="preserve">immediately after </w:t>
      </w:r>
      <w:r>
        <w:t xml:space="preserve">the CAS9 cut site </w:t>
      </w:r>
      <w:r w:rsidR="00F73F52">
        <w:t>(they write that in the paper – but it’s important for successful recombination so I wrote it here also)</w:t>
      </w:r>
    </w:p>
    <w:p w:rsidR="00E813D3" w:rsidRDefault="0041058E" w:rsidP="00E813D3">
      <w:pPr>
        <w:pStyle w:val="ListParagraph"/>
        <w:numPr>
          <w:ilvl w:val="0"/>
          <w:numId w:val="2"/>
        </w:numPr>
      </w:pPr>
      <w:r>
        <w:t xml:space="preserve">Whenever possible it’s better to mutate the PAM site </w:t>
      </w:r>
      <w:r w:rsidR="00F73F52">
        <w:t xml:space="preserve">rather </w:t>
      </w:r>
      <w:r>
        <w:t>than the 20nt sequence to ensure that the enzyme will not recut</w:t>
      </w:r>
    </w:p>
    <w:p w:rsidR="00D70629" w:rsidRDefault="00144D95" w:rsidP="00E813D3">
      <w:pPr>
        <w:pStyle w:val="ListParagraph"/>
        <w:numPr>
          <w:ilvl w:val="0"/>
          <w:numId w:val="2"/>
        </w:numPr>
      </w:pPr>
      <w:r>
        <w:t>I like to</w:t>
      </w:r>
      <w:r w:rsidR="00D70629">
        <w:t xml:space="preserve"> u</w:t>
      </w:r>
      <w:r>
        <w:t>se the IDT website to check crRNAs efficiency and possible off targets (</w:t>
      </w:r>
      <w:hyperlink r:id="rId5" w:history="1">
        <w:r>
          <w:rPr>
            <w:rStyle w:val="Hyperlink"/>
          </w:rPr>
          <w:t>https://eu.idtdna.com/site/order/designtool/index/CRISPR_SEQUENCE</w:t>
        </w:r>
      </w:hyperlink>
      <w:r>
        <w:t>)</w:t>
      </w:r>
    </w:p>
    <w:p w:rsidR="003B0464" w:rsidRDefault="003B0464" w:rsidP="00F400A0">
      <w:pPr>
        <w:pStyle w:val="ListParagraph"/>
        <w:numPr>
          <w:ilvl w:val="0"/>
          <w:numId w:val="2"/>
        </w:numPr>
      </w:pPr>
      <w:r w:rsidRPr="0041058E">
        <w:lastRenderedPageBreak/>
        <w:t xml:space="preserve">If your edit is downstream to the </w:t>
      </w:r>
      <w:r w:rsidR="00F400A0">
        <w:t>PAM</w:t>
      </w:r>
      <w:r w:rsidRPr="0041058E">
        <w:t xml:space="preserve"> site</w:t>
      </w:r>
      <w:r>
        <w:t>,</w:t>
      </w:r>
      <w:r w:rsidRPr="0041058E">
        <w:t xml:space="preserve"> your template</w:t>
      </w:r>
      <w:r>
        <w:t xml:space="preserve"> (</w:t>
      </w:r>
      <w:proofErr w:type="spellStart"/>
      <w:r>
        <w:t>ssODN</w:t>
      </w:r>
      <w:proofErr w:type="spellEnd"/>
      <w:r>
        <w:t>)</w:t>
      </w:r>
      <w:r w:rsidRPr="0041058E">
        <w:t xml:space="preserve"> should be designed according to the </w:t>
      </w:r>
      <w:r w:rsidRPr="00CA6273">
        <w:rPr>
          <w:b/>
          <w:bCs/>
        </w:rPr>
        <w:t>opposite</w:t>
      </w:r>
      <w:r w:rsidRPr="0041058E">
        <w:t xml:space="preserve"> strand, if its upstream, the template should be designed according to the </w:t>
      </w:r>
      <w:r w:rsidRPr="00CA6273">
        <w:rPr>
          <w:b/>
          <w:bCs/>
        </w:rPr>
        <w:t>same</w:t>
      </w:r>
      <w:r w:rsidRPr="0041058E">
        <w:t xml:space="preserve"> strand</w:t>
      </w:r>
      <w:r>
        <w:t xml:space="preserve">. </w:t>
      </w:r>
    </w:p>
    <w:p w:rsidR="0093524D" w:rsidRDefault="00F73F52" w:rsidP="00753A7D">
      <w:pPr>
        <w:pStyle w:val="ListParagraph"/>
        <w:numPr>
          <w:ilvl w:val="0"/>
          <w:numId w:val="2"/>
        </w:numPr>
      </w:pPr>
      <w:r>
        <w:t xml:space="preserve">The dpy-10 phenotype is much more visible in adult worms. Give the F1 progeny time to grow before determining if the injection was successful or not </w:t>
      </w:r>
    </w:p>
    <w:p w:rsidR="00444E2F" w:rsidRDefault="00444E2F" w:rsidP="00444E2F">
      <w:pPr>
        <w:pStyle w:val="ListParagraph"/>
        <w:numPr>
          <w:ilvl w:val="0"/>
          <w:numId w:val="2"/>
        </w:numPr>
      </w:pPr>
      <w:r>
        <w:t>When using two crRNA for making double DSBs and inserting large fragments, it is better that each one will be on a different strand. The most efficient orientation is OUT-OUT (after the cut the PAM sites remain on the strand), the slightly less efficient orientation is IN-IN (after the cut most of the recogni</w:t>
      </w:r>
      <w:r w:rsidR="00870430">
        <w:t>tion site</w:t>
      </w:r>
      <w:r w:rsidR="00735887">
        <w:t>s</w:t>
      </w:r>
      <w:r w:rsidR="00870430">
        <w:t xml:space="preserve"> remain on the s</w:t>
      </w:r>
      <w:bookmarkStart w:id="0" w:name="_GoBack"/>
      <w:bookmarkEnd w:id="0"/>
      <w:r w:rsidR="00870430">
        <w:t>trand). T</w:t>
      </w:r>
      <w:r>
        <w:t xml:space="preserve">he least efficient orientations are the IN-OUT or OUT-IN </w:t>
      </w:r>
      <w:r w:rsidR="00870430">
        <w:t>that arise from crRNAs that are on the same strand.</w:t>
      </w:r>
    </w:p>
    <w:sectPr w:rsidR="0044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B26A9"/>
    <w:multiLevelType w:val="hybridMultilevel"/>
    <w:tmpl w:val="B10E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A6B44"/>
    <w:multiLevelType w:val="hybridMultilevel"/>
    <w:tmpl w:val="C5922E6A"/>
    <w:lvl w:ilvl="0" w:tplc="EE803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023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0EE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64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12B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AF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F64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4A6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E61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CC22967"/>
    <w:multiLevelType w:val="hybridMultilevel"/>
    <w:tmpl w:val="FDF0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4D"/>
    <w:rsid w:val="00034BBC"/>
    <w:rsid w:val="000A4EC2"/>
    <w:rsid w:val="000E1961"/>
    <w:rsid w:val="00144D95"/>
    <w:rsid w:val="002938A1"/>
    <w:rsid w:val="00294F96"/>
    <w:rsid w:val="003B0464"/>
    <w:rsid w:val="0041058E"/>
    <w:rsid w:val="00444E2F"/>
    <w:rsid w:val="004633CF"/>
    <w:rsid w:val="00592F5D"/>
    <w:rsid w:val="006013B2"/>
    <w:rsid w:val="006063A9"/>
    <w:rsid w:val="00735887"/>
    <w:rsid w:val="00753A7D"/>
    <w:rsid w:val="007708BD"/>
    <w:rsid w:val="00870430"/>
    <w:rsid w:val="008B5849"/>
    <w:rsid w:val="009335B9"/>
    <w:rsid w:val="0093524D"/>
    <w:rsid w:val="00B74432"/>
    <w:rsid w:val="00C729BE"/>
    <w:rsid w:val="00D70629"/>
    <w:rsid w:val="00E813D3"/>
    <w:rsid w:val="00F400A0"/>
    <w:rsid w:val="00F7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F57E"/>
  <w15:chartTrackingRefBased/>
  <w15:docId w15:val="{0EA09C44-95DB-4F76-83D0-BBEBEDC2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2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4D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5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0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u.idtdna.com/site/order/designtool/index/CRISPR_SEQU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5178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 Nitzan</dc:creator>
  <cp:keywords/>
  <dc:description/>
  <cp:lastModifiedBy>Anat Nitzan</cp:lastModifiedBy>
  <cp:revision>11</cp:revision>
  <dcterms:created xsi:type="dcterms:W3CDTF">2019-05-12T07:23:00Z</dcterms:created>
  <dcterms:modified xsi:type="dcterms:W3CDTF">2020-05-14T09:45:00Z</dcterms:modified>
</cp:coreProperties>
</file>