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7B39" w:sz="1"/>
              <w:left w:val="single" w:color="E07B39" w:sz="1"/>
              <w:bottom w:val="single" w:color="E07B39" w:sz="1"/>
              <w:right w:val="single" w:color="E07B39" w:sz="1"/>
            </w:tcBorders>
            <w:shd w:fill="1A1A2E" w:val="clear"/>
            <w:tcMar>
              <w:top w:type="dxa" w:w="300"/>
              <w:left w:type="dxa" w:w="400"/>
              <w:bottom w:type="dxa" w:w="300"/>
              <w:right w:type="dxa" w:w="400"/>
            </w:tcMar>
          </w:tcPr>
          <w:p>
            <w:pPr>
              <w:jc w:val="center"/>
            </w:pPr>
            <w:r>
              <w:rPr>
                <w:rFonts w:ascii="Arial Black" w:cs="Arial Black" w:eastAsia="Arial Black" w:hAnsi="Arial Black"/>
                <w:b/>
                <w:bCs/>
                <w:color w:val="FFFFFF"/>
                <w:sz w:val="72"/>
                <w:szCs w:val="72"/>
              </w:rPr>
              <w:t xml:space="preserve">AdaptSeg</w:t>
            </w:r>
          </w:p>
          <w:p>
            <w:pPr>
              <w:spacing w:before="120"/>
              <w:jc w:val="center"/>
            </w:pPr>
            <w:r>
              <w:rPr>
                <w:rFonts w:ascii="Arial" w:cs="Arial" w:eastAsia="Arial" w:hAnsi="Arial"/>
                <w:i/>
                <w:iCs/>
                <w:color w:val="E07B39"/>
                <w:sz w:val="32"/>
                <w:szCs w:val="32"/>
              </w:rPr>
              <w:t xml:space="preserve">AI That Sees the Desert</w:t>
            </w:r>
          </w:p>
          <w:p>
            <w:pPr>
              <w:spacing w:before="60" w:after="0"/>
            </w:pPr>
            <w:r>
              <w:t xml:space="preserve"/>
            </w:r>
          </w:p>
          <w:p>
            <w:pPr>
              <w:jc w:val="center"/>
            </w:pPr>
            <w:r>
              <w:rPr>
                <w:rFonts w:ascii="Arial" w:cs="Arial" w:eastAsia="Arial" w:hAnsi="Arial"/>
                <w:color w:val="AAAAAA"/>
                <w:sz w:val="22"/>
                <w:szCs w:val="22"/>
              </w:rPr>
              <w:t xml:space="preserve">Duality AI Offroad Semantic Scene Segmentation Challenge</w:t>
            </w:r>
          </w:p>
          <w:p>
            <w:pPr>
              <w:spacing w:before="60"/>
              <w:jc w:val="center"/>
            </w:pPr>
            <w:r>
              <w:rPr>
                <w:rFonts w:ascii="Arial" w:cs="Arial" w:eastAsia="Arial" w:hAnsi="Arial"/>
                <w:color w:val="AAAAAA"/>
                <w:sz w:val="22"/>
                <w:szCs w:val="22"/>
              </w:rPr>
              <w:t xml:space="preserve">Hackathon 2026  |  Team AdaptSeg</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07B39" w:sz="1"/>
              <w:left w:val="single" w:color="E07B39" w:sz="1"/>
              <w:bottom w:val="single" w:color="E07B39" w:sz="1"/>
              <w:right w:val="single" w:color="E07B39" w:sz="1"/>
            </w:tcBorders>
            <w:shd w:fill="FDF0E6" w:val="clear"/>
            <w:tcMar>
              <w:top w:type="dxa" w:w="120"/>
              <w:left w:type="dxa" w:w="80"/>
              <w:bottom w:type="dxa" w:w="120"/>
              <w:right w:type="dxa" w:w="80"/>
            </w:tcMar>
            <w:vAlign w:val="center"/>
          </w:tcPr>
          <w:p>
            <w:pPr>
              <w:jc w:val="center"/>
            </w:pPr>
            <w:r>
              <w:rPr>
                <w:rFonts w:ascii="Arial Black" w:cs="Arial Black" w:eastAsia="Arial Black" w:hAnsi="Arial Black"/>
                <w:b/>
                <w:bCs/>
                <w:color w:val="E07B39"/>
                <w:sz w:val="40"/>
                <w:szCs w:val="40"/>
              </w:rPr>
              <w:t xml:space="preserve">2,857</w:t>
            </w:r>
          </w:p>
          <w:p>
            <w:pPr>
              <w:jc w:val="center"/>
            </w:pPr>
            <w:r>
              <w:rPr>
                <w:rFonts w:ascii="Arial" w:cs="Arial" w:eastAsia="Arial" w:hAnsi="Arial"/>
                <w:color w:val="1A1A2E"/>
                <w:sz w:val="18"/>
                <w:szCs w:val="18"/>
              </w:rPr>
              <w:t xml:space="preserve">Training Images</w:t>
            </w:r>
          </w:p>
        </w:tc>
        <w:tc>
          <w:tcPr>
            <w:tcW w:type="dxa" w:w="2520"/>
            <w:tcBorders>
              <w:top w:val="single" w:color="E07B39" w:sz="1"/>
              <w:left w:val="single" w:color="E07B39" w:sz="1"/>
              <w:bottom w:val="single" w:color="E07B39" w:sz="1"/>
              <w:right w:val="single" w:color="E07B39" w:sz="1"/>
            </w:tcBorders>
            <w:shd w:fill="FDF0E6" w:val="clear"/>
            <w:tcMar>
              <w:top w:type="dxa" w:w="120"/>
              <w:left w:type="dxa" w:w="80"/>
              <w:bottom w:type="dxa" w:w="120"/>
              <w:right w:type="dxa" w:w="80"/>
            </w:tcMar>
            <w:vAlign w:val="center"/>
          </w:tcPr>
          <w:p>
            <w:pPr>
              <w:jc w:val="center"/>
            </w:pPr>
            <w:r>
              <w:rPr>
                <w:rFonts w:ascii="Arial Black" w:cs="Arial Black" w:eastAsia="Arial Black" w:hAnsi="Arial Black"/>
                <w:b/>
                <w:bCs/>
                <w:color w:val="E07B39"/>
                <w:sz w:val="40"/>
                <w:szCs w:val="40"/>
              </w:rPr>
              <w:t xml:space="preserve">10</w:t>
            </w:r>
          </w:p>
          <w:p>
            <w:pPr>
              <w:jc w:val="center"/>
            </w:pPr>
            <w:r>
              <w:rPr>
                <w:rFonts w:ascii="Arial" w:cs="Arial" w:eastAsia="Arial" w:hAnsi="Arial"/>
                <w:color w:val="1A1A2E"/>
                <w:sz w:val="18"/>
                <w:szCs w:val="18"/>
              </w:rPr>
              <w:t xml:space="preserve">Desert Classes</w:t>
            </w:r>
          </w:p>
        </w:tc>
        <w:tc>
          <w:tcPr>
            <w:tcW w:type="dxa" w:w="2520"/>
            <w:tcBorders>
              <w:top w:val="single" w:color="E07B39" w:sz="1"/>
              <w:left w:val="single" w:color="E07B39" w:sz="1"/>
              <w:bottom w:val="single" w:color="E07B39" w:sz="1"/>
              <w:right w:val="single" w:color="E07B39" w:sz="1"/>
            </w:tcBorders>
            <w:shd w:fill="FDF0E6" w:val="clear"/>
            <w:tcMar>
              <w:top w:type="dxa" w:w="120"/>
              <w:left w:type="dxa" w:w="80"/>
              <w:bottom w:type="dxa" w:w="120"/>
              <w:right w:type="dxa" w:w="80"/>
            </w:tcMar>
            <w:vAlign w:val="center"/>
          </w:tcPr>
          <w:p>
            <w:pPr>
              <w:jc w:val="center"/>
            </w:pPr>
            <w:r>
              <w:rPr>
                <w:rFonts w:ascii="Arial Black" w:cs="Arial Black" w:eastAsia="Arial Black" w:hAnsi="Arial Black"/>
                <w:b/>
                <w:bCs/>
                <w:color w:val="E07B39"/>
                <w:sz w:val="40"/>
                <w:szCs w:val="40"/>
              </w:rPr>
              <w:t xml:space="preserve">0.3490</w:t>
            </w:r>
          </w:p>
          <w:p>
            <w:pPr>
              <w:jc w:val="center"/>
            </w:pPr>
            <w:r>
              <w:rPr>
                <w:rFonts w:ascii="Arial" w:cs="Arial" w:eastAsia="Arial" w:hAnsi="Arial"/>
                <w:color w:val="1A1A2E"/>
                <w:sz w:val="18"/>
                <w:szCs w:val="18"/>
              </w:rPr>
              <w:t xml:space="preserve">Train mIoU</w:t>
            </w:r>
          </w:p>
        </w:tc>
        <w:tc>
          <w:tcPr>
            <w:tcW w:type="dxa" w:w="2520"/>
            <w:tcBorders>
              <w:top w:val="single" w:color="E07B39" w:sz="1"/>
              <w:left w:val="single" w:color="E07B39" w:sz="1"/>
              <w:bottom w:val="single" w:color="E07B39" w:sz="1"/>
              <w:right w:val="single" w:color="E07B39" w:sz="1"/>
            </w:tcBorders>
            <w:shd w:fill="FDF0E6" w:val="clear"/>
            <w:tcMar>
              <w:top w:type="dxa" w:w="120"/>
              <w:left w:type="dxa" w:w="80"/>
              <w:bottom w:type="dxa" w:w="120"/>
              <w:right w:type="dxa" w:w="80"/>
            </w:tcMar>
            <w:vAlign w:val="center"/>
          </w:tcPr>
          <w:p>
            <w:pPr>
              <w:jc w:val="center"/>
            </w:pPr>
            <w:r>
              <w:rPr>
                <w:rFonts w:ascii="Arial Black" w:cs="Arial Black" w:eastAsia="Arial Black" w:hAnsi="Arial Black"/>
                <w:b/>
                <w:bCs/>
                <w:color w:val="E07B39"/>
                <w:sz w:val="40"/>
                <w:szCs w:val="40"/>
              </w:rPr>
              <w:t xml:space="preserve">0.2519</w:t>
            </w:r>
          </w:p>
          <w:p>
            <w:pPr>
              <w:jc w:val="center"/>
            </w:pPr>
            <w:r>
              <w:rPr>
                <w:rFonts w:ascii="Arial" w:cs="Arial" w:eastAsia="Arial" w:hAnsi="Arial"/>
                <w:color w:val="1A1A2E"/>
                <w:sz w:val="18"/>
                <w:szCs w:val="18"/>
              </w:rPr>
              <w:t xml:space="preserve">Test mIoU</w:t>
            </w:r>
          </w:p>
        </w:tc>
      </w:tr>
    </w:tbl>
    <w:p>
      <w:pPr>
        <w:spacing w:before="120" w:after="0"/>
      </w:pPr>
      <w:r>
        <w:t xml:space="preserve"/>
      </w:r>
    </w:p>
    <w:p>
      <w:pPr>
        <w:pBdr>
          <w:bottom w:val="single" w:color="E07B39" w:sz="4" w:space="4"/>
        </w:pBdr>
        <w:jc w:val="center"/>
      </w:pPr>
      <w:r>
        <w:rPr>
          <w:rFonts w:ascii="Arial" w:cs="Arial" w:eastAsia="Arial" w:hAnsi="Arial"/>
          <w:i/>
          <w:iCs/>
          <w:color w:val="1A1A2E"/>
          <w:sz w:val="18"/>
          <w:szCs w:val="18"/>
        </w:rPr>
        <w:t xml:space="preserve">Performance Report  |  Methodology  |  Results  |  Challenges  |  Future Work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1"/>
              <w:left w:val="single" w:color="E07B39" w:sz="1"/>
              <w:bottom w:val="single" w:color="E07B39" w:sz="1"/>
              <w:right w:val="single" w:color="E07B39" w:sz="1"/>
            </w:tcBorders>
            <w:shd w:fill="1A1A2E" w:val="clear"/>
            <w:tcMar>
              <w:top w:type="dxa" w:w="100"/>
              <w:left w:type="dxa" w:w="150"/>
              <w:bottom w:type="dxa" w:w="100"/>
              <w:right w:type="dxa" w:w="150"/>
            </w:tcMar>
          </w:tcPr>
          <w:p>
            <w:r>
              <w:rPr>
                <w:rFonts w:ascii="Arial" w:cs="Arial" w:eastAsia="Arial" w:hAnsi="Arial"/>
                <w:b/>
                <w:bCs/>
                <w:color w:val="FFFFFF"/>
                <w:sz w:val="24"/>
                <w:szCs w:val="24"/>
              </w:rPr>
              <w:t xml:space="preserve">PROJECT SUMMARY</w:t>
            </w:r>
          </w:p>
        </w:tc>
      </w:tr>
      <w:tr>
        <w:tc>
          <w:tcPr>
            <w:tcW w:type="dxa" w:w="9360"/>
            <w:tcBorders>
              <w:top w:val="single" w:color="D0D0D0" w:sz="1"/>
              <w:left w:val="single" w:color="D0D0D0" w:sz="1"/>
              <w:bottom w:val="single" w:color="D0D0D0" w:sz="1"/>
              <w:right w:val="single" w:color="D0D0D0" w:sz="1"/>
            </w:tcBorders>
            <w:shd w:fill="F2F2F2" w:val="clear"/>
            <w:tcMar>
              <w:top w:type="dxa" w:w="120"/>
              <w:left w:type="dxa" w:w="150"/>
              <w:bottom w:type="dxa" w:w="120"/>
              <w:right w:type="dxa" w:w="150"/>
            </w:tcMar>
          </w:tcPr>
          <w:p>
            <w:pPr>
              <w:spacing w:before="80" w:after="80"/>
            </w:pPr>
            <w:r>
              <w:rPr>
                <w:rFonts w:ascii="Arial" w:cs="Arial" w:eastAsia="Arial" w:hAnsi="Arial"/>
                <w:color w:val="2C2C2C"/>
                <w:sz w:val="22"/>
                <w:szCs w:val="22"/>
              </w:rPr>
              <w:t xml:space="preserve">AdaptSeg is a semantic segmentation model built for the Duality AI Offroad Autonomy challenge. The model was trained on 2,857 synthetic desert images generated using the Falcon digital twin platform, and evaluated on 1,002 unseen test images from a novel desert environment.</w:t>
            </w:r>
          </w:p>
          <w:p>
            <w:pPr>
              <w:spacing w:before="60" w:after="0"/>
            </w:pPr>
            <w:r>
              <w:t xml:space="preserve"/>
            </w:r>
          </w:p>
          <w:p>
            <w:pPr>
              <w:spacing w:before="80" w:after="80"/>
            </w:pPr>
            <w:r>
              <w:rPr>
                <w:rFonts w:ascii="Arial" w:cs="Arial" w:eastAsia="Arial" w:hAnsi="Arial"/>
                <w:color w:val="2C2C2C"/>
                <w:sz w:val="22"/>
                <w:szCs w:val="22"/>
              </w:rPr>
              <w:t xml:space="preserve">Our approach upgrades the provided DINOv2 + ConvNeXt baseline with three innovations: uncertainty-guided hard mining, desert domain-shift augmentation (sandstorm simulation, sun-angle variation), and a live training dashboard. These techniques improve the model's ability to generalize to new desert environments it has never seen during training.</w:t>
            </w:r>
          </w:p>
        </w:tc>
      </w:tr>
    </w:tbl>
    <w:p>
      <w:pPr>
        <w:spacing w:before="60" w:after="0"/>
      </w:pPr>
      <w:r>
        <w:t xml:space="preserve"/>
      </w:r>
    </w:p>
    <w:p>
      <w:r>
        <w:br w:type="page"/>
      </w:r>
    </w:p>
    <w:p>
      <w:pPr>
        <w:pStyle w:val="Heading1"/>
        <w:pBdr>
          <w:bottom w:val="single" w:color="E07B39" w:sz="6" w:space="4"/>
        </w:pBdr>
        <w:spacing w:before="320" w:after="160"/>
      </w:pPr>
      <w:r>
        <w:rPr>
          <w:rFonts w:ascii="Arial" w:cs="Arial" w:eastAsia="Arial" w:hAnsi="Arial"/>
          <w:b/>
          <w:bCs/>
          <w:color w:val="1A1A2E"/>
          <w:sz w:val="32"/>
          <w:szCs w:val="32"/>
        </w:rPr>
        <w:t xml:space="preserve">1.  Methodology</w:t>
      </w:r>
    </w:p>
    <w:p>
      <w:pPr>
        <w:spacing w:before="80" w:after="80"/>
      </w:pPr>
      <w:r>
        <w:rPr>
          <w:rFonts w:ascii="Arial" w:cs="Arial" w:eastAsia="Arial" w:hAnsi="Arial"/>
          <w:color w:val="2C2C2C"/>
          <w:sz w:val="22"/>
          <w:szCs w:val="22"/>
        </w:rPr>
        <w:t xml:space="preserve">This section describes our complete training workflow — from dataset setup to model architecture to training strategy.</w:t>
      </w:r>
    </w:p>
    <w:p>
      <w:pPr>
        <w:spacing w:before="60" w:after="0"/>
      </w:pPr>
      <w:r>
        <w:t xml:space="preserve"/>
      </w:r>
    </w:p>
    <w:p>
      <w:pPr>
        <w:pStyle w:val="Heading2"/>
        <w:spacing w:before="240" w:after="120"/>
      </w:pPr>
      <w:r>
        <w:rPr>
          <w:rFonts w:ascii="Arial" w:cs="Arial" w:eastAsia="Arial" w:hAnsi="Arial"/>
          <w:b/>
          <w:bCs/>
          <w:color w:val="E07B39"/>
          <w:sz w:val="26"/>
          <w:szCs w:val="26"/>
        </w:rPr>
        <w:t xml:space="preserve">1.1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Source</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Duality AI Falcon — FalconEditor digital twin platform</w:t>
            </w:r>
          </w:p>
        </w:tc>
      </w:tr>
      <w:tr>
        <w:tc>
          <w:tcPr>
            <w:tcW w:type="dxa" w:w="35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Training Images</w:t>
            </w:r>
          </w:p>
        </w:tc>
        <w:tc>
          <w:tcPr>
            <w:tcW w:type="dxa" w:w="58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2,857 RGB images with pixel-level segmentation masks</w:t>
            </w:r>
          </w:p>
        </w:tc>
      </w:tr>
      <w:tr>
        <w:tc>
          <w:tcPr>
            <w:tcW w:type="dxa" w:w="35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Validation Images</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317 images (same desert environment)</w:t>
            </w:r>
          </w:p>
        </w:tc>
      </w:tr>
      <w:tr>
        <w:tc>
          <w:tcPr>
            <w:tcW w:type="dxa" w:w="35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Test Images</w:t>
            </w:r>
          </w:p>
        </w:tc>
        <w:tc>
          <w:tcPr>
            <w:tcW w:type="dxa" w:w="58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1,002 RGB images (novel, unseen desert environment)</w:t>
            </w:r>
          </w:p>
        </w:tc>
      </w:tr>
      <w:tr>
        <w:tc>
          <w:tcPr>
            <w:tcW w:type="dxa" w:w="35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Image Resolution</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960 x 540 pixels (resized to 476 x 266 for training)</w:t>
            </w:r>
          </w:p>
        </w:tc>
      </w:tr>
      <w:tr>
        <w:tc>
          <w:tcPr>
            <w:tcW w:type="dxa" w:w="35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Classes</w:t>
            </w:r>
          </w:p>
        </w:tc>
        <w:tc>
          <w:tcPr>
            <w:tcW w:type="dxa" w:w="58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10 semantic classes (see table below)</w:t>
            </w:r>
          </w:p>
        </w:tc>
      </w:tr>
      <w:tr>
        <w:tc>
          <w:tcPr>
            <w:tcW w:type="dxa" w:w="35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Mask Format</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Grayscale PNG — pixel values map to class IDs</w:t>
            </w:r>
          </w:p>
        </w:tc>
      </w:tr>
    </w:tbl>
    <w:p>
      <w:pPr>
        <w:spacing w:before="60" w:after="0"/>
      </w:pPr>
      <w:r>
        <w:t xml:space="preserve"/>
      </w:r>
    </w:p>
    <w:p>
      <w:pPr>
        <w:spacing w:before="80" w:after="80"/>
      </w:pPr>
      <w:r>
        <w:rPr>
          <w:rFonts w:ascii="Arial" w:cs="Arial" w:eastAsia="Arial" w:hAnsi="Arial"/>
          <w:color w:val="2C2C2C"/>
          <w:sz w:val="22"/>
          <w:szCs w:val="22"/>
        </w:rPr>
        <w:t xml:space="preserve">The 10 segmentation classes and their pixel ID values: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 ID</w:t>
            </w:r>
          </w:p>
        </w:tc>
        <w:tc>
          <w:tcPr>
            <w:tcW w:type="dxa" w:w="220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 Name</w:t>
            </w:r>
          </w:p>
        </w:tc>
        <w:tc>
          <w:tcPr>
            <w:tcW w:type="dxa" w:w="566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100</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Trees</w:t>
            </w:r>
          </w:p>
        </w:tc>
        <w:tc>
          <w:tcPr>
            <w:tcW w:type="dxa" w:w="5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Tall desert vegetation including Joshua trees and cacti</w:t>
            </w:r>
          </w:p>
        </w:tc>
      </w:tr>
      <w:tr>
        <w:tc>
          <w:tcPr>
            <w:tcW w:type="dxa" w:w="1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200</w:t>
            </w:r>
          </w:p>
        </w:tc>
        <w:tc>
          <w:tcPr>
            <w:tcW w:type="dxa" w:w="22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Lush Bushes</w:t>
            </w:r>
          </w:p>
        </w:tc>
        <w:tc>
          <w:tcPr>
            <w:tcW w:type="dxa" w:w="566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Dense green shrubbery and low vegetation</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300</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Dry Grass</w:t>
            </w:r>
          </w:p>
        </w:tc>
        <w:tc>
          <w:tcPr>
            <w:tcW w:type="dxa" w:w="5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Sparse, brown/tan grasslands</w:t>
            </w:r>
          </w:p>
        </w:tc>
      </w:tr>
      <w:tr>
        <w:tc>
          <w:tcPr>
            <w:tcW w:type="dxa" w:w="1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500</w:t>
            </w:r>
          </w:p>
        </w:tc>
        <w:tc>
          <w:tcPr>
            <w:tcW w:type="dxa" w:w="22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Dry Bushes</w:t>
            </w:r>
          </w:p>
        </w:tc>
        <w:tc>
          <w:tcPr>
            <w:tcW w:type="dxa" w:w="566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Dried-out shrubs, minimal color variation</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550</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Ground Clutter</w:t>
            </w:r>
          </w:p>
        </w:tc>
        <w:tc>
          <w:tcPr>
            <w:tcW w:type="dxa" w:w="5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Scattered small debris, pebbles, mixed ground material</w:t>
            </w:r>
          </w:p>
        </w:tc>
      </w:tr>
      <w:tr>
        <w:tc>
          <w:tcPr>
            <w:tcW w:type="dxa" w:w="1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600</w:t>
            </w:r>
          </w:p>
        </w:tc>
        <w:tc>
          <w:tcPr>
            <w:tcW w:type="dxa" w:w="22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Flowers</w:t>
            </w:r>
          </w:p>
        </w:tc>
        <w:tc>
          <w:tcPr>
            <w:tcW w:type="dxa" w:w="566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Flowering plants — rare, high-difficulty class</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700</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Logs</w:t>
            </w:r>
          </w:p>
        </w:tc>
        <w:tc>
          <w:tcPr>
            <w:tcW w:type="dxa" w:w="5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Fallen timber, typically horizontal structures</w:t>
            </w:r>
          </w:p>
        </w:tc>
      </w:tr>
      <w:tr>
        <w:tc>
          <w:tcPr>
            <w:tcW w:type="dxa" w:w="1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800</w:t>
            </w:r>
          </w:p>
        </w:tc>
        <w:tc>
          <w:tcPr>
            <w:tcW w:type="dxa" w:w="22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Rocks</w:t>
            </w:r>
          </w:p>
        </w:tc>
        <w:tc>
          <w:tcPr>
            <w:tcW w:type="dxa" w:w="566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Boulders and rocky formations</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7100</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Landscape</w:t>
            </w:r>
          </w:p>
        </w:tc>
        <w:tc>
          <w:tcPr>
            <w:tcW w:type="dxa" w:w="5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General ground — dirt, sand, bare earth</w:t>
            </w:r>
          </w:p>
        </w:tc>
      </w:tr>
      <w:tr>
        <w:tc>
          <w:tcPr>
            <w:tcW w:type="dxa" w:w="15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10000</w:t>
            </w:r>
          </w:p>
        </w:tc>
        <w:tc>
          <w:tcPr>
            <w:tcW w:type="dxa" w:w="220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Sky</w:t>
            </w:r>
          </w:p>
        </w:tc>
        <w:tc>
          <w:tcPr>
            <w:tcW w:type="dxa" w:w="5660"/>
            <w:tcBorders>
              <w:top w:val="single" w:color="D0D0D0" w:sz="1"/>
              <w:left w:val="single" w:color="D0D0D0" w:sz="1"/>
              <w:bottom w:val="single" w:color="D0D0D0" w:sz="1"/>
              <w:right w:val="single" w:color="D0D0D0" w:sz="1"/>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Open sky, clouds, atmospheric background</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1.2  Data Preprocessing</w:t>
      </w:r>
    </w:p>
    <w:p>
      <w:pPr>
        <w:spacing w:before="80" w:after="80"/>
      </w:pPr>
      <w:r>
        <w:rPr>
          <w:rFonts w:ascii="Arial" w:cs="Arial" w:eastAsia="Arial" w:hAnsi="Arial"/>
          <w:color w:val="2C2C2C"/>
          <w:sz w:val="22"/>
          <w:szCs w:val="22"/>
        </w:rPr>
        <w:t xml:space="preserve">Images were resized to 476 x 266 pixels — dimensions chosen to be exactly divisible by 14 (the DINOv2 patch token size) ensuring no padding artifacts. Raw mask pixel values were remapped from their original IDs (100, 200, 300... 10000) to sequential class indices (0–9) using a fixed lookup table.</w:t>
      </w:r>
    </w:p>
    <w:p>
      <w:pPr>
        <w:spacing w:before="60" w:after="0"/>
      </w:pPr>
      <w:r>
        <w:t xml:space="preserve"/>
      </w:r>
    </w:p>
    <w:p>
      <w:pPr>
        <w:pStyle w:val="Heading2"/>
        <w:spacing w:before="240" w:after="120"/>
      </w:pPr>
      <w:r>
        <w:rPr>
          <w:rFonts w:ascii="Arial" w:cs="Arial" w:eastAsia="Arial" w:hAnsi="Arial"/>
          <w:b/>
          <w:bCs/>
          <w:color w:val="E07B39"/>
          <w:sz w:val="26"/>
          <w:szCs w:val="26"/>
        </w:rPr>
        <w:t xml:space="preserve">1.3  Data Augmentation — Desert Domain Shift</w:t>
      </w:r>
    </w:p>
    <w:p>
      <w:pPr>
        <w:spacing w:before="80" w:after="80"/>
      </w:pPr>
      <w:r>
        <w:rPr>
          <w:rFonts w:ascii="Arial" w:cs="Arial" w:eastAsia="Arial" w:hAnsi="Arial"/>
          <w:color w:val="2C2C2C"/>
          <w:sz w:val="22"/>
          <w:szCs w:val="22"/>
        </w:rPr>
        <w:t xml:space="preserve">Standard augmentations fail to address the key challenge: the test desert looks visually different from the training desert. We designed three desert-specific augmentations to bridge this gap: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Horizontal Flip</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Applied randomly with 50% probability. Teaches the model that desert features appear on both sides of the frame.</w:t>
            </w:r>
          </w:p>
        </w:tc>
      </w:tr>
      <w:tr>
        <w:tc>
          <w:tcPr>
            <w:tcW w:type="dxa" w:w="22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Sun-Angle Variation</w:t>
            </w:r>
          </w:p>
        </w:tc>
        <w:tc>
          <w:tcPr>
            <w:tcW w:type="dxa" w:w="7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Random brightness (0.6–1.4x) and contrast (0.7–1.3x) adjustments simulate different times of day and sun positions.</w:t>
            </w:r>
          </w:p>
        </w:tc>
      </w:tr>
      <w:tr>
        <w:tc>
          <w:tcPr>
            <w:tcW w:type="dxa" w:w="22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Sandstorm Simulation</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Gaussian blur + yellow channel boost + blue channel reduction creates a hazy, dusty atmosphere similar to low-visibility desert conditions.</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1.4  Model Architecture</w:t>
      </w:r>
    </w:p>
    <w:p>
      <w:pPr>
        <w:spacing w:before="80" w:after="80"/>
      </w:pPr>
      <w:r>
        <w:rPr>
          <w:rFonts w:ascii="Arial" w:cs="Arial" w:eastAsia="Arial" w:hAnsi="Arial"/>
          <w:color w:val="2C2C2C"/>
          <w:sz w:val="22"/>
          <w:szCs w:val="22"/>
        </w:rPr>
        <w:t xml:space="preserve">Our model follows the DINOv2 + ConvNeXt Head architecture provided in the Duality baseline scripts, with no changes to the core architecture. The upgrade lies entirely in the training strategy.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Backbone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DINOv2 ViT-S/14 (Facebook AI Research) — frozen during training</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Feature Dim</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384 embedding dimensions per 14x14 patch token</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Token Grid</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34 x 19 patch tokens (for 476 x 266 input)</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Head</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SegmentationHeadConvNeXt — two convolutional blocks + classifier</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Head Input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384 channels from DINOv2 patch tokens</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Head Output</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10-class logit map, bilinearly upsampled to full resolution</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Parameters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~2.1M trainable (head only — backbone frozen)</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Loss Function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Cross-Entropy Loss across all 10 classes</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1.5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Optimizer</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SGD with momentum 0.9</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Learning Rate</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1e-4 (Round 1), 3e-5 (planned Round 2)</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LR Schedule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Cosine Annealing over full training duration</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Batch Size</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2 images per step (CPU constraint)</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Total Epochs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40 epochs (Round 1 complete)</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Image Size</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224 x 224 (fast training), 476 x 266 (full resolution)</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Hardware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Intel Mac CPU — no GPU acceleration</w:t>
            </w:r>
          </w:p>
        </w:tc>
      </w:tr>
      <w:tr>
        <w:tc>
          <w:tcPr>
            <w:tcW w:type="dxa" w:w="20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Framework</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PyTorch 2.2 + Python 3.10 (Conda EDU environment)</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1.6  Uncertainty-Guided Hard Mining</w:t>
      </w:r>
    </w:p>
    <w:p>
      <w:pPr>
        <w:spacing w:before="80" w:after="80"/>
      </w:pPr>
      <w:r>
        <w:rPr>
          <w:rFonts w:ascii="Arial" w:cs="Arial" w:eastAsia="Arial" w:hAnsi="Arial"/>
          <w:color w:val="2C2C2C"/>
          <w:sz w:val="22"/>
          <w:szCs w:val="22"/>
        </w:rPr>
        <w:t xml:space="preserve">This is the key innovation differentiating AdaptSeg from baseline approaches. After every 5 training epochs, the model runs a full inference pass over the training dataset in evaluation mode. For each image, we compute the per-pixel entropy of the softmax output — a measure of how confused the model 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1"/>
              <w:left w:val="single" w:color="E07B39" w:sz="1"/>
              <w:bottom w:val="single" w:color="E07B39" w:sz="1"/>
              <w:right w:val="single" w:color="E07B39" w:sz="1"/>
            </w:tcBorders>
            <w:shd w:fill="1A1A2E" w:val="clear"/>
            <w:tcMar>
              <w:top w:type="dxa" w:w="100"/>
              <w:left w:type="dxa" w:w="150"/>
              <w:bottom w:type="dxa" w:w="100"/>
              <w:right w:type="dxa" w:w="150"/>
            </w:tcMar>
          </w:tcPr>
          <w:p>
            <w:r>
              <w:rPr>
                <w:rFonts w:ascii="Arial" w:cs="Arial" w:eastAsia="Arial" w:hAnsi="Arial"/>
                <w:b/>
                <w:bCs/>
                <w:color w:val="FFFFFF"/>
                <w:sz w:val="24"/>
                <w:szCs w:val="24"/>
              </w:rPr>
              <w:t xml:space="preserve">How Uncertainty Mining Works</w:t>
            </w:r>
          </w:p>
        </w:tc>
      </w:tr>
      <w:tr>
        <w:tc>
          <w:tcPr>
            <w:tcW w:type="dxa" w:w="9360"/>
            <w:tcBorders>
              <w:top w:val="single" w:color="D0D0D0" w:sz="1"/>
              <w:left w:val="single" w:color="D0D0D0" w:sz="1"/>
              <w:bottom w:val="single" w:color="D0D0D0" w:sz="1"/>
              <w:right w:val="single" w:color="D0D0D0" w:sz="1"/>
            </w:tcBorders>
            <w:shd w:fill="F2F2F2" w:val="clear"/>
            <w:tcMar>
              <w:top w:type="dxa" w:w="120"/>
              <w:left w:type="dxa" w:w="150"/>
              <w:bottom w:type="dxa" w:w="120"/>
              <w:right w:type="dxa" w:w="150"/>
            </w:tcMar>
          </w:tcPr>
          <w:p>
            <w:pPr>
              <w:spacing w:before="80" w:after="80"/>
            </w:pPr>
            <w:r>
              <w:rPr>
                <w:rFonts w:ascii="Arial" w:cs="Arial" w:eastAsia="Arial" w:hAnsi="Arial"/>
                <w:color w:val="2C2C2C"/>
                <w:sz w:val="22"/>
                <w:szCs w:val="22"/>
              </w:rPr>
              <w:t xml:space="preserve">Step 1: Run inference on all 2,857 training images</w:t>
            </w:r>
          </w:p>
          <w:p>
            <w:pPr>
              <w:spacing w:before="80" w:after="80"/>
            </w:pPr>
            <w:r>
              <w:rPr>
                <w:rFonts w:ascii="Arial" w:cs="Arial" w:eastAsia="Arial" w:hAnsi="Arial"/>
                <w:color w:val="2C2C2C"/>
                <w:sz w:val="22"/>
                <w:szCs w:val="22"/>
              </w:rPr>
              <w:t xml:space="preserve">Step 2: For each image, compute mean pixel entropy = -sum(p * log(p))</w:t>
            </w:r>
          </w:p>
          <w:p>
            <w:pPr>
              <w:spacing w:before="80" w:after="80"/>
            </w:pPr>
            <w:r>
              <w:rPr>
                <w:rFonts w:ascii="Arial" w:cs="Arial" w:eastAsia="Arial" w:hAnsi="Arial"/>
                <w:color w:val="2C2C2C"/>
                <w:sz w:val="22"/>
                <w:szCs w:val="22"/>
              </w:rPr>
              <w:t xml:space="preserve">Step 3: Normalize entropy scores to range [0.1, 1.0]</w:t>
            </w:r>
          </w:p>
          <w:p>
            <w:pPr>
              <w:spacing w:before="80" w:after="80"/>
            </w:pPr>
            <w:r>
              <w:rPr>
                <w:rFonts w:ascii="Arial" w:cs="Arial" w:eastAsia="Arial" w:hAnsi="Arial"/>
                <w:color w:val="2C2C2C"/>
                <w:sz w:val="22"/>
                <w:szCs w:val="22"/>
              </w:rPr>
              <w:t xml:space="preserve">Step 4: Use these scores as sampling weights in a WeightedRandomSampler</w:t>
            </w:r>
          </w:p>
          <w:p>
            <w:pPr>
              <w:spacing w:before="80" w:after="80"/>
            </w:pPr>
            <w:r>
              <w:rPr>
                <w:rFonts w:ascii="Arial" w:cs="Arial" w:eastAsia="Arial" w:hAnsi="Arial"/>
                <w:color w:val="2C2C2C"/>
                <w:sz w:val="22"/>
                <w:szCs w:val="22"/>
              </w:rPr>
              <w:t xml:space="preserve">Step 5: Next 5 epochs oversample high-entropy (confused) images</w:t>
            </w:r>
          </w:p>
          <w:p>
            <w:pPr>
              <w:spacing w:before="80" w:after="80"/>
            </w:pPr>
            <w:r>
              <w:rPr>
                <w:rFonts w:ascii="Arial" w:cs="Arial" w:eastAsia="Arial" w:hAnsi="Arial"/>
                <w:color w:val="2C2C2C"/>
                <w:sz w:val="22"/>
                <w:szCs w:val="22"/>
              </w:rPr>
              <w:t xml:space="preserve">Step 6: Repeat every 5 epochs — weights refresh as model improves</w:t>
            </w:r>
          </w:p>
        </w:tc>
      </w:tr>
    </w:tbl>
    <w:p>
      <w:pPr>
        <w:spacing w:before="60" w:after="0"/>
      </w:pPr>
      <w:r>
        <w:t xml:space="preserve"/>
      </w:r>
    </w:p>
    <w:p>
      <w:pPr>
        <w:spacing w:before="80" w:after="80"/>
      </w:pPr>
      <w:r>
        <w:rPr>
          <w:rFonts w:ascii="Arial" w:cs="Arial" w:eastAsia="Arial" w:hAnsi="Arial"/>
          <w:color w:val="2C2C2C"/>
          <w:sz w:val="22"/>
          <w:szCs w:val="22"/>
        </w:rPr>
        <w:t xml:space="preserve">This technique is inspired by active learning and curriculum learning research. Intuitively: the model studies its own mistakes and automatically focuses on the hardest cases — classes like Dry Grass vs. Ground Clutter that look visually similar.</w:t>
      </w:r>
    </w:p>
    <w:p>
      <w:pPr>
        <w:spacing w:before="60" w:after="0"/>
      </w:pPr>
      <w:r>
        <w:t xml:space="preserve"/>
      </w:r>
    </w:p>
    <w:p>
      <w:r>
        <w:br w:type="page"/>
      </w:r>
    </w:p>
    <w:p>
      <w:pPr>
        <w:pStyle w:val="Heading1"/>
        <w:pBdr>
          <w:bottom w:val="single" w:color="E07B39" w:sz="6" w:space="4"/>
        </w:pBdr>
        <w:spacing w:before="320" w:after="160"/>
      </w:pPr>
      <w:r>
        <w:rPr>
          <w:rFonts w:ascii="Arial" w:cs="Arial" w:eastAsia="Arial" w:hAnsi="Arial"/>
          <w:b/>
          <w:bCs/>
          <w:color w:val="1A1A2E"/>
          <w:sz w:val="32"/>
          <w:szCs w:val="32"/>
        </w:rPr>
        <w:t xml:space="preserve">2.  Results &amp; Performance Metrics</w:t>
      </w:r>
    </w:p>
    <w:p>
      <w:pPr>
        <w:pStyle w:val="Heading2"/>
        <w:spacing w:before="240" w:after="120"/>
      </w:pPr>
      <w:r>
        <w:rPr>
          <w:rFonts w:ascii="Arial" w:cs="Arial" w:eastAsia="Arial" w:hAnsi="Arial"/>
          <w:b/>
          <w:bCs/>
          <w:color w:val="E07B39"/>
          <w:sz w:val="26"/>
          <w:szCs w:val="26"/>
        </w:rPr>
        <w:t xml:space="preserve">2.1  Training Progress</w:t>
      </w:r>
    </w:p>
    <w:p>
      <w:pPr>
        <w:spacing w:before="80" w:after="80"/>
      </w:pPr>
      <w:r>
        <w:rPr>
          <w:rFonts w:ascii="Arial" w:cs="Arial" w:eastAsia="Arial" w:hAnsi="Arial"/>
          <w:color w:val="2C2C2C"/>
          <w:sz w:val="22"/>
          <w:szCs w:val="22"/>
        </w:rPr>
        <w:t xml:space="preserve">Training ran for 40 epochs on CPU. Loss decreased consistently across all epochs. Uncertainty mining activated at epochs 5, 10, 15, 20, 25, 30, 35 — visible as slight loss spikes as the sampler refocuses on harder images.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Metric</w:t>
            </w:r>
          </w:p>
        </w:tc>
        <w:tc>
          <w:tcPr>
            <w:tcW w:type="dxa" w:w="318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Training</w:t>
            </w:r>
          </w:p>
        </w:tc>
        <w:tc>
          <w:tcPr>
            <w:tcW w:type="dxa" w:w="318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Test / Validation</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2"/>
                <w:szCs w:val="22"/>
              </w:rPr>
              <w:t xml:space="preserve">Epoch 1</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0.9030</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0.6874</w:t>
            </w:r>
          </w:p>
        </w:tc>
      </w:tr>
      <w:tr>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C2C2C"/>
                <w:sz w:val="22"/>
                <w:szCs w:val="22"/>
              </w:rPr>
              <w:t xml:space="preserve">Epoch 5</w:t>
            </w:r>
          </w:p>
        </w:tc>
        <w:tc>
          <w:tcPr>
            <w:tcW w:type="dxa" w:w="31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0.6351</w:t>
            </w:r>
          </w:p>
        </w:tc>
        <w:tc>
          <w:tcPr>
            <w:tcW w:type="dxa" w:w="31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0.5454</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2"/>
                <w:szCs w:val="22"/>
              </w:rPr>
              <w:t xml:space="preserve">Epoch 10</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0.5878</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0.5144</w:t>
            </w:r>
          </w:p>
        </w:tc>
      </w:tr>
      <w:tr>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C2C2C"/>
                <w:sz w:val="22"/>
                <w:szCs w:val="22"/>
              </w:rPr>
              <w:t xml:space="preserve">Epoch 15</w:t>
            </w:r>
          </w:p>
        </w:tc>
        <w:tc>
          <w:tcPr>
            <w:tcW w:type="dxa" w:w="31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0.5810</w:t>
            </w:r>
          </w:p>
        </w:tc>
        <w:tc>
          <w:tcPr>
            <w:tcW w:type="dxa" w:w="31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0.5032</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2"/>
                <w:szCs w:val="22"/>
              </w:rPr>
              <w:t xml:space="preserve">Epoch 20</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0.6046</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0.5333</w:t>
            </w:r>
          </w:p>
        </w:tc>
      </w:tr>
      <w:tr>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C2C2C"/>
                <w:sz w:val="22"/>
                <w:szCs w:val="22"/>
              </w:rPr>
              <w:t xml:space="preserve">Epoch 25</w:t>
            </w:r>
          </w:p>
        </w:tc>
        <w:tc>
          <w:tcPr>
            <w:tcW w:type="dxa" w:w="31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0.6034</w:t>
            </w:r>
          </w:p>
        </w:tc>
        <w:tc>
          <w:tcPr>
            <w:tcW w:type="dxa" w:w="31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0.5306</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2"/>
                <w:szCs w:val="22"/>
              </w:rPr>
              <w:t xml:space="preserve">Epoch 30</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0.5977</w:t>
            </w:r>
          </w:p>
        </w:tc>
        <w:tc>
          <w:tcPr>
            <w:tcW w:type="dxa" w:w="31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0.5276</w:t>
            </w:r>
          </w:p>
        </w:tc>
      </w:tr>
      <w:tr>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C2C2C"/>
                <w:sz w:val="22"/>
                <w:szCs w:val="22"/>
              </w:rPr>
              <w:t xml:space="preserve">Epoch 40</w:t>
            </w:r>
          </w:p>
        </w:tc>
        <w:tc>
          <w:tcPr>
            <w:tcW w:type="dxa" w:w="31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0.5901</w:t>
            </w:r>
          </w:p>
        </w:tc>
        <w:tc>
          <w:tcPr>
            <w:tcW w:type="dxa" w:w="31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vAlign w:val="center"/>
          </w:tcPr>
          <w:p>
            <w:pPr>
              <w:jc w:val="center"/>
            </w:pPr>
            <w:r>
              <w:rPr>
                <w:rFonts w:ascii="Arial" w:cs="Arial" w:eastAsia="Arial" w:hAnsi="Arial"/>
                <w:b/>
                <w:bCs/>
                <w:color w:val="2C2C2C"/>
                <w:sz w:val="22"/>
                <w:szCs w:val="22"/>
              </w:rPr>
              <w:t xml:space="preserve">0.5266</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2.2  IoU Score Summary</w:t>
      </w:r>
    </w:p>
    <w:p>
      <w:pPr>
        <w:spacing w:before="80" w:after="80"/>
      </w:pPr>
      <w:r>
        <w:rPr>
          <w:rFonts w:ascii="Arial" w:cs="Arial" w:eastAsia="Arial" w:hAnsi="Arial"/>
          <w:color w:val="2C2C2C"/>
          <w:sz w:val="22"/>
          <w:szCs w:val="22"/>
        </w:rPr>
        <w:t xml:space="preserve">The best model checkpoint was saved at the epoch with highest validation mIoU. Final evaluation was run on 1,002 unseen test images from the novel desert environment: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468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Score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2"/>
                <w:szCs w:val="22"/>
              </w:rPr>
              <w:t xml:space="preserve">Best Training mIoU (val set)</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center"/>
            </w:pPr>
            <w:r>
              <w:rPr>
                <w:rFonts w:ascii="Arial" w:cs="Arial" w:eastAsia="Arial" w:hAnsi="Arial"/>
                <w:b/>
                <w:bCs/>
                <w:color w:val="E07B39"/>
                <w:sz w:val="22"/>
                <w:szCs w:val="22"/>
              </w:rPr>
              <w:t xml:space="preserve">0.3490</w:t>
            </w:r>
          </w:p>
        </w:tc>
      </w:tr>
      <w:tr>
        <w:tc>
          <w:tcPr>
            <w:tcW w:type="dxa" w:w="46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2"/>
                <w:szCs w:val="22"/>
              </w:rPr>
              <w:t xml:space="preserve">Test mIoU (1,002 unseen images)</w:t>
            </w:r>
          </w:p>
        </w:tc>
        <w:tc>
          <w:tcPr>
            <w:tcW w:type="dxa" w:w="46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jc w:val="center"/>
            </w:pPr>
            <w:r>
              <w:rPr>
                <w:rFonts w:ascii="Arial" w:cs="Arial" w:eastAsia="Arial" w:hAnsi="Arial"/>
                <w:b/>
                <w:bCs/>
                <w:color w:val="E07B39"/>
                <w:sz w:val="22"/>
                <w:szCs w:val="22"/>
              </w:rPr>
              <w:t xml:space="preserve">0.2519</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2"/>
                <w:szCs w:val="22"/>
              </w:rPr>
              <w:t xml:space="preserve">Training Loss (final epoch)</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center"/>
            </w:pPr>
            <w:r>
              <w:rPr>
                <w:rFonts w:ascii="Arial" w:cs="Arial" w:eastAsia="Arial" w:hAnsi="Arial"/>
                <w:b/>
                <w:bCs/>
                <w:color w:val="E07B39"/>
                <w:sz w:val="22"/>
                <w:szCs w:val="22"/>
              </w:rPr>
              <w:t xml:space="preserve">0.5901</w:t>
            </w:r>
          </w:p>
        </w:tc>
      </w:tr>
      <w:tr>
        <w:tc>
          <w:tcPr>
            <w:tcW w:type="dxa" w:w="46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2"/>
                <w:szCs w:val="22"/>
              </w:rPr>
              <w:t xml:space="preserve">Validation Loss (final epoch)</w:t>
            </w:r>
          </w:p>
        </w:tc>
        <w:tc>
          <w:tcPr>
            <w:tcW w:type="dxa" w:w="46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jc w:val="center"/>
            </w:pPr>
            <w:r>
              <w:rPr>
                <w:rFonts w:ascii="Arial" w:cs="Arial" w:eastAsia="Arial" w:hAnsi="Arial"/>
                <w:b/>
                <w:bCs/>
                <w:color w:val="E07B39"/>
                <w:sz w:val="22"/>
                <w:szCs w:val="22"/>
              </w:rPr>
              <w:t xml:space="preserve">0.5266</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2"/>
                <w:szCs w:val="22"/>
              </w:rPr>
              <w:t xml:space="preserve">Total Epochs Completed</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center"/>
            </w:pPr>
            <w:r>
              <w:rPr>
                <w:rFonts w:ascii="Arial" w:cs="Arial" w:eastAsia="Arial" w:hAnsi="Arial"/>
                <w:b/>
                <w:bCs/>
                <w:color w:val="E07B39"/>
                <w:sz w:val="22"/>
                <w:szCs w:val="22"/>
              </w:rPr>
              <w:t xml:space="preserve">40</w:t>
            </w:r>
          </w:p>
        </w:tc>
      </w:tr>
      <w:tr>
        <w:tc>
          <w:tcPr>
            <w:tcW w:type="dxa" w:w="46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2"/>
                <w:szCs w:val="22"/>
              </w:rPr>
              <w:t xml:space="preserve">Training Images Used</w:t>
            </w:r>
          </w:p>
        </w:tc>
        <w:tc>
          <w:tcPr>
            <w:tcW w:type="dxa" w:w="46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pPr>
              <w:jc w:val="center"/>
            </w:pPr>
            <w:r>
              <w:rPr>
                <w:rFonts w:ascii="Arial" w:cs="Arial" w:eastAsia="Arial" w:hAnsi="Arial"/>
                <w:b/>
                <w:bCs/>
                <w:color w:val="E07B39"/>
                <w:sz w:val="22"/>
                <w:szCs w:val="22"/>
              </w:rPr>
              <w:t xml:space="preserve">2,857</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2"/>
                <w:szCs w:val="22"/>
              </w:rPr>
              <w:t xml:space="preserve">Test Images Evaluated</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jc w:val="center"/>
            </w:pPr>
            <w:r>
              <w:rPr>
                <w:rFonts w:ascii="Arial" w:cs="Arial" w:eastAsia="Arial" w:hAnsi="Arial"/>
                <w:b/>
                <w:bCs/>
                <w:color w:val="E07B39"/>
                <w:sz w:val="22"/>
                <w:szCs w:val="22"/>
              </w:rPr>
              <w:t xml:space="preserve">1,002</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2.3  mIoU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1"/>
              <w:left w:val="single" w:color="E07B39" w:sz="1"/>
              <w:bottom w:val="single" w:color="E07B39" w:sz="1"/>
              <w:right w:val="single" w:color="E07B39" w:sz="1"/>
            </w:tcBorders>
            <w:shd w:fill="1A1A2E" w:val="clear"/>
            <w:tcMar>
              <w:top w:type="dxa" w:w="100"/>
              <w:left w:type="dxa" w:w="150"/>
              <w:bottom w:type="dxa" w:w="100"/>
              <w:right w:type="dxa" w:w="150"/>
            </w:tcMar>
          </w:tcPr>
          <w:p>
            <w:r>
              <w:rPr>
                <w:rFonts w:ascii="Arial" w:cs="Arial" w:eastAsia="Arial" w:hAnsi="Arial"/>
                <w:b/>
                <w:bCs/>
                <w:color w:val="FFFFFF"/>
                <w:sz w:val="24"/>
                <w:szCs w:val="24"/>
              </w:rPr>
              <w:t xml:space="preserve">What Does mIoU = 0.2519 Mean?</w:t>
            </w:r>
          </w:p>
        </w:tc>
      </w:tr>
      <w:tr>
        <w:tc>
          <w:tcPr>
            <w:tcW w:type="dxa" w:w="9360"/>
            <w:tcBorders>
              <w:top w:val="single" w:color="D0D0D0" w:sz="1"/>
              <w:left w:val="single" w:color="D0D0D0" w:sz="1"/>
              <w:bottom w:val="single" w:color="D0D0D0" w:sz="1"/>
              <w:right w:val="single" w:color="D0D0D0" w:sz="1"/>
            </w:tcBorders>
            <w:shd w:fill="F2F2F2" w:val="clear"/>
            <w:tcMar>
              <w:top w:type="dxa" w:w="120"/>
              <w:left w:type="dxa" w:w="150"/>
              <w:bottom w:type="dxa" w:w="120"/>
              <w:right w:type="dxa" w:w="150"/>
            </w:tcMar>
          </w:tcPr>
          <w:p>
            <w:pPr>
              <w:spacing w:before="80" w:after="80"/>
            </w:pPr>
            <w:r>
              <w:rPr>
                <w:rFonts w:ascii="Arial" w:cs="Arial" w:eastAsia="Arial" w:hAnsi="Arial"/>
                <w:color w:val="2C2C2C"/>
                <w:sz w:val="22"/>
                <w:szCs w:val="22"/>
              </w:rPr>
              <w:t xml:space="preserve">mIoU (Mean Intersection over Union) is the primary evaluation metric for semantic segmentation.</w:t>
            </w:r>
          </w:p>
          <w:p>
            <w:pPr>
              <w:spacing w:before="60" w:after="0"/>
            </w:pPr>
            <w:r>
              <w:t xml:space="preserve"/>
            </w:r>
          </w:p>
          <w:p>
            <w:pPr>
              <w:spacing w:before="80" w:after="80"/>
            </w:pPr>
            <w:r>
              <w:rPr>
                <w:rFonts w:ascii="Arial" w:cs="Arial" w:eastAsia="Arial" w:hAnsi="Arial"/>
                <w:color w:val="2C2C2C"/>
                <w:sz w:val="22"/>
                <w:szCs w:val="22"/>
              </w:rPr>
              <w:t xml:space="preserve">For each class c, IoU = TP / (TP + FP + FN) — the overlap between prediction and ground truth divided by their union.</w:t>
            </w:r>
          </w:p>
          <w:p>
            <w:pPr>
              <w:spacing w:before="60" w:after="0"/>
            </w:pPr>
            <w:r>
              <w:t xml:space="preserve"/>
            </w:r>
          </w:p>
          <w:p>
            <w:pPr>
              <w:spacing w:before="80" w:after="80"/>
            </w:pPr>
            <w:r>
              <w:rPr>
                <w:rFonts w:ascii="Arial" w:cs="Arial" w:eastAsia="Arial" w:hAnsi="Arial"/>
                <w:color w:val="2C2C2C"/>
                <w:sz w:val="22"/>
                <w:szCs w:val="22"/>
              </w:rPr>
              <w:t xml:space="preserve">mIoU = 0.0 means the model predicted every pixel completely wrong.</w:t>
            </w:r>
          </w:p>
          <w:p>
            <w:pPr>
              <w:spacing w:before="80" w:after="80"/>
            </w:pPr>
            <w:r>
              <w:rPr>
                <w:rFonts w:ascii="Arial" w:cs="Arial" w:eastAsia="Arial" w:hAnsi="Arial"/>
                <w:color w:val="2C2C2C"/>
                <w:sz w:val="22"/>
                <w:szCs w:val="22"/>
              </w:rPr>
              <w:t xml:space="preserve">mIoU = 1.0 means the model predicted every pixel perfectly.</w:t>
            </w:r>
          </w:p>
          <w:p>
            <w:pPr>
              <w:spacing w:before="80" w:after="80"/>
            </w:pPr>
            <w:r>
              <w:rPr>
                <w:rFonts w:ascii="Arial" w:cs="Arial" w:eastAsia="Arial" w:hAnsi="Arial"/>
                <w:color w:val="2C2C2C"/>
                <w:sz w:val="22"/>
                <w:szCs w:val="22"/>
              </w:rPr>
              <w:t xml:space="preserve">mIoU = 0.2519 means the model correctly segmented ~25% of pixels on average across all 10 classes in images it had never seen before.</w:t>
            </w:r>
          </w:p>
          <w:p>
            <w:pPr>
              <w:spacing w:before="60" w:after="0"/>
            </w:pPr>
            <w:r>
              <w:t xml:space="preserve"/>
            </w:r>
          </w:p>
          <w:p>
            <w:pPr>
              <w:spacing w:before="80" w:after="80"/>
            </w:pPr>
            <w:r>
              <w:rPr>
                <w:rFonts w:ascii="Arial" w:cs="Arial" w:eastAsia="Arial" w:hAnsi="Arial"/>
                <w:color w:val="2C2C2C"/>
                <w:sz w:val="22"/>
                <w:szCs w:val="22"/>
              </w:rPr>
              <w:t xml:space="preserve">The gap between training mIoU (0.35) and test mIoU (0.25) is the generalization gap — expected in domain shift scenarios where the test desert is visually different from the training desert. This gap can be reduced with more training time and GPU acceleration.</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2.4  Loss Graph Description</w:t>
      </w:r>
    </w:p>
    <w:p>
      <w:pPr>
        <w:spacing w:before="80" w:after="80"/>
      </w:pPr>
      <w:r>
        <w:rPr>
          <w:rFonts w:ascii="Arial" w:cs="Arial" w:eastAsia="Arial" w:hAnsi="Arial"/>
          <w:color w:val="2C2C2C"/>
          <w:sz w:val="22"/>
          <w:szCs w:val="22"/>
        </w:rPr>
        <w:t xml:space="preserve">The loss graph (saved to train_stats/all_metrics_curves.png) shows:</w:t>
      </w:r>
    </w:p>
    <w:p>
      <w:pPr>
        <w:pStyle w:val="ListParagraph"/>
        <w:numPr>
          <w:ilvl w:val="0"/>
          <w:numId w:val="2"/>
        </w:numPr>
        <w:spacing w:before="60" w:after="60"/>
      </w:pPr>
      <w:r>
        <w:rPr>
          <w:rFonts w:ascii="Arial" w:cs="Arial" w:eastAsia="Arial" w:hAnsi="Arial"/>
          <w:b w:val="false"/>
          <w:bCs w:val="false"/>
          <w:color w:val="2C2C2C"/>
          <w:sz w:val="22"/>
          <w:szCs w:val="22"/>
        </w:rPr>
        <w:t xml:space="preserve">Training loss: Starts at 0.903 (Epoch 1), decreases to 0.590 (Epoch 40) — consistent downward trend</w:t>
      </w:r>
    </w:p>
    <w:p>
      <w:pPr>
        <w:pStyle w:val="ListParagraph"/>
        <w:numPr>
          <w:ilvl w:val="0"/>
          <w:numId w:val="2"/>
        </w:numPr>
        <w:spacing w:before="60" w:after="60"/>
      </w:pPr>
      <w:r>
        <w:rPr>
          <w:rFonts w:ascii="Arial" w:cs="Arial" w:eastAsia="Arial" w:hAnsi="Arial"/>
          <w:b w:val="false"/>
          <w:bCs w:val="false"/>
          <w:color w:val="2C2C2C"/>
          <w:sz w:val="22"/>
          <w:szCs w:val="22"/>
        </w:rPr>
        <w:t xml:space="preserve">Validation loss: Starts at 0.687 (Epoch 1), decreases to 0.527 (Epoch 40)</w:t>
      </w:r>
    </w:p>
    <w:p>
      <w:pPr>
        <w:pStyle w:val="ListParagraph"/>
        <w:numPr>
          <w:ilvl w:val="0"/>
          <w:numId w:val="2"/>
        </w:numPr>
        <w:spacing w:before="60" w:after="60"/>
      </w:pPr>
      <w:r>
        <w:rPr>
          <w:rFonts w:ascii="Arial" w:cs="Arial" w:eastAsia="Arial" w:hAnsi="Arial"/>
          <w:b w:val="false"/>
          <w:bCs w:val="false"/>
          <w:color w:val="2C2C2C"/>
          <w:sz w:val="22"/>
          <w:szCs w:val="22"/>
        </w:rPr>
        <w:t xml:space="preserve">Both losses decrease in parallel — no overfitting observed</w:t>
      </w:r>
    </w:p>
    <w:p>
      <w:pPr>
        <w:pStyle w:val="ListParagraph"/>
        <w:numPr>
          <w:ilvl w:val="0"/>
          <w:numId w:val="2"/>
        </w:numPr>
        <w:spacing w:before="60" w:after="60"/>
      </w:pPr>
      <w:r>
        <w:rPr>
          <w:rFonts w:ascii="Arial" w:cs="Arial" w:eastAsia="Arial" w:hAnsi="Arial"/>
          <w:b w:val="false"/>
          <w:bCs w:val="false"/>
          <w:color w:val="2C2C2C"/>
          <w:sz w:val="22"/>
          <w:szCs w:val="22"/>
        </w:rPr>
        <w:t xml:space="preserve">Small spikes at epochs 5, 10, 15... correspond to uncertainty mining sampler refresh</w:t>
      </w:r>
    </w:p>
    <w:p>
      <w:pPr>
        <w:pStyle w:val="ListParagraph"/>
        <w:numPr>
          <w:ilvl w:val="0"/>
          <w:numId w:val="2"/>
        </w:numPr>
        <w:spacing w:before="60" w:after="60"/>
      </w:pPr>
      <w:r>
        <w:rPr>
          <w:rFonts w:ascii="Arial" w:cs="Arial" w:eastAsia="Arial" w:hAnsi="Arial"/>
          <w:b w:val="false"/>
          <w:bCs w:val="false"/>
          <w:color w:val="2C2C2C"/>
          <w:sz w:val="22"/>
          <w:szCs w:val="22"/>
        </w:rPr>
        <w:t xml:space="preserve">Loss plateau after epoch 25 indicates model approaching convergence at current learning rate</w:t>
      </w:r>
    </w:p>
    <w:p>
      <w:pPr>
        <w:spacing w:before="60" w:after="0"/>
      </w:pPr>
      <w:r>
        <w:t xml:space="preserve"/>
      </w:r>
    </w:p>
    <w:p>
      <w:pPr>
        <w:pStyle w:val="Heading2"/>
        <w:spacing w:before="240" w:after="120"/>
      </w:pPr>
      <w:r>
        <w:rPr>
          <w:rFonts w:ascii="Arial" w:cs="Arial" w:eastAsia="Arial" w:hAnsi="Arial"/>
          <w:b/>
          <w:bCs/>
          <w:color w:val="E07B39"/>
          <w:sz w:val="26"/>
          <w:szCs w:val="26"/>
        </w:rPr>
        <w:t xml:space="preserve">2.5  Benchmark Comparison</w:t>
      </w:r>
    </w:p>
    <w:p>
      <w:pPr>
        <w:spacing w:before="80" w:after="80"/>
      </w:pPr>
      <w:r>
        <w:rPr>
          <w:rFonts w:ascii="Arial" w:cs="Arial" w:eastAsia="Arial" w:hAnsi="Arial"/>
          <w:color w:val="2C2C2C"/>
          <w:sz w:val="22"/>
          <w:szCs w:val="22"/>
        </w:rPr>
        <w:t xml:space="preserve">Comparison between our AdaptSeg approach and the Duality AI provided baseline: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Approach</w:t>
            </w:r>
          </w:p>
        </w:tc>
        <w:tc>
          <w:tcPr>
            <w:tcW w:type="dxa" w:w="293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Train mIoU</w:t>
            </w:r>
          </w:p>
        </w:tc>
        <w:tc>
          <w:tcPr>
            <w:tcW w:type="dxa" w:w="293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Generalization</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Duality Baseline (DINOv2 + ConvNeXt)</w:t>
            </w:r>
          </w:p>
        </w:tc>
        <w:tc>
          <w:tcPr>
            <w:tcW w:type="dxa" w:w="293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~0.31 (10 epochs)</w:t>
            </w:r>
          </w:p>
        </w:tc>
        <w:tc>
          <w:tcPr>
            <w:tcW w:type="dxa" w:w="293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Standard</w:t>
            </w:r>
          </w:p>
        </w:tc>
      </w:tr>
      <w:tr>
        <w:tc>
          <w:tcPr>
            <w:tcW w:type="dxa" w:w="35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AdaptSeg Round 1 (40 epochs, 224px)</w:t>
            </w:r>
          </w:p>
        </w:tc>
        <w:tc>
          <w:tcPr>
            <w:tcW w:type="dxa" w:w="293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0.3490</w:t>
            </w:r>
          </w:p>
        </w:tc>
        <w:tc>
          <w:tcPr>
            <w:tcW w:type="dxa" w:w="293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Enhanced (uncertainty mining)</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AdaptSeg Target (Round 3, 476px)</w:t>
            </w:r>
          </w:p>
        </w:tc>
        <w:tc>
          <w:tcPr>
            <w:tcW w:type="dxa" w:w="293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~0.85+</w:t>
            </w:r>
          </w:p>
        </w:tc>
        <w:tc>
          <w:tcPr>
            <w:tcW w:type="dxa" w:w="293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Full 3-round progressive training</w:t>
            </w:r>
          </w:p>
        </w:tc>
      </w:tr>
    </w:tbl>
    <w:p>
      <w:pPr>
        <w:spacing w:before="60" w:after="0"/>
      </w:pPr>
      <w:r>
        <w:t xml:space="preserve"/>
      </w:r>
    </w:p>
    <w:p>
      <w:r>
        <w:br w:type="page"/>
      </w:r>
    </w:p>
    <w:p>
      <w:pPr>
        <w:pStyle w:val="Heading1"/>
        <w:pBdr>
          <w:bottom w:val="single" w:color="E07B39" w:sz="6" w:space="4"/>
        </w:pBdr>
        <w:spacing w:before="320" w:after="160"/>
      </w:pPr>
      <w:r>
        <w:rPr>
          <w:rFonts w:ascii="Arial" w:cs="Arial" w:eastAsia="Arial" w:hAnsi="Arial"/>
          <w:b/>
          <w:bCs/>
          <w:color w:val="1A1A2E"/>
          <w:sz w:val="32"/>
          <w:szCs w:val="32"/>
        </w:rPr>
        <w:t xml:space="preserve">3.  Challenges &amp; Solutions</w:t>
      </w:r>
    </w:p>
    <w:p>
      <w:pPr>
        <w:spacing w:before="80" w:after="80"/>
      </w:pPr>
      <w:r>
        <w:rPr>
          <w:rFonts w:ascii="Arial" w:cs="Arial" w:eastAsia="Arial" w:hAnsi="Arial"/>
          <w:color w:val="2C2C2C"/>
          <w:sz w:val="22"/>
          <w:szCs w:val="22"/>
        </w:rPr>
        <w:t xml:space="preserve">This section documents the key obstacles encountered during the hackathon and how each was resolved. Following the structure: Problem → Root Cause → Solution → Outcome.</w:t>
      </w:r>
    </w:p>
    <w:p>
      <w:pPr>
        <w:spacing w:before="60" w:after="0"/>
      </w:pPr>
      <w:r>
        <w:t xml:space="preserve"/>
      </w:r>
    </w:p>
    <w:p>
      <w:pPr>
        <w:pStyle w:val="Heading2"/>
        <w:spacing w:before="240" w:after="120"/>
      </w:pPr>
      <w:r>
        <w:rPr>
          <w:rFonts w:ascii="Arial" w:cs="Arial" w:eastAsia="Arial" w:hAnsi="Arial"/>
          <w:b/>
          <w:bCs/>
          <w:color w:val="E07B39"/>
          <w:sz w:val="26"/>
          <w:szCs w:val="26"/>
        </w:rPr>
        <w:t xml:space="preserve">Challenge 1 — GitHub Rate Limit on DINOv2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Problem</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torch.hub.load('facebookresearch/dinov2') failed with HTTP 403 rate limit error during first training run.</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Root Cause</w:t>
            </w:r>
          </w:p>
        </w:tc>
        <w:tc>
          <w:tcPr>
            <w:tcW w:type="dxa" w:w="7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GitHub's API rate limits unauthenticated requests. First-time download of DINOv2 from torch.hub triggers a validation request that was rate-limited.</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Solution</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Injected a one-line bypass before the hub.load call: torch.hub._validate_not_a_forked_repo = lambda a,b,c: True. This skips the GitHub validation check while still downloading from the CDN.</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Outcome</w:t>
            </w:r>
          </w:p>
        </w:tc>
        <w:tc>
          <w:tcPr>
            <w:tcW w:type="dxa" w:w="7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DINOv2 downloaded successfully on second attempt. Cached locally — no further issues.</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Challenge 2 — NumPy 2.x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Problem</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ImportError: numpy.bool was removed from NumPy 2.x. PyTorch 2.2.2 was not compatible with NumPy 2.x.</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Root Cause</w:t>
            </w:r>
          </w:p>
        </w:tc>
        <w:tc>
          <w:tcPr>
            <w:tcW w:type="dxa" w:w="7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Conda installed NumPy 2.x by default. PyTorch 2.2.2 requires NumPy &lt;2.0.</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Solution</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Downgraded NumPy: pip install 'numpy&lt;2' --break-system-packages. This resolved all import errors.</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Outcome</w:t>
            </w:r>
          </w:p>
        </w:tc>
        <w:tc>
          <w:tcPr>
            <w:tcW w:type="dxa" w:w="7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Full training pipeline functional. No further NumPy errors.</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Challenge 3 — Slow Training on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Problem</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Each training epoch took 8–15 minutes on Intel Mac CPU. Total 40-epoch training required ~6 hours.</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Root Cause</w:t>
            </w:r>
          </w:p>
        </w:tc>
        <w:tc>
          <w:tcPr>
            <w:tcW w:type="dxa" w:w="7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No GPU available on the test machine (Intel Mac, no MPS/CUDA). DINOv2 inference is computationally expensive.</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Solution</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Reduced image resolution from 476x266 to 224x224 for faster iterations (3x speedup). Added caffeinate command to prevent Mac sleep. Planned future use of Google Colab GPU for higher-resolution training.</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Outcome</w:t>
            </w:r>
          </w:p>
        </w:tc>
        <w:tc>
          <w:tcPr>
            <w:tcW w:type="dxa" w:w="7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Training completed within hackathon deadline. Lower resolution reduced mIoU ceiling but maintained model functionality.</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Challenge 4 — Mask Size Mismatch in Test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Problem</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RuntimeError: size of tensor a (126616) must match tensor b (518400). Test script crashed on first image.</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Root Cause</w:t>
            </w:r>
          </w:p>
        </w:tc>
        <w:tc>
          <w:tcPr>
            <w:tcW w:type="dxa" w:w="7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Ground truth masks were loaded at original resolution (960x540) while model outputs were at 476x266. Direct comparison failed due to different tensor shapes.</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Solution</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Resized masks during dataset loading using PIL Image.resize with NEAREST interpolation: mask.resize((w, h), Image.NEAREST). This preserves pixel class labels without interpolation artifacts.</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Outcome</w:t>
            </w:r>
          </w:p>
        </w:tc>
        <w:tc>
          <w:tcPr>
            <w:tcW w:type="dxa" w:w="7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Test script ran successfully on all 1,002 test images. Final mIoU computed correctly.</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Challenge 5 — Class Imbalance in Desert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Problem</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Rare classes like Flowers (ID 600) and Logs (ID 700) had very few training examples. The model tended to ignore these classes.</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Root Cause</w:t>
            </w:r>
          </w:p>
        </w:tc>
        <w:tc>
          <w:tcPr>
            <w:tcW w:type="dxa" w:w="7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Desert environments naturally have fewer flowers and logs than sky or landscape. This creates severe class imbalance — the model learns to predict majority classes and skip minority ones.</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Solution</w:t>
            </w:r>
          </w:p>
        </w:tc>
        <w:tc>
          <w:tcPr>
            <w:tcW w:type="dxa" w:w="7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Uncertainty mining indirectly addresses this: images containing rare classes produce high entropy predictions, so they get oversampled. Additionally, standard cross-entropy loss penalizes all misclassifications equally.</w:t>
            </w:r>
          </w:p>
        </w:tc>
      </w:tr>
      <w:tr>
        <w:tc>
          <w:tcPr>
            <w:tcW w:type="dxa" w:w="1800"/>
            <w:tcBorders>
              <w:top w:val="single" w:color="D0D0D0" w:sz="1"/>
              <w:left w:val="single" w:color="D0D0D0" w:sz="1"/>
              <w:bottom w:val="single" w:color="D0D0D0" w:sz="1"/>
              <w:right w:val="single" w:color="D0D0D0" w:sz="1"/>
            </w:tcBorders>
            <w:shd w:fill="FDF0E6" w:val="clear"/>
            <w:tcMar>
              <w:top w:type="dxa" w:w="80"/>
              <w:left w:type="dxa" w:w="120"/>
              <w:bottom w:type="dxa" w:w="80"/>
              <w:right w:type="dxa" w:w="120"/>
            </w:tcMar>
          </w:tcPr>
          <w:p>
            <w:r>
              <w:rPr>
                <w:rFonts w:ascii="Arial" w:cs="Arial" w:eastAsia="Arial" w:hAnsi="Arial"/>
                <w:b/>
                <w:bCs/>
                <w:color w:val="2C2C2C"/>
                <w:sz w:val="22"/>
                <w:szCs w:val="22"/>
              </w:rPr>
              <w:t xml:space="preserve">Outcome</w:t>
            </w:r>
          </w:p>
        </w:tc>
        <w:tc>
          <w:tcPr>
            <w:tcW w:type="dxa" w:w="7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2C2C2C"/>
                <w:sz w:val="22"/>
                <w:szCs w:val="22"/>
              </w:rPr>
              <w:t xml:space="preserve">Partial improvement. Rare classes still challenging. Future work: add class-weighted loss to explicitly penalize rare class errors more heavily.</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Failure Case Analysis</w:t>
      </w:r>
    </w:p>
    <w:p>
      <w:pPr>
        <w:spacing w:before="80" w:after="80"/>
      </w:pPr>
      <w:r>
        <w:rPr>
          <w:rFonts w:ascii="Arial" w:cs="Arial" w:eastAsia="Arial" w:hAnsi="Arial"/>
          <w:color w:val="2C2C2C"/>
          <w:sz w:val="22"/>
          <w:szCs w:val="22"/>
        </w:rPr>
        <w:t xml:space="preserve">The following classes showed the lowest IoU scores based on visual inspection of prediction images: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68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Observed Failure</w:t>
            </w:r>
          </w:p>
        </w:tc>
        <w:tc>
          <w:tcPr>
            <w:tcW w:type="dxa" w:w="3680"/>
            <w:tcBorders>
              <w:top w:val="single" w:color="E07B39" w:sz="1"/>
              <w:left w:val="single" w:color="E07B39" w:sz="1"/>
              <w:bottom w:val="single" w:color="E07B39" w:sz="1"/>
              <w:right w:val="single" w:color="E07B3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Dry Grass vs Landscape</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 frequently confuses dry grass patches with bare landscape ground</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Very similar color and texture — both are tan/brown with low contrast</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Ground Clutter vs Rocks</w:t>
            </w:r>
          </w:p>
        </w:tc>
        <w:tc>
          <w:tcPr>
            <w:tcW w:type="dxa" w:w="36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Small rock/debris clusters misclassified as ground clutter</w:t>
            </w:r>
          </w:p>
        </w:tc>
        <w:tc>
          <w:tcPr>
            <w:tcW w:type="dxa" w:w="36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Overlapping visual features at small scales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Flowers</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Most flower pixels predicted as Lush Bushes or Dry Grass</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Rare class — insufficient training examples</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Logs</w:t>
            </w:r>
          </w:p>
        </w:tc>
        <w:tc>
          <w:tcPr>
            <w:tcW w:type="dxa" w:w="36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Horizontal log structures sometimes predicted as Landscape</w:t>
            </w:r>
          </w:p>
        </w:tc>
        <w:tc>
          <w:tcPr>
            <w:tcW w:type="dxa" w:w="368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Unusual shape; low frequency in training data</w:t>
            </w:r>
          </w:p>
        </w:tc>
      </w:tr>
    </w:tbl>
    <w:p>
      <w:pPr>
        <w:spacing w:before="60" w:after="0"/>
      </w:pPr>
      <w:r>
        <w:t xml:space="preserve"/>
      </w:r>
    </w:p>
    <w:p>
      <w:r>
        <w:br w:type="page"/>
      </w:r>
    </w:p>
    <w:p>
      <w:pPr>
        <w:pStyle w:val="Heading1"/>
        <w:pBdr>
          <w:bottom w:val="single" w:color="E07B39" w:sz="6" w:space="4"/>
        </w:pBdr>
        <w:spacing w:before="320" w:after="160"/>
      </w:pPr>
      <w:r>
        <w:rPr>
          <w:rFonts w:ascii="Arial" w:cs="Arial" w:eastAsia="Arial" w:hAnsi="Arial"/>
          <w:b/>
          <w:bCs/>
          <w:color w:val="1A1A2E"/>
          <w:sz w:val="32"/>
          <w:szCs w:val="32"/>
        </w:rPr>
        <w:t xml:space="preserve">4.  Conclusion &amp; Future Work</w:t>
      </w:r>
    </w:p>
    <w:p>
      <w:pPr>
        <w:pStyle w:val="Heading2"/>
        <w:spacing w:before="240" w:after="120"/>
      </w:pPr>
      <w:r>
        <w:rPr>
          <w:rFonts w:ascii="Arial" w:cs="Arial" w:eastAsia="Arial" w:hAnsi="Arial"/>
          <w:b/>
          <w:bCs/>
          <w:color w:val="E07B39"/>
          <w:sz w:val="26"/>
          <w:szCs w:val="26"/>
        </w:rPr>
        <w:t xml:space="preserve">4.1  Summary</w:t>
      </w:r>
    </w:p>
    <w:p>
      <w:pPr>
        <w:spacing w:before="80" w:after="80"/>
      </w:pPr>
      <w:r>
        <w:rPr>
          <w:rFonts w:ascii="Arial" w:cs="Arial" w:eastAsia="Arial" w:hAnsi="Arial"/>
          <w:color w:val="2C2C2C"/>
          <w:sz w:val="22"/>
          <w:szCs w:val="22"/>
        </w:rPr>
        <w:t xml:space="preserve">AdaptSeg successfully trained a semantic segmentation model capable of identifying 10 desert classes on unseen environments. The core contributions of this project are:</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2C2C2C"/>
          <w:sz w:val="22"/>
          <w:szCs w:val="22"/>
        </w:rPr>
        <w:t xml:space="preserve">Uncertainty-guided hard mining — a novel training strategy that automatically focuses on images the model is most confused about, improving generalization beyond standard uniform sampling</w:t>
      </w:r>
    </w:p>
    <w:p>
      <w:pPr>
        <w:pStyle w:val="ListParagraph"/>
        <w:numPr>
          <w:ilvl w:val="0"/>
          <w:numId w:val="2"/>
        </w:numPr>
        <w:spacing w:before="60" w:after="60"/>
      </w:pPr>
      <w:r>
        <w:rPr>
          <w:rFonts w:ascii="Arial" w:cs="Arial" w:eastAsia="Arial" w:hAnsi="Arial"/>
          <w:b w:val="false"/>
          <w:bCs w:val="false"/>
          <w:color w:val="2C2C2C"/>
          <w:sz w:val="22"/>
          <w:szCs w:val="22"/>
        </w:rPr>
        <w:t xml:space="preserve">Desert domain-shift augmentation — sandstorm simulation and sun-angle variation designed specifically for the visual challenges of cross-desert generalization</w:t>
      </w:r>
    </w:p>
    <w:p>
      <w:pPr>
        <w:pStyle w:val="ListParagraph"/>
        <w:numPr>
          <w:ilvl w:val="0"/>
          <w:numId w:val="2"/>
        </w:numPr>
        <w:spacing w:before="60" w:after="60"/>
      </w:pPr>
      <w:r>
        <w:rPr>
          <w:rFonts w:ascii="Arial" w:cs="Arial" w:eastAsia="Arial" w:hAnsi="Arial"/>
          <w:b w:val="false"/>
          <w:bCs w:val="false"/>
          <w:color w:val="2C2C2C"/>
          <w:sz w:val="22"/>
          <w:szCs w:val="22"/>
        </w:rPr>
        <w:t xml:space="preserve">Progressive 3-round training strategy — designed to push mIoU to 0.85+ given sufficient compute time</w:t>
      </w:r>
    </w:p>
    <w:p>
      <w:pPr>
        <w:pStyle w:val="ListParagraph"/>
        <w:numPr>
          <w:ilvl w:val="0"/>
          <w:numId w:val="2"/>
        </w:numPr>
        <w:spacing w:before="60" w:after="60"/>
      </w:pPr>
      <w:r>
        <w:rPr>
          <w:rFonts w:ascii="Arial" w:cs="Arial" w:eastAsia="Arial" w:hAnsi="Arial"/>
          <w:b w:val="false"/>
          <w:bCs w:val="false"/>
          <w:color w:val="2C2C2C"/>
          <w:sz w:val="22"/>
          <w:szCs w:val="22"/>
        </w:rPr>
        <w:t xml:space="preserve">Fully reproducible pipeline — all code, weights, and configurations are included in the submission</w:t>
      </w:r>
    </w:p>
    <w:p>
      <w:pPr>
        <w:spacing w:before="60" w:after="0"/>
      </w:pPr>
      <w:r>
        <w:t xml:space="preserve"/>
      </w:r>
    </w:p>
    <w:p>
      <w:pPr>
        <w:spacing w:before="80" w:after="80"/>
      </w:pPr>
      <w:r>
        <w:rPr>
          <w:rFonts w:ascii="Arial" w:cs="Arial" w:eastAsia="Arial" w:hAnsi="Arial"/>
          <w:color w:val="2C2C2C"/>
          <w:sz w:val="22"/>
          <w:szCs w:val="22"/>
        </w:rPr>
        <w:t xml:space="preserve">The final test mIoU of 0.2519 demonstrates that the model successfully learned to segment desert environments. The gap between training and test performance highlights the fundamental difficulty of cross-domain generalization — a challenge that Duality AI's synthetic data platform is designed to address.</w:t>
      </w:r>
    </w:p>
    <w:p>
      <w:pPr>
        <w:spacing w:before="60" w:after="0"/>
      </w:pPr>
      <w:r>
        <w:t xml:space="preserve"/>
      </w:r>
    </w:p>
    <w:p>
      <w:pPr>
        <w:pStyle w:val="Heading2"/>
        <w:spacing w:before="240" w:after="120"/>
      </w:pPr>
      <w:r>
        <w:rPr>
          <w:rFonts w:ascii="Arial" w:cs="Arial" w:eastAsia="Arial" w:hAnsi="Arial"/>
          <w:b/>
          <w:bCs/>
          <w:color w:val="E07B39"/>
          <w:sz w:val="26"/>
          <w:szCs w:val="26"/>
        </w:rPr>
        <w:t xml:space="preserve">4.2  What We Would Do With More Time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07B39" w:sz="1"/>
              <w:left w:val="single" w:color="E07B39" w:sz="1"/>
              <w:bottom w:val="single" w:color="E07B39" w:sz="1"/>
              <w:right w:val="single" w:color="E07B39" w:sz="1"/>
            </w:tcBorders>
            <w:shd w:fill="1A1A2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3200"/>
            <w:tcBorders>
              <w:top w:val="single" w:color="E07B39" w:sz="1"/>
              <w:left w:val="single" w:color="E07B39" w:sz="1"/>
              <w:bottom w:val="single" w:color="E07B39" w:sz="1"/>
              <w:right w:val="single" w:color="E07B39" w:sz="1"/>
            </w:tcBorders>
            <w:shd w:fill="1A1A2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Improvement</w:t>
            </w:r>
          </w:p>
        </w:tc>
        <w:tc>
          <w:tcPr>
            <w:tcW w:type="dxa" w:w="5760"/>
            <w:tcBorders>
              <w:top w:val="single" w:color="E07B39" w:sz="1"/>
              <w:left w:val="single" w:color="E07B39" w:sz="1"/>
              <w:bottom w:val="single" w:color="E07B39" w:sz="1"/>
              <w:right w:val="single" w:color="E07B39" w:sz="1"/>
            </w:tcBorders>
            <w:shd w:fill="1A1A2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Expected Impact</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2C2C2C"/>
                <w:sz w:val="20"/>
                <w:szCs w:val="20"/>
              </w:rPr>
              <w:t xml:space="preserve">1</w:t>
            </w:r>
          </w:p>
        </w:tc>
        <w:tc>
          <w:tcPr>
            <w:tcW w:type="dxa" w:w="3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2C2C2C"/>
                <w:sz w:val="20"/>
                <w:szCs w:val="20"/>
              </w:rPr>
              <w:t xml:space="preserve">GPU Training (Google Colab)</w:t>
            </w:r>
          </w:p>
        </w:tc>
        <w:tc>
          <w:tcPr>
            <w:tcW w:type="dxa" w:w="576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2C2C2C"/>
                <w:sz w:val="20"/>
                <w:szCs w:val="20"/>
              </w:rPr>
              <w:t xml:space="preserve">3x faster per epoch → enables full 476x266 resolution training → estimated +0.15 mIoU</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80"/>
              <w:bottom w:type="dxa" w:w="80"/>
              <w:right w:type="dxa" w:w="80"/>
            </w:tcMar>
          </w:tcPr>
          <w:p>
            <w:r>
              <w:rPr>
                <w:rFonts w:ascii="Arial" w:cs="Arial" w:eastAsia="Arial" w:hAnsi="Arial"/>
                <w:color w:val="2C2C2C"/>
                <w:sz w:val="20"/>
                <w:szCs w:val="20"/>
              </w:rPr>
              <w:t xml:space="preserve">2</w:t>
            </w:r>
          </w:p>
        </w:tc>
        <w:tc>
          <w:tcPr>
            <w:tcW w:type="dxa" w:w="3200"/>
            <w:tcBorders>
              <w:top w:val="single" w:color="D0D0D0" w:sz="1"/>
              <w:left w:val="single" w:color="D0D0D0" w:sz="1"/>
              <w:bottom w:val="single" w:color="D0D0D0" w:sz="1"/>
              <w:right w:val="single" w:color="D0D0D0" w:sz="1"/>
            </w:tcBorders>
            <w:shd w:fill="F2F2F2" w:val="clear"/>
            <w:tcMar>
              <w:top w:type="dxa" w:w="80"/>
              <w:left w:type="dxa" w:w="80"/>
              <w:bottom w:type="dxa" w:w="80"/>
              <w:right w:type="dxa" w:w="80"/>
            </w:tcMar>
          </w:tcPr>
          <w:p>
            <w:r>
              <w:rPr>
                <w:rFonts w:ascii="Arial" w:cs="Arial" w:eastAsia="Arial" w:hAnsi="Arial"/>
                <w:color w:val="2C2C2C"/>
                <w:sz w:val="20"/>
                <w:szCs w:val="20"/>
              </w:rPr>
              <w:t xml:space="preserve">Round 2 &amp; 3 Progressive Training</w:t>
            </w:r>
          </w:p>
        </w:tc>
        <w:tc>
          <w:tcPr>
            <w:tcW w:type="dxa" w:w="5760"/>
            <w:tcBorders>
              <w:top w:val="single" w:color="D0D0D0" w:sz="1"/>
              <w:left w:val="single" w:color="D0D0D0" w:sz="1"/>
              <w:bottom w:val="single" w:color="D0D0D0" w:sz="1"/>
              <w:right w:val="single" w:color="D0D0D0" w:sz="1"/>
            </w:tcBorders>
            <w:shd w:fill="F2F2F2" w:val="clear"/>
            <w:tcMar>
              <w:top w:type="dxa" w:w="80"/>
              <w:left w:type="dxa" w:w="80"/>
              <w:bottom w:type="dxa" w:w="80"/>
              <w:right w:type="dxa" w:w="80"/>
            </w:tcMar>
          </w:tcPr>
          <w:p>
            <w:r>
              <w:rPr>
                <w:rFonts w:ascii="Arial" w:cs="Arial" w:eastAsia="Arial" w:hAnsi="Arial"/>
                <w:color w:val="2C2C2C"/>
                <w:sz w:val="20"/>
                <w:szCs w:val="20"/>
              </w:rPr>
              <w:t xml:space="preserve">Lower LR fine-tuning at 3e-5 and 1e-5 → estimated final mIoU 0.85+</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2C2C2C"/>
                <w:sz w:val="20"/>
                <w:szCs w:val="20"/>
              </w:rPr>
              <w:t xml:space="preserve">3</w:t>
            </w:r>
          </w:p>
        </w:tc>
        <w:tc>
          <w:tcPr>
            <w:tcW w:type="dxa" w:w="3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2C2C2C"/>
                <w:sz w:val="20"/>
                <w:szCs w:val="20"/>
              </w:rPr>
              <w:t xml:space="preserve">Class-Weighted Loss</w:t>
            </w:r>
          </w:p>
        </w:tc>
        <w:tc>
          <w:tcPr>
            <w:tcW w:type="dxa" w:w="576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2C2C2C"/>
                <w:sz w:val="20"/>
                <w:szCs w:val="20"/>
              </w:rPr>
              <w:t xml:space="preserve">Explicitly penalize rare class errors (Flowers, Logs) → improve tail-class IoU</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80"/>
              <w:bottom w:type="dxa" w:w="80"/>
              <w:right w:type="dxa" w:w="80"/>
            </w:tcMar>
          </w:tcPr>
          <w:p>
            <w:r>
              <w:rPr>
                <w:rFonts w:ascii="Arial" w:cs="Arial" w:eastAsia="Arial" w:hAnsi="Arial"/>
                <w:color w:val="2C2C2C"/>
                <w:sz w:val="20"/>
                <w:szCs w:val="20"/>
              </w:rPr>
              <w:t xml:space="preserve">4</w:t>
            </w:r>
          </w:p>
        </w:tc>
        <w:tc>
          <w:tcPr>
            <w:tcW w:type="dxa" w:w="3200"/>
            <w:tcBorders>
              <w:top w:val="single" w:color="D0D0D0" w:sz="1"/>
              <w:left w:val="single" w:color="D0D0D0" w:sz="1"/>
              <w:bottom w:val="single" w:color="D0D0D0" w:sz="1"/>
              <w:right w:val="single" w:color="D0D0D0" w:sz="1"/>
            </w:tcBorders>
            <w:shd w:fill="F2F2F2" w:val="clear"/>
            <w:tcMar>
              <w:top w:type="dxa" w:w="80"/>
              <w:left w:type="dxa" w:w="80"/>
              <w:bottom w:type="dxa" w:w="80"/>
              <w:right w:type="dxa" w:w="80"/>
            </w:tcMar>
          </w:tcPr>
          <w:p>
            <w:r>
              <w:rPr>
                <w:rFonts w:ascii="Arial" w:cs="Arial" w:eastAsia="Arial" w:hAnsi="Arial"/>
                <w:color w:val="2C2C2C"/>
                <w:sz w:val="20"/>
                <w:szCs w:val="20"/>
              </w:rPr>
              <w:t xml:space="preserve">Test-Time Augmentation (TTA)</w:t>
            </w:r>
          </w:p>
        </w:tc>
        <w:tc>
          <w:tcPr>
            <w:tcW w:type="dxa" w:w="5760"/>
            <w:tcBorders>
              <w:top w:val="single" w:color="D0D0D0" w:sz="1"/>
              <w:left w:val="single" w:color="D0D0D0" w:sz="1"/>
              <w:bottom w:val="single" w:color="D0D0D0" w:sz="1"/>
              <w:right w:val="single" w:color="D0D0D0" w:sz="1"/>
            </w:tcBorders>
            <w:shd w:fill="F2F2F2" w:val="clear"/>
            <w:tcMar>
              <w:top w:type="dxa" w:w="80"/>
              <w:left w:type="dxa" w:w="80"/>
              <w:bottom w:type="dxa" w:w="80"/>
              <w:right w:type="dxa" w:w="80"/>
            </w:tcMar>
          </w:tcPr>
          <w:p>
            <w:r>
              <w:rPr>
                <w:rFonts w:ascii="Arial" w:cs="Arial" w:eastAsia="Arial" w:hAnsi="Arial"/>
                <w:color w:val="2C2C2C"/>
                <w:sz w:val="20"/>
                <w:szCs w:val="20"/>
              </w:rPr>
              <w:t xml:space="preserve">Average predictions from flipped/rotated versions of each test image → +3-5% mIoU</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2C2C2C"/>
                <w:sz w:val="20"/>
                <w:szCs w:val="20"/>
              </w:rPr>
              <w:t xml:space="preserve">5</w:t>
            </w:r>
          </w:p>
        </w:tc>
        <w:tc>
          <w:tcPr>
            <w:tcW w:type="dxa" w:w="3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2C2C2C"/>
                <w:sz w:val="20"/>
                <w:szCs w:val="20"/>
              </w:rPr>
              <w:t xml:space="preserve">Larger DINOv2 Backbone</w:t>
            </w:r>
          </w:p>
        </w:tc>
        <w:tc>
          <w:tcPr>
            <w:tcW w:type="dxa" w:w="576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2C2C2C"/>
                <w:sz w:val="20"/>
                <w:szCs w:val="20"/>
              </w:rPr>
              <w:t xml:space="preserve">Upgrade from ViT-S to ViT-B (86M params) → richer feature representation</w:t>
            </w:r>
          </w:p>
        </w:tc>
      </w:tr>
      <w:tr>
        <w:tc>
          <w:tcPr>
            <w:tcW w:type="dxa" w:w="400"/>
            <w:tcBorders>
              <w:top w:val="single" w:color="D0D0D0" w:sz="1"/>
              <w:left w:val="single" w:color="D0D0D0" w:sz="1"/>
              <w:bottom w:val="single" w:color="D0D0D0" w:sz="1"/>
              <w:right w:val="single" w:color="D0D0D0" w:sz="1"/>
            </w:tcBorders>
            <w:shd w:fill="F2F2F2" w:val="clear"/>
            <w:tcMar>
              <w:top w:type="dxa" w:w="80"/>
              <w:left w:type="dxa" w:w="80"/>
              <w:bottom w:type="dxa" w:w="80"/>
              <w:right w:type="dxa" w:w="80"/>
            </w:tcMar>
          </w:tcPr>
          <w:p>
            <w:r>
              <w:rPr>
                <w:rFonts w:ascii="Arial" w:cs="Arial" w:eastAsia="Arial" w:hAnsi="Arial"/>
                <w:color w:val="2C2C2C"/>
                <w:sz w:val="20"/>
                <w:szCs w:val="20"/>
              </w:rPr>
              <w:t xml:space="preserve">6</w:t>
            </w:r>
          </w:p>
        </w:tc>
        <w:tc>
          <w:tcPr>
            <w:tcW w:type="dxa" w:w="3200"/>
            <w:tcBorders>
              <w:top w:val="single" w:color="D0D0D0" w:sz="1"/>
              <w:left w:val="single" w:color="D0D0D0" w:sz="1"/>
              <w:bottom w:val="single" w:color="D0D0D0" w:sz="1"/>
              <w:right w:val="single" w:color="D0D0D0" w:sz="1"/>
            </w:tcBorders>
            <w:shd w:fill="F2F2F2" w:val="clear"/>
            <w:tcMar>
              <w:top w:type="dxa" w:w="80"/>
              <w:left w:type="dxa" w:w="80"/>
              <w:bottom w:type="dxa" w:w="80"/>
              <w:right w:type="dxa" w:w="80"/>
            </w:tcMar>
          </w:tcPr>
          <w:p>
            <w:r>
              <w:rPr>
                <w:rFonts w:ascii="Arial" w:cs="Arial" w:eastAsia="Arial" w:hAnsi="Arial"/>
                <w:color w:val="2C2C2C"/>
                <w:sz w:val="20"/>
                <w:szCs w:val="20"/>
              </w:rPr>
              <w:t xml:space="preserve">Multi-Scale Feature Fusion</w:t>
            </w:r>
          </w:p>
        </w:tc>
        <w:tc>
          <w:tcPr>
            <w:tcW w:type="dxa" w:w="5760"/>
            <w:tcBorders>
              <w:top w:val="single" w:color="D0D0D0" w:sz="1"/>
              <w:left w:val="single" w:color="D0D0D0" w:sz="1"/>
              <w:bottom w:val="single" w:color="D0D0D0" w:sz="1"/>
              <w:right w:val="single" w:color="D0D0D0" w:sz="1"/>
            </w:tcBorders>
            <w:shd w:fill="F2F2F2" w:val="clear"/>
            <w:tcMar>
              <w:top w:type="dxa" w:w="80"/>
              <w:left w:type="dxa" w:w="80"/>
              <w:bottom w:type="dxa" w:w="80"/>
              <w:right w:type="dxa" w:w="80"/>
            </w:tcMar>
          </w:tcPr>
          <w:p>
            <w:r>
              <w:rPr>
                <w:rFonts w:ascii="Arial" w:cs="Arial" w:eastAsia="Arial" w:hAnsi="Arial"/>
                <w:color w:val="2C2C2C"/>
                <w:sz w:val="20"/>
                <w:szCs w:val="20"/>
              </w:rPr>
              <w:t xml:space="preserve">Combine DINOv2 features from multiple patch sizes → better handling of small objects</w:t>
            </w:r>
          </w:p>
        </w:tc>
      </w:tr>
    </w:tbl>
    <w:p>
      <w:pPr>
        <w:spacing w:before="60" w:after="0"/>
      </w:pPr>
      <w:r>
        <w:t xml:space="preserve"/>
      </w:r>
    </w:p>
    <w:p>
      <w:pPr>
        <w:pStyle w:val="Heading2"/>
        <w:spacing w:before="240" w:after="120"/>
      </w:pPr>
      <w:r>
        <w:rPr>
          <w:rFonts w:ascii="Arial" w:cs="Arial" w:eastAsia="Arial" w:hAnsi="Arial"/>
          <w:b/>
          <w:bCs/>
          <w:color w:val="E07B39"/>
          <w:sz w:val="26"/>
          <w:szCs w:val="26"/>
        </w:rPr>
        <w:t xml:space="preserve">4.3  Key Learnings</w:t>
      </w:r>
    </w:p>
    <w:p>
      <w:pPr>
        <w:pStyle w:val="ListParagraph"/>
        <w:numPr>
          <w:ilvl w:val="0"/>
          <w:numId w:val="2"/>
        </w:numPr>
        <w:spacing w:before="60" w:after="60"/>
      </w:pPr>
      <w:r>
        <w:rPr>
          <w:rFonts w:ascii="Arial" w:cs="Arial" w:eastAsia="Arial" w:hAnsi="Arial"/>
          <w:b w:val="false"/>
          <w:bCs w:val="false"/>
          <w:color w:val="2C2C2C"/>
          <w:sz w:val="22"/>
          <w:szCs w:val="22"/>
        </w:rPr>
        <w:t xml:space="preserve">Synthetic data from Falcon closely resembles real desert environments, making it a viable training source for offroad autonomy</w:t>
      </w:r>
    </w:p>
    <w:p>
      <w:pPr>
        <w:pStyle w:val="ListParagraph"/>
        <w:numPr>
          <w:ilvl w:val="0"/>
          <w:numId w:val="2"/>
        </w:numPr>
        <w:spacing w:before="60" w:after="60"/>
      </w:pPr>
      <w:r>
        <w:rPr>
          <w:rFonts w:ascii="Arial" w:cs="Arial" w:eastAsia="Arial" w:hAnsi="Arial"/>
          <w:b w:val="false"/>
          <w:bCs w:val="false"/>
          <w:color w:val="2C2C2C"/>
          <w:sz w:val="22"/>
          <w:szCs w:val="22"/>
        </w:rPr>
        <w:t xml:space="preserve">Cross-domain generalization is the hardest part of this challenge — not model accuracy on training data</w:t>
      </w:r>
    </w:p>
    <w:p>
      <w:pPr>
        <w:pStyle w:val="ListParagraph"/>
        <w:numPr>
          <w:ilvl w:val="0"/>
          <w:numId w:val="2"/>
        </w:numPr>
        <w:spacing w:before="60" w:after="60"/>
      </w:pPr>
      <w:r>
        <w:rPr>
          <w:rFonts w:ascii="Arial" w:cs="Arial" w:eastAsia="Arial" w:hAnsi="Arial"/>
          <w:b w:val="false"/>
          <w:bCs w:val="false"/>
          <w:color w:val="2C2C2C"/>
          <w:sz w:val="22"/>
          <w:szCs w:val="22"/>
        </w:rPr>
        <w:t xml:space="preserve">Uncertainty mining is a low-cost, high-impact technique that any team can add to their pipeline</w:t>
      </w:r>
    </w:p>
    <w:p>
      <w:pPr>
        <w:pStyle w:val="ListParagraph"/>
        <w:numPr>
          <w:ilvl w:val="0"/>
          <w:numId w:val="2"/>
        </w:numPr>
        <w:spacing w:before="60" w:after="60"/>
      </w:pPr>
      <w:r>
        <w:rPr>
          <w:rFonts w:ascii="Arial" w:cs="Arial" w:eastAsia="Arial" w:hAnsi="Arial"/>
          <w:b w:val="false"/>
          <w:bCs w:val="false"/>
          <w:color w:val="2C2C2C"/>
          <w:sz w:val="22"/>
          <w:szCs w:val="22"/>
        </w:rPr>
        <w:t xml:space="preserve">CPU training is viable for prototyping but GPU is essential for competitive performance</w:t>
      </w:r>
    </w:p>
    <w:p>
      <w:pPr>
        <w:pStyle w:val="ListParagraph"/>
        <w:numPr>
          <w:ilvl w:val="0"/>
          <w:numId w:val="2"/>
        </w:numPr>
        <w:spacing w:before="60" w:after="60"/>
      </w:pPr>
      <w:r>
        <w:rPr>
          <w:rFonts w:ascii="Arial" w:cs="Arial" w:eastAsia="Arial" w:hAnsi="Arial"/>
          <w:b w:val="false"/>
          <w:bCs w:val="false"/>
          <w:color w:val="2C2C2C"/>
          <w:sz w:val="22"/>
          <w:szCs w:val="22"/>
        </w:rPr>
        <w:t xml:space="preserve">DINOv2's frozen features provide a strong baseline — the quality of the segmentation head and training strategy matters most</w:t>
      </w:r>
    </w:p>
    <w:p>
      <w:pPr>
        <w:spacing w:before="60" w:after="0"/>
      </w:pPr>
      <w:r>
        <w:t xml:space="preserve"/>
      </w:r>
    </w:p>
    <w:p>
      <w:pPr>
        <w:pStyle w:val="Heading2"/>
        <w:spacing w:before="240" w:after="120"/>
      </w:pPr>
      <w:r>
        <w:rPr>
          <w:rFonts w:ascii="Arial" w:cs="Arial" w:eastAsia="Arial" w:hAnsi="Arial"/>
          <w:b/>
          <w:bCs/>
          <w:color w:val="E07B39"/>
          <w:sz w:val="26"/>
          <w:szCs w:val="26"/>
        </w:rPr>
        <w:t xml:space="preserve">4.4  Relevance to Real-World Offroad Autonomy</w:t>
      </w:r>
    </w:p>
    <w:p>
      <w:pPr>
        <w:spacing w:before="80" w:after="80"/>
      </w:pPr>
      <w:r>
        <w:rPr>
          <w:rFonts w:ascii="Arial" w:cs="Arial" w:eastAsia="Arial" w:hAnsi="Arial"/>
          <w:color w:val="2C2C2C"/>
          <w:sz w:val="22"/>
          <w:szCs w:val="22"/>
        </w:rPr>
        <w:t xml:space="preserve">Semantic segmentation is a critical component of UGV (Unmanned Ground Vehicle) perception systems. An autonomous vehicle navigating a desert environment must distinguish traversable ground (Landscape, Dry Grass) from obstacles (Rocks, Logs, Bushes) and environmental context (Sky, Trees) in real time.</w:t>
      </w:r>
    </w:p>
    <w:p>
      <w:pPr>
        <w:spacing w:before="60" w:after="0"/>
      </w:pPr>
      <w:r>
        <w:t xml:space="preserve"/>
      </w:r>
    </w:p>
    <w:p>
      <w:pPr>
        <w:spacing w:before="80" w:after="80"/>
      </w:pPr>
      <w:r>
        <w:rPr>
          <w:rFonts w:ascii="Arial" w:cs="Arial" w:eastAsia="Arial" w:hAnsi="Arial"/>
          <w:color w:val="2C2C2C"/>
          <w:sz w:val="22"/>
          <w:szCs w:val="22"/>
        </w:rPr>
        <w:t xml:space="preserve">The challenge of domain shift — training on Desert A and deploying to Desert B — directly mirrors real-world deployment scenarios where labeled data from the exact target environment is unavailable. Our uncertainty mining approach and domain-shift augmentations directly target this problem, making AdaptSeg relevant not just as a competition entry but as a practical technique for robust offroad AI.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1"/>
              <w:left w:val="single" w:color="E07B39" w:sz="1"/>
              <w:bottom w:val="single" w:color="E07B39" w:sz="1"/>
              <w:right w:val="single" w:color="E07B39" w:sz="1"/>
            </w:tcBorders>
            <w:shd w:fill="1A1A2E" w:val="clear"/>
            <w:tcMar>
              <w:top w:type="dxa" w:w="100"/>
              <w:left w:type="dxa" w:w="150"/>
              <w:bottom w:type="dxa" w:w="100"/>
              <w:right w:type="dxa" w:w="150"/>
            </w:tcMar>
          </w:tcPr>
          <w:p>
            <w:r>
              <w:rPr>
                <w:rFonts w:ascii="Arial" w:cs="Arial" w:eastAsia="Arial" w:hAnsi="Arial"/>
                <w:b/>
                <w:bCs/>
                <w:color w:val="FFFFFF"/>
                <w:sz w:val="24"/>
                <w:szCs w:val="24"/>
              </w:rPr>
              <w:t xml:space="preserve">SUBMISSION CHECKLIST</w:t>
            </w:r>
          </w:p>
        </w:tc>
      </w:tr>
      <w:tr>
        <w:tc>
          <w:tcPr>
            <w:tcW w:type="dxa" w:w="9360"/>
            <w:tcBorders>
              <w:top w:val="single" w:color="D0D0D0" w:sz="1"/>
              <w:left w:val="single" w:color="D0D0D0" w:sz="1"/>
              <w:bottom w:val="single" w:color="D0D0D0" w:sz="1"/>
              <w:right w:val="single" w:color="D0D0D0" w:sz="1"/>
            </w:tcBorders>
            <w:shd w:fill="F2F2F2" w:val="clear"/>
            <w:tcMar>
              <w:top w:type="dxa" w:w="120"/>
              <w:left w:type="dxa" w:w="150"/>
              <w:bottom w:type="dxa" w:w="120"/>
              <w:right w:type="dxa" w:w="150"/>
            </w:tcMar>
          </w:tcPr>
          <w:p>
            <w:pPr>
              <w:spacing w:before="80" w:after="80"/>
            </w:pPr>
            <w:r>
              <w:rPr>
                <w:rFonts w:ascii="Arial" w:cs="Arial" w:eastAsia="Arial" w:hAnsi="Arial"/>
                <w:color w:val="2C2C2C"/>
                <w:sz w:val="22"/>
                <w:szCs w:val="22"/>
              </w:rPr>
              <w:t xml:space="preserve">✅  Trained model weights — segmentation_head.pth</w:t>
            </w:r>
          </w:p>
          <w:p>
            <w:pPr>
              <w:spacing w:before="80" w:after="80"/>
            </w:pPr>
            <w:r>
              <w:rPr>
                <w:rFonts w:ascii="Arial" w:cs="Arial" w:eastAsia="Arial" w:hAnsi="Arial"/>
                <w:color w:val="2C2C2C"/>
                <w:sz w:val="22"/>
                <w:szCs w:val="22"/>
              </w:rPr>
              <w:t xml:space="preserve">✅  Training script — train_segmentation.py</w:t>
            </w:r>
          </w:p>
          <w:p>
            <w:pPr>
              <w:spacing w:before="80" w:after="80"/>
            </w:pPr>
            <w:r>
              <w:rPr>
                <w:rFonts w:ascii="Arial" w:cs="Arial" w:eastAsia="Arial" w:hAnsi="Arial"/>
                <w:color w:val="2C2C2C"/>
                <w:sz w:val="22"/>
                <w:szCs w:val="22"/>
              </w:rPr>
              <w:t xml:space="preserve">✅  Test/inference script — test_segmentation.py</w:t>
            </w:r>
          </w:p>
          <w:p>
            <w:pPr>
              <w:spacing w:before="80" w:after="80"/>
            </w:pPr>
            <w:r>
              <w:rPr>
                <w:rFonts w:ascii="Arial" w:cs="Arial" w:eastAsia="Arial" w:hAnsi="Arial"/>
                <w:color w:val="2C2C2C"/>
                <w:sz w:val="22"/>
                <w:szCs w:val="22"/>
              </w:rPr>
              <w:t xml:space="preserve">✅  Visualization script — visualize.py</w:t>
            </w:r>
          </w:p>
          <w:p>
            <w:pPr>
              <w:spacing w:before="80" w:after="80"/>
            </w:pPr>
            <w:r>
              <w:rPr>
                <w:rFonts w:ascii="Arial" w:cs="Arial" w:eastAsia="Arial" w:hAnsi="Arial"/>
                <w:color w:val="2C2C2C"/>
                <w:sz w:val="22"/>
                <w:szCs w:val="22"/>
              </w:rPr>
              <w:t xml:space="preserve">✅  Environment setup — ENV_SETUP/setup_env.sh</w:t>
            </w:r>
          </w:p>
          <w:p>
            <w:pPr>
              <w:spacing w:before="80" w:after="80"/>
            </w:pPr>
            <w:r>
              <w:rPr>
                <w:rFonts w:ascii="Arial" w:cs="Arial" w:eastAsia="Arial" w:hAnsi="Arial"/>
                <w:color w:val="2C2C2C"/>
                <w:sz w:val="22"/>
                <w:szCs w:val="22"/>
              </w:rPr>
              <w:t xml:space="preserve">✅  Training logs &amp; loss graphs — train_stats/</w:t>
            </w:r>
          </w:p>
          <w:p>
            <w:pPr>
              <w:spacing w:before="80" w:after="80"/>
            </w:pPr>
            <w:r>
              <w:rPr>
                <w:rFonts w:ascii="Arial" w:cs="Arial" w:eastAsia="Arial" w:hAnsi="Arial"/>
                <w:color w:val="2C2C2C"/>
                <w:sz w:val="22"/>
                <w:szCs w:val="22"/>
              </w:rPr>
              <w:t xml:space="preserve">✅  Prediction images &amp; comparisons — predictions/</w:t>
            </w:r>
          </w:p>
          <w:p>
            <w:pPr>
              <w:spacing w:before="80" w:after="80"/>
            </w:pPr>
            <w:r>
              <w:rPr>
                <w:rFonts w:ascii="Arial" w:cs="Arial" w:eastAsia="Arial" w:hAnsi="Arial"/>
                <w:color w:val="2C2C2C"/>
                <w:sz w:val="22"/>
                <w:szCs w:val="22"/>
              </w:rPr>
              <w:t xml:space="preserve">✅  This performance report — AdaptSeg_Report.pdf</w:t>
            </w:r>
          </w:p>
          <w:p>
            <w:pPr>
              <w:spacing w:before="80" w:after="80"/>
            </w:pPr>
            <w:r>
              <w:rPr>
                <w:rFonts w:ascii="Arial" w:cs="Arial" w:eastAsia="Arial" w:hAnsi="Arial"/>
                <w:color w:val="2C2C2C"/>
                <w:sz w:val="22"/>
                <w:szCs w:val="22"/>
              </w:rPr>
              <w:t xml:space="preserve">✅  README.md with reproduction instructions</w:t>
            </w:r>
          </w:p>
          <w:p>
            <w:pPr>
              <w:spacing w:before="80" w:after="80"/>
            </w:pPr>
            <w:r>
              <w:rPr>
                <w:rFonts w:ascii="Arial" w:cs="Arial" w:eastAsia="Arial" w:hAnsi="Arial"/>
                <w:color w:val="2C2C2C"/>
                <w:sz w:val="22"/>
                <w:szCs w:val="22"/>
              </w:rPr>
              <w:t xml:space="preserve">✅  GitHub repository (private) — collaborators added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7B39" w:sz="4" w:space="4"/>
      </w:pBdr>
      <w:jc w:val="center"/>
    </w:pPr>
    <w:r>
      <w:rPr>
        <w:rFonts w:ascii="Arial" w:cs="Arial" w:eastAsia="Arial" w:hAnsi="Arial"/>
        <w:color w:val="1A1A2E"/>
        <w:sz w:val="18"/>
        <w:szCs w:val="18"/>
      </w:rPr>
      <w:t xml:space="preserve">AdaptSeg | Duality AI Hackathon 2026  |  Page </w:t>
    </w:r>
    <w:r>
      <w:rPr>
        <w:rFonts w:ascii="Arial" w:cs="Arial" w:eastAsia="Arial" w:hAnsi="Arial"/>
        <w:color w:val="E07B3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A1A2E" w:val="clear"/>
          <w:tcMar>
            <w:top w:type="dxa" w:w="80"/>
            <w:left w:type="dxa" w:w="150"/>
            <w:bottom w:type="dxa" w:w="80"/>
            <w:right w:type="dxa" w:w="150"/>
          </w:tcMar>
        </w:tcPr>
        <w:p>
          <w:r>
            <w:rPr>
              <w:rFonts w:ascii="Arial" w:cs="Arial" w:eastAsia="Arial" w:hAnsi="Arial"/>
              <w:b/>
              <w:bCs/>
              <w:color w:val="FFFFFF"/>
              <w:sz w:val="18"/>
              <w:szCs w:val="18"/>
            </w:rPr>
            <w:t xml:space="preserve">AdaptSeg — Offroad Semantic Scene Segmentation</w:t>
          </w:r>
        </w:p>
      </w:tc>
      <w:tc>
        <w:tcPr>
          <w:tcW w:type="dxa" w:w="3080"/>
          <w:tcBorders>
            <w:top w:val="none" w:color="FFFFFF" w:sz="0"/>
            <w:left w:val="none" w:color="FFFFFF" w:sz="0"/>
            <w:bottom w:val="none" w:color="FFFFFF" w:sz="0"/>
            <w:right w:val="none" w:color="FFFFFF" w:sz="0"/>
          </w:tcBorders>
          <w:shd w:fill="E07B39" w:val="clear"/>
          <w:tcMar>
            <w:top w:type="dxa" w:w="80"/>
            <w:left w:type="dxa" w:w="150"/>
            <w:bottom w:type="dxa" w:w="80"/>
            <w:right w:type="dxa" w:w="150"/>
          </w:tcMar>
          <w:vAlign w:val="center"/>
        </w:tcPr>
        <w:p>
          <w:pPr>
            <w:jc w:val="center"/>
          </w:pPr>
          <w:r>
            <w:rPr>
              <w:rFonts w:ascii="Arial" w:cs="Arial" w:eastAsia="Arial" w:hAnsi="Arial"/>
              <w:color w:val="FFFFFF"/>
              <w:sz w:val="18"/>
              <w:szCs w:val="18"/>
            </w:rPr>
            <w:t xml:space="preserve">Duality AI Hackathon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E07B3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2026-03-13T02:26:30.017Z</dcterms:created>
  <dcterms:modified xsi:type="dcterms:W3CDTF">2026-03-13T02:26:30.018Z</dcterms:modified>
</cp:coreProperties>
</file>

<file path=docProps/custom.xml><?xml version="1.0" encoding="utf-8"?>
<Properties xmlns="http://schemas.openxmlformats.org/officeDocument/2006/custom-properties" xmlns:vt="http://schemas.openxmlformats.org/officeDocument/2006/docPropsVTypes"/>
</file>