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618D4" w14:textId="77777777" w:rsidR="00685742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44"/>
          <w:szCs w:val="44"/>
        </w:rPr>
        <w:t>TABREZ ZAIDY</w:t>
      </w:r>
    </w:p>
    <w:p w14:paraId="79C35D98" w14:textId="77777777" w:rsidR="00685742" w:rsidRDefault="00000000">
      <w:pPr>
        <w:spacing w:after="100"/>
      </w:pPr>
      <w:r>
        <w:rPr>
          <w:rFonts w:ascii="Calibri" w:eastAsia="Calibri" w:hAnsi="Calibri" w:cs="Calibri"/>
          <w:b/>
          <w:bCs/>
          <w:color w:val="C0392B"/>
          <w:sz w:val="21"/>
          <w:szCs w:val="21"/>
        </w:rPr>
        <w:t>SENIOR UX/UI DESIGNER  ·  PRODUCT DESIGNER  ·  DESIGN STRATEGIST</w:t>
      </w:r>
    </w:p>
    <w:p w14:paraId="56EA9597" w14:textId="77777777" w:rsidR="00685742" w:rsidRDefault="00000000">
      <w:pPr>
        <w:spacing w:after="60"/>
      </w:pPr>
      <w:r>
        <w:rPr>
          <w:rFonts w:ascii="Calibri" w:eastAsia="Calibri" w:hAnsi="Calibri" w:cs="Calibri"/>
          <w:color w:val="595959"/>
          <w:sz w:val="18"/>
          <w:szCs w:val="18"/>
        </w:rPr>
        <w:t xml:space="preserve">Mumbai, India  ·  +91-982 120 5694  ·  tabrez.zaidy@gmail.com  ·  </w:t>
      </w:r>
      <w:hyperlink r:id="rId5" w:history="1">
        <w:r w:rsidR="00685742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linkedin.com/in/</w:t>
        </w:r>
        <w:proofErr w:type="spellStart"/>
        <w:r w:rsidR="00685742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tabrezzaidy</w:t>
        </w:r>
        <w:proofErr w:type="spellEnd"/>
      </w:hyperlink>
      <w:r>
        <w:rPr>
          <w:rFonts w:ascii="Calibri" w:eastAsia="Calibri" w:hAnsi="Calibri" w:cs="Calibri"/>
          <w:color w:val="595959"/>
          <w:sz w:val="18"/>
          <w:szCs w:val="18"/>
        </w:rPr>
        <w:t xml:space="preserve">  ·  </w:t>
      </w:r>
      <w:hyperlink r:id="rId6" w:history="1">
        <w:r w:rsidR="00685742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behance.net/tabrezzaidy110</w:t>
        </w:r>
      </w:hyperlink>
    </w:p>
    <w:p w14:paraId="0079A7FD" w14:textId="77777777" w:rsidR="00685742" w:rsidRDefault="00685742">
      <w:pPr>
        <w:pBdr>
          <w:bottom w:val="single" w:sz="6" w:space="0" w:color="CCCCCC"/>
        </w:pBdr>
        <w:spacing w:before="60" w:after="160"/>
      </w:pPr>
    </w:p>
    <w:p w14:paraId="562E3820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PROFESSIONAL SUMMARY</w:t>
      </w:r>
    </w:p>
    <w:p w14:paraId="462C0BB4" w14:textId="04CCBBD9" w:rsidR="00685742" w:rsidRDefault="00000000">
      <w:pPr>
        <w:spacing w:after="120"/>
      </w:pPr>
      <w:r>
        <w:rPr>
          <w:rFonts w:ascii="Calibri" w:eastAsia="Calibri" w:hAnsi="Calibri" w:cs="Calibri"/>
          <w:color w:val="1A1A1A"/>
        </w:rPr>
        <w:t>Senior UX/UI Designer with 8+ years and a track record of two measurable, revenue-moving wins</w:t>
      </w:r>
      <w:r w:rsidR="000E7D30"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A1A1A"/>
        </w:rPr>
        <w:t>a 41% lift in prescription conversions and a 32% lift in e-commerce conversion</w:t>
      </w:r>
      <w:r w:rsidR="000E7D30">
        <w:rPr>
          <w:rFonts w:ascii="Calibri" w:eastAsia="Calibri" w:hAnsi="Calibri" w:cs="Calibri"/>
          <w:color w:val="1A1A1A"/>
        </w:rPr>
        <w:t xml:space="preserve">, </w:t>
      </w:r>
      <w:r>
        <w:rPr>
          <w:rFonts w:ascii="Calibri" w:eastAsia="Calibri" w:hAnsi="Calibri" w:cs="Calibri"/>
          <w:color w:val="1A1A1A"/>
        </w:rPr>
        <w:t>delivered by leading end-to-end product design across healthcare, e-commerce, and SaaS. Owns the full product design lifecycle: research, information architecture, wireframing, high-fidelity prototyping, design systems, and developer handoff. Leads cross-functional teams of designers, developers, and marketers to ship accessible (WCAG 2.1), conversion-focused interfaces on schedule across 10+ concurrent client engagements. Fluent in AI-augmented design workflows (Claude, Magnific, Figma Make) to compress the path from concept to high-fidelity output.</w:t>
      </w:r>
    </w:p>
    <w:p w14:paraId="22C9C2CC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CORE COMPETENCIES</w:t>
      </w:r>
    </w:p>
    <w:p w14:paraId="3142CDBF" w14:textId="77777777" w:rsidR="00685742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Design:  </w:t>
      </w:r>
      <w:r>
        <w:rPr>
          <w:rFonts w:ascii="Calibri" w:eastAsia="Calibri" w:hAnsi="Calibri" w:cs="Calibri"/>
          <w:color w:val="595959"/>
          <w:sz w:val="19"/>
          <w:szCs w:val="19"/>
        </w:rPr>
        <w:t>UX/UI Design  ·  Product Design  ·  Information Architecture  ·  Interaction Design  ·  Wireframing &amp; Prototyping  ·  Design Systems  ·  Visual Design  ·  Motion Graphics  ·  Brand Identity</w:t>
      </w:r>
    </w:p>
    <w:p w14:paraId="6ADBF6B8" w14:textId="77777777" w:rsidR="00685742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Research &amp; Strategy:  </w:t>
      </w:r>
      <w:r>
        <w:rPr>
          <w:rFonts w:ascii="Calibri" w:eastAsia="Calibri" w:hAnsi="Calibri" w:cs="Calibri"/>
          <w:color w:val="595959"/>
          <w:sz w:val="19"/>
          <w:szCs w:val="19"/>
        </w:rPr>
        <w:t>UX Research &amp; Usability Testing  ·  User Flow Mapping  ·  Conversion Rate Optimization  ·  Design Thinking  ·  Accessibility (WCAG 2.1)</w:t>
      </w:r>
    </w:p>
    <w:p w14:paraId="1394E4FC" w14:textId="77777777" w:rsidR="00685742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Leadership:  </w:t>
      </w:r>
      <w:r>
        <w:rPr>
          <w:rFonts w:ascii="Calibri" w:eastAsia="Calibri" w:hAnsi="Calibri" w:cs="Calibri"/>
          <w:color w:val="595959"/>
          <w:sz w:val="19"/>
          <w:szCs w:val="19"/>
        </w:rPr>
        <w:t>Cross-functional Team Leadership  ·  Stakeholder Management  ·  Developer Handoff  ·  Responsive Web Design  ·  White Paper Design</w:t>
      </w:r>
    </w:p>
    <w:p w14:paraId="52215FDA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TOOLS</w:t>
      </w:r>
    </w:p>
    <w:p w14:paraId="656712E6" w14:textId="48DE75AC" w:rsidR="00685742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Design:  </w:t>
      </w:r>
      <w:r>
        <w:rPr>
          <w:rFonts w:ascii="Calibri" w:eastAsia="Calibri" w:hAnsi="Calibri" w:cs="Calibri"/>
          <w:color w:val="595959"/>
          <w:sz w:val="19"/>
          <w:szCs w:val="19"/>
        </w:rPr>
        <w:t>Figma  ·  Adobe XD  ·  Photoshop  ·  Illustrator  ·  After Effects  ·  Premiere Pro</w:t>
      </w:r>
    </w:p>
    <w:p w14:paraId="3E4CE031" w14:textId="359F54F8" w:rsidR="00685742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AI-Augmented:  </w:t>
      </w:r>
      <w:r>
        <w:rPr>
          <w:rFonts w:ascii="Calibri" w:eastAsia="Calibri" w:hAnsi="Calibri" w:cs="Calibri"/>
          <w:color w:val="595959"/>
          <w:sz w:val="19"/>
          <w:szCs w:val="19"/>
        </w:rPr>
        <w:t>Claude  ·  Magnific  ·  Figma Make</w:t>
      </w:r>
      <w:r w:rsidR="000E7D30">
        <w:rPr>
          <w:rFonts w:ascii="Calibri" w:eastAsia="Calibri" w:hAnsi="Calibri" w:cs="Calibri"/>
          <w:color w:val="595959"/>
          <w:sz w:val="19"/>
          <w:szCs w:val="19"/>
        </w:rPr>
        <w:t xml:space="preserve"> ·  Chat GPT</w:t>
      </w:r>
    </w:p>
    <w:p w14:paraId="26417B17" w14:textId="4DD1212E" w:rsidR="00685742" w:rsidRDefault="00000000">
      <w:pPr>
        <w:spacing w:after="8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Platform &amp; Analytics:  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WordPress  ·  HTML/CSS  ·  Hotjar  ·  Google Analytics  ·  Jira </w:t>
      </w:r>
    </w:p>
    <w:p w14:paraId="391BD92E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KEY ACHIEVEMENTS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685742" w14:paraId="2F9742A9" w14:textId="77777777">
        <w:tc>
          <w:tcPr>
            <w:tcW w:w="54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67798C" w14:textId="77777777" w:rsidR="0068574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32"/>
                <w:szCs w:val="32"/>
              </w:rPr>
              <w:t>41%</w:t>
            </w:r>
          </w:p>
          <w:p w14:paraId="28AEE6C6" w14:textId="77777777" w:rsidR="0068574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Prescription Conversion Uplift</w:t>
            </w:r>
          </w:p>
          <w:p w14:paraId="58D7F798" w14:textId="77777777" w:rsidR="00685742" w:rsidRDefault="00000000"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Designed and shipped an Upload Prescription feature that removed a critical friction point, directly driving a 41% increase in prescription conversions.</w:t>
            </w:r>
          </w:p>
        </w:tc>
        <w:tc>
          <w:tcPr>
            <w:tcW w:w="54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426EDD" w14:textId="77777777" w:rsidR="0068574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32"/>
                <w:szCs w:val="32"/>
              </w:rPr>
              <w:t>32%</w:t>
            </w:r>
          </w:p>
          <w:p w14:paraId="3FA3FCA9" w14:textId="77777777" w:rsidR="0068574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E-Commerce Conversion Growth</w:t>
            </w:r>
          </w:p>
          <w:p w14:paraId="1120BA49" w14:textId="77777777" w:rsidR="00685742" w:rsidRDefault="00000000">
            <w:r>
              <w:rPr>
                <w:rFonts w:ascii="Calibri" w:eastAsia="Calibri" w:hAnsi="Calibri" w:cs="Calibri"/>
                <w:color w:val="595959"/>
                <w:sz w:val="17"/>
                <w:szCs w:val="17"/>
              </w:rPr>
              <w:t>Led full-scale UX/UI redesign of 10+ pharmacy websites — improved navigation, trust signals, and checkout flow — lifting portfolio-wide conversion 32%.</w:t>
            </w:r>
          </w:p>
        </w:tc>
      </w:tr>
    </w:tbl>
    <w:p w14:paraId="58E51374" w14:textId="77777777" w:rsidR="00685742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New Revenue Channel Created</w:t>
      </w:r>
    </w:p>
    <w:p w14:paraId="67281C9C" w14:textId="77777777" w:rsidR="00685742" w:rsidRDefault="00000000">
      <w:pPr>
        <w:spacing w:after="120"/>
      </w:pPr>
      <w:r>
        <w:rPr>
          <w:rFonts w:ascii="Calibri" w:eastAsia="Calibri" w:hAnsi="Calibri" w:cs="Calibri"/>
          <w:color w:val="595959"/>
        </w:rPr>
        <w:t>Introduced contextual Product Card components on editorial blog pages, converting informational traffic into sales-qualified leads and a previously untapped revenue stream.</w:t>
      </w:r>
    </w:p>
    <w:p w14:paraId="08DE73DA" w14:textId="77777777" w:rsidR="00685742" w:rsidRDefault="00000000">
      <w:pPr>
        <w:spacing w:before="4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Design System at Scale</w:t>
      </w:r>
    </w:p>
    <w:p w14:paraId="590F2A3E" w14:textId="77777777" w:rsidR="00685742" w:rsidRDefault="00000000">
      <w:pPr>
        <w:spacing w:after="120"/>
      </w:pPr>
      <w:r>
        <w:rPr>
          <w:rFonts w:ascii="Calibri" w:eastAsia="Calibri" w:hAnsi="Calibri" w:cs="Calibri"/>
          <w:color w:val="595959"/>
        </w:rPr>
        <w:t>Built a reusable Figma component library adopted across 10+ client brands, cutting per-project design time and keeping visual language consistent at scale.</w:t>
      </w:r>
    </w:p>
    <w:p w14:paraId="35D46145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PROFESSIONAL EXPERIENCE</w:t>
      </w:r>
    </w:p>
    <w:p w14:paraId="2FA45841" w14:textId="77777777" w:rsidR="00685742" w:rsidRDefault="00000000">
      <w:pPr>
        <w:spacing w:after="1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Senior UX/UI Designer &amp; Project Manager</w:t>
      </w:r>
    </w:p>
    <w:p w14:paraId="4EDA7454" w14:textId="77777777" w:rsidR="00685742" w:rsidRDefault="00000000">
      <w:pPr>
        <w:spacing w:after="120"/>
      </w:pPr>
      <w:r>
        <w:rPr>
          <w:rFonts w:ascii="Calibri" w:eastAsia="Calibri" w:hAnsi="Calibri" w:cs="Calibri"/>
          <w:b/>
          <w:bCs/>
          <w:color w:val="C0392B"/>
          <w:sz w:val="19"/>
          <w:szCs w:val="19"/>
        </w:rPr>
        <w:t>True North Management Inc.  ·  Vancouver, Canada (Remote)</w:t>
      </w:r>
      <w:r>
        <w:rPr>
          <w:rFonts w:ascii="Calibri" w:eastAsia="Calibri" w:hAnsi="Calibri" w:cs="Calibri"/>
          <w:color w:val="595959"/>
          <w:sz w:val="18"/>
          <w:szCs w:val="18"/>
        </w:rPr>
        <w:t xml:space="preserve">                          June 2017 – Present</w:t>
      </w:r>
    </w:p>
    <w:p w14:paraId="2DAD95A1" w14:textId="7777777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Increased overall e-commerce conversion 32% by leading the end-to-end UX/UI redesign of 10+ online pharmacy websites, modernizing legacy .NET platforms into performant WordPress experiences with streamlined information architecture and accessibility-compliant interfaces.</w:t>
      </w:r>
    </w:p>
    <w:p w14:paraId="77521687" w14:textId="7777777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Lifted prescription-related conversions 41% by taking a frictionless “Upload Prescription” feature from UX research and user flow mapping through high-fidelity prototyping and QA, eliminating the largest drop-off point in the funnel.</w:t>
      </w:r>
    </w:p>
    <w:p w14:paraId="23373F77" w14:textId="7777777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Opened a new mid-funnel revenue channel by embedding contextual Product Card components in blog content, turning informational traffic into sales-qualified leads and measurable incremental revenue.</w:t>
      </w:r>
    </w:p>
    <w:p w14:paraId="198A8CD4" w14:textId="7777777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lastRenderedPageBreak/>
        <w:t>Architected and maintained scalable design systems and component libraries in Figma, enabling consistent brand identity, faster iteration, and seamless developer handoff across 10+ concurrent client engagements.</w:t>
      </w:r>
    </w:p>
    <w:p w14:paraId="73495743" w14:textId="58C0894E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Directed UX research — user interviews, heuristic evaluations, and usability testing</w:t>
      </w:r>
      <w:r w:rsidR="000E7D30">
        <w:rPr>
          <w:rFonts w:ascii="Calibri" w:eastAsia="Calibri" w:hAnsi="Calibri" w:cs="Calibri"/>
          <w:color w:val="1A1A1A"/>
        </w:rPr>
        <w:t xml:space="preserve">, </w:t>
      </w:r>
      <w:r w:rsidRPr="000E7D30">
        <w:rPr>
          <w:rFonts w:ascii="Calibri" w:eastAsia="Calibri" w:hAnsi="Calibri" w:cs="Calibri"/>
          <w:color w:val="1A1A1A"/>
        </w:rPr>
        <w:t xml:space="preserve">to identify friction points, validate design decisions, and prioritize roadmap work using </w:t>
      </w:r>
      <w:proofErr w:type="spellStart"/>
      <w:r w:rsidRPr="000E7D30">
        <w:rPr>
          <w:rFonts w:ascii="Calibri" w:eastAsia="Calibri" w:hAnsi="Calibri" w:cs="Calibri"/>
          <w:color w:val="1A1A1A"/>
        </w:rPr>
        <w:t>behavioral</w:t>
      </w:r>
      <w:proofErr w:type="spellEnd"/>
      <w:r w:rsidRPr="000E7D30">
        <w:rPr>
          <w:rFonts w:ascii="Calibri" w:eastAsia="Calibri" w:hAnsi="Calibri" w:cs="Calibri"/>
          <w:color w:val="1A1A1A"/>
        </w:rPr>
        <w:t xml:space="preserve"> data.</w:t>
      </w:r>
    </w:p>
    <w:p w14:paraId="5FA592A9" w14:textId="7777777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Ran design delivery inside Agile sprints, partnering daily with developers and marketers on sprint planning, reviews, and retrospectives to keep projects on time and on budget.</w:t>
      </w:r>
    </w:p>
    <w:p w14:paraId="6DF837D5" w14:textId="7B04A7B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Led visual design and content strategy for enterprise white papers and digital brand assets, translating complex technical subject matter</w:t>
      </w:r>
      <w:r w:rsidR="000E7D30">
        <w:rPr>
          <w:rFonts w:ascii="Calibri" w:eastAsia="Calibri" w:hAnsi="Calibri" w:cs="Calibri"/>
          <w:color w:val="1A1A1A"/>
        </w:rPr>
        <w:t xml:space="preserve">, </w:t>
      </w:r>
      <w:r w:rsidRPr="000E7D30">
        <w:rPr>
          <w:rFonts w:ascii="Calibri" w:eastAsia="Calibri" w:hAnsi="Calibri" w:cs="Calibri"/>
          <w:color w:val="1A1A1A"/>
        </w:rPr>
        <w:t xml:space="preserve">cloud security, physical access control, data </w:t>
      </w:r>
      <w:proofErr w:type="spellStart"/>
      <w:r w:rsidRPr="000E7D30">
        <w:rPr>
          <w:rFonts w:ascii="Calibri" w:eastAsia="Calibri" w:hAnsi="Calibri" w:cs="Calibri"/>
          <w:color w:val="1A1A1A"/>
        </w:rPr>
        <w:t>center</w:t>
      </w:r>
      <w:proofErr w:type="spellEnd"/>
      <w:r w:rsidRPr="000E7D30">
        <w:rPr>
          <w:rFonts w:ascii="Calibri" w:eastAsia="Calibri" w:hAnsi="Calibri" w:cs="Calibri"/>
          <w:color w:val="1A1A1A"/>
        </w:rPr>
        <w:t xml:space="preserve"> efficiency, unified networking</w:t>
      </w:r>
      <w:r w:rsidR="000E7D30">
        <w:rPr>
          <w:rFonts w:ascii="Calibri" w:eastAsia="Calibri" w:hAnsi="Calibri" w:cs="Calibri"/>
          <w:color w:val="1A1A1A"/>
        </w:rPr>
        <w:t xml:space="preserve">, </w:t>
      </w:r>
      <w:r w:rsidRPr="000E7D30">
        <w:rPr>
          <w:rFonts w:ascii="Calibri" w:eastAsia="Calibri" w:hAnsi="Calibri" w:cs="Calibri"/>
          <w:color w:val="1A1A1A"/>
        </w:rPr>
        <w:t>into accessible, high-impact publications.</w:t>
      </w:r>
    </w:p>
    <w:p w14:paraId="6682C96F" w14:textId="77777777" w:rsidR="00685742" w:rsidRDefault="00000000" w:rsidP="000E7D30">
      <w:pPr>
        <w:pStyle w:val="ListParagraph"/>
        <w:numPr>
          <w:ilvl w:val="0"/>
          <w:numId w:val="3"/>
        </w:numPr>
        <w:spacing w:after="90"/>
        <w:ind w:hanging="194"/>
      </w:pPr>
      <w:r w:rsidRPr="000E7D30">
        <w:rPr>
          <w:rFonts w:ascii="Calibri" w:eastAsia="Calibri" w:hAnsi="Calibri" w:cs="Calibri"/>
          <w:color w:val="1A1A1A"/>
        </w:rPr>
        <w:t>Championed WCAG 2.1 accessibility standards across every deliverable, raising compliance posture and expanding product usability for users with disabilities.</w:t>
      </w:r>
    </w:p>
    <w:p w14:paraId="4276861C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WHITE PAPER DESIGN PORTFOLIO</w:t>
      </w:r>
    </w:p>
    <w:p w14:paraId="5803B165" w14:textId="77777777" w:rsidR="00685742" w:rsidRPr="000E7D30" w:rsidRDefault="00000000" w:rsidP="000E7D30">
      <w:pPr>
        <w:pStyle w:val="ListParagraph"/>
        <w:numPr>
          <w:ilvl w:val="0"/>
          <w:numId w:val="4"/>
        </w:numPr>
        <w:spacing w:after="90"/>
        <w:ind w:hanging="294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Maximizing Enterprise Security Systems in the Cloud</w:t>
      </w:r>
    </w:p>
    <w:p w14:paraId="20B945A3" w14:textId="77777777" w:rsidR="00685742" w:rsidRDefault="00000000" w:rsidP="000E7D30">
      <w:pPr>
        <w:pStyle w:val="ListParagraph"/>
        <w:numPr>
          <w:ilvl w:val="1"/>
          <w:numId w:val="4"/>
        </w:numPr>
        <w:spacing w:after="100"/>
      </w:pPr>
      <w:r w:rsidRPr="000E7D30">
        <w:rPr>
          <w:rFonts w:ascii="Calibri" w:eastAsia="Calibri" w:hAnsi="Calibri" w:cs="Calibri"/>
          <w:color w:val="595959"/>
        </w:rPr>
        <w:t>Visual design, layout, and infographic creation for a technical security white paper targeting enterprise IT decision-makers.</w:t>
      </w:r>
    </w:p>
    <w:p w14:paraId="7EB13ECD" w14:textId="77777777" w:rsidR="00685742" w:rsidRDefault="00000000" w:rsidP="000E7D30">
      <w:pPr>
        <w:pStyle w:val="ListParagraph"/>
        <w:numPr>
          <w:ilvl w:val="0"/>
          <w:numId w:val="4"/>
        </w:numPr>
        <w:spacing w:after="90"/>
        <w:ind w:hanging="294"/>
      </w:pPr>
      <w:r>
        <w:rPr>
          <w:rFonts w:ascii="Calibri" w:eastAsia="Calibri" w:hAnsi="Calibri" w:cs="Calibri"/>
          <w:color w:val="1A1A1A"/>
        </w:rPr>
        <w:t>System Design Considerations to Optimize Physical Access Control</w:t>
      </w:r>
    </w:p>
    <w:p w14:paraId="70C32E57" w14:textId="77777777" w:rsidR="00685742" w:rsidRDefault="00000000" w:rsidP="000E7D30">
      <w:pPr>
        <w:pStyle w:val="ListParagraph"/>
        <w:numPr>
          <w:ilvl w:val="1"/>
          <w:numId w:val="4"/>
        </w:numPr>
        <w:spacing w:after="100"/>
      </w:pPr>
      <w:r w:rsidRPr="000E7D30">
        <w:rPr>
          <w:rFonts w:ascii="Calibri" w:eastAsia="Calibri" w:hAnsi="Calibri" w:cs="Calibri"/>
          <w:color w:val="595959"/>
        </w:rPr>
        <w:t>A comprehensive B2B publication communicating complex system architecture through clear typography, diagrams, and data visualization.</w:t>
      </w:r>
    </w:p>
    <w:p w14:paraId="0AD5A0CB" w14:textId="77777777" w:rsidR="00685742" w:rsidRDefault="00000000" w:rsidP="000E7D30">
      <w:pPr>
        <w:pStyle w:val="ListParagraph"/>
        <w:numPr>
          <w:ilvl w:val="0"/>
          <w:numId w:val="4"/>
        </w:numPr>
        <w:spacing w:after="90"/>
        <w:ind w:hanging="294"/>
      </w:pPr>
      <w:r>
        <w:rPr>
          <w:rFonts w:ascii="Calibri" w:eastAsia="Calibri" w:hAnsi="Calibri" w:cs="Calibri"/>
          <w:color w:val="1A1A1A"/>
        </w:rPr>
        <w:t xml:space="preserve">The Hidden Energy Drain: Increasing Fan Efficiency in Data </w:t>
      </w:r>
      <w:proofErr w:type="spellStart"/>
      <w:r>
        <w:rPr>
          <w:rFonts w:ascii="Calibri" w:eastAsia="Calibri" w:hAnsi="Calibri" w:cs="Calibri"/>
          <w:color w:val="1A1A1A"/>
        </w:rPr>
        <w:t>Center</w:t>
      </w:r>
      <w:proofErr w:type="spellEnd"/>
      <w:r>
        <w:rPr>
          <w:rFonts w:ascii="Calibri" w:eastAsia="Calibri" w:hAnsi="Calibri" w:cs="Calibri"/>
          <w:color w:val="1A1A1A"/>
        </w:rPr>
        <w:t xml:space="preserve"> Cooling</w:t>
      </w:r>
    </w:p>
    <w:p w14:paraId="40862F7D" w14:textId="77777777" w:rsidR="00685742" w:rsidRDefault="00000000" w:rsidP="000E7D30">
      <w:pPr>
        <w:pStyle w:val="ListParagraph"/>
        <w:numPr>
          <w:ilvl w:val="1"/>
          <w:numId w:val="4"/>
        </w:numPr>
        <w:spacing w:after="100"/>
      </w:pPr>
      <w:r w:rsidRPr="000E7D30">
        <w:rPr>
          <w:rFonts w:ascii="Calibri" w:eastAsia="Calibri" w:hAnsi="Calibri" w:cs="Calibri"/>
          <w:color w:val="595959"/>
        </w:rPr>
        <w:t xml:space="preserve">A visually compelling white paper combining technical content with accessible design for a data </w:t>
      </w:r>
      <w:proofErr w:type="spellStart"/>
      <w:r w:rsidRPr="000E7D30">
        <w:rPr>
          <w:rFonts w:ascii="Calibri" w:eastAsia="Calibri" w:hAnsi="Calibri" w:cs="Calibri"/>
          <w:color w:val="595959"/>
        </w:rPr>
        <w:t>center</w:t>
      </w:r>
      <w:proofErr w:type="spellEnd"/>
      <w:r w:rsidRPr="000E7D30">
        <w:rPr>
          <w:rFonts w:ascii="Calibri" w:eastAsia="Calibri" w:hAnsi="Calibri" w:cs="Calibri"/>
          <w:color w:val="595959"/>
        </w:rPr>
        <w:t xml:space="preserve"> hardware client.</w:t>
      </w:r>
    </w:p>
    <w:p w14:paraId="76D89A89" w14:textId="77777777" w:rsidR="00685742" w:rsidRDefault="00000000" w:rsidP="000E7D30">
      <w:pPr>
        <w:pStyle w:val="ListParagraph"/>
        <w:numPr>
          <w:ilvl w:val="0"/>
          <w:numId w:val="4"/>
        </w:numPr>
        <w:spacing w:after="90"/>
        <w:ind w:hanging="294"/>
      </w:pPr>
      <w:r>
        <w:rPr>
          <w:rFonts w:ascii="Calibri" w:eastAsia="Calibri" w:hAnsi="Calibri" w:cs="Calibri"/>
          <w:color w:val="1A1A1A"/>
        </w:rPr>
        <w:t>Combining Security and Networking Technologies for Unified Solutions</w:t>
      </w:r>
    </w:p>
    <w:p w14:paraId="6EAD6896" w14:textId="77777777" w:rsidR="00685742" w:rsidRDefault="00000000" w:rsidP="000E7D30">
      <w:pPr>
        <w:pStyle w:val="ListParagraph"/>
        <w:numPr>
          <w:ilvl w:val="1"/>
          <w:numId w:val="4"/>
        </w:numPr>
        <w:spacing w:after="100"/>
      </w:pPr>
      <w:r w:rsidRPr="000E7D30">
        <w:rPr>
          <w:rFonts w:ascii="Calibri" w:eastAsia="Calibri" w:hAnsi="Calibri" w:cs="Calibri"/>
          <w:color w:val="595959"/>
        </w:rPr>
        <w:t>A professional multi-page publication bridging enterprise security and networking product positioning.</w:t>
      </w:r>
    </w:p>
    <w:p w14:paraId="0D923536" w14:textId="77777777" w:rsidR="00685742" w:rsidRDefault="00000000">
      <w:pPr>
        <w:pBdr>
          <w:bottom w:val="single" w:sz="4" w:space="0" w:color="C0392B"/>
        </w:pBdr>
        <w:spacing w:before="220" w:after="100"/>
      </w:pPr>
      <w:r>
        <w:rPr>
          <w:rFonts w:ascii="Calibri" w:eastAsia="Calibri" w:hAnsi="Calibri" w:cs="Calibri"/>
          <w:b/>
          <w:bCs/>
          <w:color w:val="C0392B"/>
        </w:rPr>
        <w:t>EDUCATION, CERTIFICATIONS &amp; LANGUAGES</w:t>
      </w:r>
    </w:p>
    <w:p w14:paraId="3D100FB1" w14:textId="77777777" w:rsidR="00685742" w:rsidRDefault="00000000">
      <w:pPr>
        <w:spacing w:after="60"/>
      </w:pPr>
      <w:r>
        <w:rPr>
          <w:rFonts w:ascii="Calibri" w:eastAsia="Calibri" w:hAnsi="Calibri" w:cs="Calibri"/>
          <w:color w:val="1A1A1A"/>
        </w:rPr>
        <w:t>Higher Secondary Certificate – Commerce, Mahim Social Workers Night Junior College, Mumbai, India (1999)</w:t>
      </w:r>
    </w:p>
    <w:p w14:paraId="2C36C02F" w14:textId="77777777" w:rsidR="00685742" w:rsidRDefault="00000000">
      <w:pPr>
        <w:spacing w:after="60"/>
      </w:pPr>
      <w:r>
        <w:rPr>
          <w:rFonts w:ascii="Calibri" w:eastAsia="Calibri" w:hAnsi="Calibri" w:cs="Calibri"/>
          <w:color w:val="1A1A1A"/>
        </w:rPr>
        <w:t>Certification in Web Design, Arena Animations</w:t>
      </w:r>
    </w:p>
    <w:p w14:paraId="4B779E78" w14:textId="77777777" w:rsidR="00685742" w:rsidRDefault="00000000">
      <w:r>
        <w:rPr>
          <w:rFonts w:ascii="Calibri" w:eastAsia="Calibri" w:hAnsi="Calibri" w:cs="Calibri"/>
          <w:color w:val="1A1A1A"/>
        </w:rPr>
        <w:t>Languages: English (Fluent) · Hindi (Native) · Urdu (Native)</w:t>
      </w:r>
    </w:p>
    <w:sectPr w:rsidR="0068574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DE12C7"/>
    <w:multiLevelType w:val="hybridMultilevel"/>
    <w:tmpl w:val="118A2060"/>
    <w:lvl w:ilvl="0" w:tplc="08090005">
      <w:start w:val="1"/>
      <w:numFmt w:val="bullet"/>
      <w:lvlText w:val=""/>
      <w:lvlJc w:val="left"/>
      <w:pPr>
        <w:ind w:left="6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" w15:restartNumberingAfterBreak="0">
    <w:nsid w:val="5A5B112A"/>
    <w:multiLevelType w:val="hybridMultilevel"/>
    <w:tmpl w:val="3B7C7EE2"/>
    <w:lvl w:ilvl="0" w:tplc="08090003">
      <w:start w:val="1"/>
      <w:numFmt w:val="bullet"/>
      <w:lvlText w:val="o"/>
      <w:lvlJc w:val="left"/>
      <w:pPr>
        <w:ind w:left="6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2" w15:restartNumberingAfterBreak="0">
    <w:nsid w:val="6E157C6B"/>
    <w:multiLevelType w:val="hybridMultilevel"/>
    <w:tmpl w:val="C37E3F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16AEA"/>
    <w:multiLevelType w:val="hybridMultilevel"/>
    <w:tmpl w:val="E82C83C4"/>
    <w:lvl w:ilvl="0" w:tplc="6422F786">
      <w:start w:val="1"/>
      <w:numFmt w:val="bullet"/>
      <w:lvlText w:val="●"/>
      <w:lvlJc w:val="left"/>
      <w:pPr>
        <w:ind w:left="720" w:hanging="360"/>
      </w:pPr>
    </w:lvl>
    <w:lvl w:ilvl="1" w:tplc="64A47CE0">
      <w:start w:val="1"/>
      <w:numFmt w:val="bullet"/>
      <w:lvlText w:val="○"/>
      <w:lvlJc w:val="left"/>
      <w:pPr>
        <w:ind w:left="1440" w:hanging="360"/>
      </w:pPr>
    </w:lvl>
    <w:lvl w:ilvl="2" w:tplc="0824CA26">
      <w:start w:val="1"/>
      <w:numFmt w:val="bullet"/>
      <w:lvlText w:val="■"/>
      <w:lvlJc w:val="left"/>
      <w:pPr>
        <w:ind w:left="2160" w:hanging="360"/>
      </w:pPr>
    </w:lvl>
    <w:lvl w:ilvl="3" w:tplc="B9AA6400">
      <w:start w:val="1"/>
      <w:numFmt w:val="bullet"/>
      <w:lvlText w:val="●"/>
      <w:lvlJc w:val="left"/>
      <w:pPr>
        <w:ind w:left="2880" w:hanging="360"/>
      </w:pPr>
    </w:lvl>
    <w:lvl w:ilvl="4" w:tplc="B196540A">
      <w:start w:val="1"/>
      <w:numFmt w:val="bullet"/>
      <w:lvlText w:val="○"/>
      <w:lvlJc w:val="left"/>
      <w:pPr>
        <w:ind w:left="3600" w:hanging="360"/>
      </w:pPr>
    </w:lvl>
    <w:lvl w:ilvl="5" w:tplc="5592393A">
      <w:start w:val="1"/>
      <w:numFmt w:val="bullet"/>
      <w:lvlText w:val="■"/>
      <w:lvlJc w:val="left"/>
      <w:pPr>
        <w:ind w:left="4320" w:hanging="360"/>
      </w:pPr>
    </w:lvl>
    <w:lvl w:ilvl="6" w:tplc="ECE6CBD6">
      <w:start w:val="1"/>
      <w:numFmt w:val="bullet"/>
      <w:lvlText w:val="●"/>
      <w:lvlJc w:val="left"/>
      <w:pPr>
        <w:ind w:left="5040" w:hanging="360"/>
      </w:pPr>
    </w:lvl>
    <w:lvl w:ilvl="7" w:tplc="58E6DA22">
      <w:start w:val="1"/>
      <w:numFmt w:val="bullet"/>
      <w:lvlText w:val="●"/>
      <w:lvlJc w:val="left"/>
      <w:pPr>
        <w:ind w:left="5760" w:hanging="360"/>
      </w:pPr>
    </w:lvl>
    <w:lvl w:ilvl="8" w:tplc="E47290E4">
      <w:start w:val="1"/>
      <w:numFmt w:val="bullet"/>
      <w:lvlText w:val="●"/>
      <w:lvlJc w:val="left"/>
      <w:pPr>
        <w:ind w:left="6480" w:hanging="360"/>
      </w:pPr>
    </w:lvl>
  </w:abstractNum>
  <w:num w:numId="1" w16cid:durableId="1261528107">
    <w:abstractNumId w:val="3"/>
    <w:lvlOverride w:ilvl="0">
      <w:startOverride w:val="1"/>
    </w:lvlOverride>
  </w:num>
  <w:num w:numId="2" w16cid:durableId="2077121624">
    <w:abstractNumId w:val="1"/>
  </w:num>
  <w:num w:numId="3" w16cid:durableId="348604514">
    <w:abstractNumId w:val="0"/>
  </w:num>
  <w:num w:numId="4" w16cid:durableId="835003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42"/>
    <w:rsid w:val="000E7D30"/>
    <w:rsid w:val="005049C7"/>
    <w:rsid w:val="00685742"/>
    <w:rsid w:val="008F453D"/>
    <w:rsid w:val="00CC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9B5D1"/>
  <w15:docId w15:val="{C5D5BD54-0043-A743-A513-F64FF668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hance.net/tabrezzaidy110" TargetMode="External"/><Relationship Id="rId5" Type="http://schemas.openxmlformats.org/officeDocument/2006/relationships/hyperlink" Target="https://www.linkedin.com/in/tabrezzaid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711</Words>
  <Characters>4609</Characters>
  <Application>Microsoft Office Word</Application>
  <DocSecurity>0</DocSecurity>
  <Lines>76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Tabrez Zaidy</cp:lastModifiedBy>
  <cp:revision>2</cp:revision>
  <dcterms:created xsi:type="dcterms:W3CDTF">2026-09-22T19:12:00Z</dcterms:created>
  <dcterms:modified xsi:type="dcterms:W3CDTF">2026-09-22T19:12:00Z</dcterms:modified>
</cp:coreProperties>
</file>