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80"/>
      </w:pPr>
      <w:r>
        <w:rPr>
          <w:b/>
          <w:sz w:val="40"/>
          <w:szCs w:val="40"/>
          <w:color w:val="003B99"/>
        </w:rPr>
        <w:t xml:space="preserve">E-COMMERCE PROJECT SPECIFICATION &amp; CLIENT ONBOARDING</w:t>
      </w:r>
    </w:p>
    <w:p>
      <w:pPr>
        <w:spacing w:before="0" w:after="200"/>
      </w:pPr>
      <w:r>
        <w:rPr>
          <w:i/>
          <w:sz w:val="24"/>
          <w:szCs w:val="24"/>
          <w:color w:val="718096"/>
        </w:rPr>
        <w:t xml:space="preserve">Comprehensive Requirements &amp; Business Details Form</w:t>
      </w:r>
    </w:p>
    <w:tbl>
      <w:tblPr>
        <w:tblW w:w="9200" w:type="dxa"/>
        <w:tblBorders>
          <w:top w:val="none"/>
          <w:left w:val="single" w:sz="24" w:space="0" w:color="0066FF"/>
          <w:bottom w:val="none"/>
          <w:right w:val="none"/>
        </w:tblBorders>
      </w:tblPr>
      <w:tr>
        <w:tc>
          <w:tcPr>
            <w:tcW w:w="9200" w:type="dxa"/>
            <w:shd w:val="clear" w:color="auto" w:fill="F0F7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b/>
                <w:sz w:val="21"/>
                <w:color w:val="0052CC"/>
              </w:rPr>
              <w:t xml:space="preserve">Instructions for the Client</w:t>
            </w:r>
          </w:p>
          <w:p>
            <w:pPr>
              <w:spacing w:before="0" w:after="40"/>
            </w:pPr>
            <w:r>
              <w:rPr>
                <w:i/>
                <w:sz w:val="20"/>
                <w:color w:val="4A5568"/>
              </w:rPr>
              <w:t xml:space="preserve">Please fill out each section below with your business, branding, product, payments, shipping, and technical details. This information directly guides the configuration of your e-commerce store. If a specific question does not apply, write 'N/A'.</w:t>
            </w:r>
          </w:p>
        </w:tc>
      </w:tr>
    </w:tbl>
    <w:p>
      <w:pPr>
        <w:spacing w:after="180"/>
      </w:pPr>
    </w:p>
    <w:p>
      <w:pPr>
        <w:spacing w:before="360" w:after="120"/>
      </w:pPr>
      <w:r>
        <w:rPr>
          <w:b/>
          <w:sz w:val="34"/>
          <w:szCs w:val="34"/>
          <w:color w:val="0052CC"/>
        </w:rPr>
        <w:t xml:space="preserve">1. General Business &amp; Store Identity</w:t>
      </w:r>
    </w:p>
    <w:tbl>
      <w:tblPr>
        <w:tblW w:w="9200" w:type="dxa"/>
        <w:tblBorders>
          <w:top w:val="single" w:sz="4" w:space="0" w:color="CBD5E0"/>
          <w:left w:val="none"/>
          <w:bottom w:val="single" w:sz="8" w:space="0" w:color="A0AEC0"/>
          <w:right w:val="none"/>
          <w:insideH w:val="single" w:sz="4" w:space="0" w:color="E2E8F0"/>
          <w:insideV w:val="none"/>
        </w:tblBorders>
      </w:tblPr>
      <w:tr>
        <w:tc>
          <w:tcPr>
            <w:tcW w:w="3200" w:type="dxa"/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  <w:color w:val="1A202C"/>
              </w:rPr>
              <w:t xml:space="preserve">Field Name</w:t>
            </w:r>
          </w:p>
        </w:tc>
        <w:tc>
          <w:tcPr>
            <w:tcW w:w="6000" w:type="dxa"/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  <w:color w:val="1A202C"/>
              </w:rPr>
              <w:t xml:space="preserve">Client Response / Value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Official Legal Entity Name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e.g. Acme Corporation LLC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Store Brand Name (DBA)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e.g. Acme Tech Hardware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Registration Jurisdiction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State:                 Country:                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Primary Store Domain / URL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e.g. https://www.yourdomain.com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Store Tagline / Slogan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e.g. High-Performance Enterprise Infrastructure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Year Established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e.g. 2024 ]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Registered Physical Address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Street Address, Suite/Unit, City, State, ZIP, Country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Customer Support Direct Phone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(XXX) XXX-XXXX (Toll-free / Direct Line)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Customer Support Official Email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support@yourdomain.com / info@...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Sales &amp; Wholesale Inquiry Email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sales@yourdomain.com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Business Hours &amp; Timezone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e.g. Mon–Fri: 9:00 AM – 6:00 PM EST ]</w:t>
            </w:r>
          </w:p>
        </w:tc>
      </w:tr>
    </w:tbl>
    <w:p>
      <w:pPr>
        <w:spacing w:after="160"/>
      </w:pPr>
    </w:p>
    <w:p>
      <w:pPr>
        <w:spacing w:before="360" w:after="120"/>
      </w:pPr>
      <w:r>
        <w:rPr>
          <w:b/>
          <w:sz w:val="34"/>
          <w:szCs w:val="34"/>
          <w:color w:val="0052CC"/>
        </w:rPr>
        <w:t xml:space="preserve">2. Branding, Design &amp; Social Media Assets</w:t>
      </w:r>
    </w:p>
    <w:p>
      <w:pPr>
        <w:spacing w:before="240" w:after="100"/>
      </w:pPr>
      <w:r>
        <w:rPr>
          <w:b/>
          <w:sz w:val="26"/>
          <w:szCs w:val="26"/>
          <w:color w:val="1A202C"/>
        </w:rPr>
        <w:t xml:space="preserve">2.1 Visual Assets &amp; Colors</w:t>
      </w:r>
    </w:p>
    <w:p>
      <w:pPr>
        <w:spacing w:before="0" w:after="80"/>
      </w:pPr>
      <w:r>
        <w:rPr>
          <w:sz w:val="22"/>
          <w:szCs w:val="22"/>
          <w:color w:val="2D3748"/>
        </w:rPr>
        <w:t xml:space="preserve">[  ] Logo Files: Please attach or link Google Drive / Dropbox with SVG, AI, or High-Res Transparent PNG.</w:t>
      </w:r>
    </w:p>
    <w:p>
      <w:pPr>
        <w:spacing w:before="0" w:after="60"/>
      </w:pPr>
      <w:r>
        <w:rPr>
          <w:sz w:val="22"/>
          <w:szCs w:val="22"/>
          <w:color w:val="2D3748"/>
        </w:rPr>
        <w:t xml:space="preserve">      • Primary Logo (Light/Standard Background): [ Link / File Attached ]</w:t>
      </w:r>
    </w:p>
    <w:p>
      <w:pPr>
        <w:spacing w:before="0" w:after="60"/>
      </w:pPr>
      <w:r>
        <w:rPr>
          <w:sz w:val="22"/>
          <w:szCs w:val="22"/>
          <w:color w:val="2D3748"/>
        </w:rPr>
        <w:t xml:space="preserve">      • Inverted / Dark Theme Logo: [ Link / File Attached ]</w:t>
      </w:r>
    </w:p>
    <w:p>
      <w:pPr>
        <w:spacing w:before="0" w:after="120"/>
      </w:pPr>
      <w:r>
        <w:rPr>
          <w:sz w:val="22"/>
          <w:szCs w:val="22"/>
          <w:color w:val="2D3748"/>
        </w:rPr>
        <w:t xml:space="preserve">      • Favicon (Square tab icon, 512x512): [ Link / File Attached ]</w:t>
      </w:r>
    </w:p>
    <w:p>
      <w:pPr>
        <w:spacing w:before="0" w:after="80"/>
      </w:pPr>
      <w:r>
        <w:rPr>
          <w:sz w:val="22"/>
          <w:szCs w:val="22"/>
          <w:color w:val="2D3748"/>
        </w:rPr>
        <w:t xml:space="preserve">[  ] Color Palette Preferences:</w:t>
      </w:r>
    </w:p>
    <w:p>
      <w:pPr>
        <w:spacing w:before="0" w:after="60"/>
      </w:pPr>
      <w:r>
        <w:rPr>
          <w:sz w:val="22"/>
          <w:szCs w:val="22"/>
          <w:color w:val="2D3748"/>
        </w:rPr>
        <w:t xml:space="preserve">      • Primary Brand Color (HEX): [ e.g. #0066FF ]</w:t>
      </w:r>
    </w:p>
    <w:p>
      <w:pPr>
        <w:spacing w:before="0" w:after="60"/>
      </w:pPr>
      <w:r>
        <w:rPr>
          <w:sz w:val="22"/>
          <w:szCs w:val="22"/>
          <w:color w:val="2D3748"/>
        </w:rPr>
        <w:t xml:space="preserve">      • Accent / Button Color (HEX): [ e.g. #0052CC ]</w:t>
      </w:r>
    </w:p>
    <w:p>
      <w:pPr>
        <w:spacing w:before="0" w:after="140"/>
      </w:pPr>
      <w:r>
        <w:rPr>
          <w:sz w:val="22"/>
          <w:szCs w:val="22"/>
          <w:color w:val="2D3748"/>
        </w:rPr>
        <w:t xml:space="preserve">      • Default Theme: [  ] Light Mode   [  ] Dark Mode   [  ] User Switchable</w:t>
      </w:r>
    </w:p>
    <w:p>
      <w:pPr>
        <w:spacing w:before="240" w:after="100"/>
      </w:pPr>
      <w:r>
        <w:rPr>
          <w:b/>
          <w:sz w:val="26"/>
          <w:szCs w:val="26"/>
          <w:color w:val="1A202C"/>
        </w:rPr>
        <w:t xml:space="preserve">2.2 Official Social Media Channels</w:t>
      </w:r>
    </w:p>
    <w:tbl>
      <w:tblPr>
        <w:tblW w:w="9200" w:type="dxa"/>
        <w:tblBorders>
          <w:top w:val="single" w:sz="4" w:space="0" w:color="CBD5E0"/>
          <w:left w:val="none"/>
          <w:bottom w:val="single" w:sz="8" w:space="0" w:color="A0AEC0"/>
          <w:right w:val="none"/>
          <w:insideH w:val="single" w:sz="4" w:space="0" w:color="E2E8F0"/>
          <w:insideV w:val="none"/>
        </w:tblBorders>
      </w:tblPr>
      <w:tr>
        <w:tc>
          <w:tcPr>
            <w:tcW w:w="3200" w:type="dxa"/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  <w:color w:val="1A202C"/>
              </w:rPr>
              <w:t xml:space="preserve">Platform</w:t>
            </w:r>
          </w:p>
        </w:tc>
        <w:tc>
          <w:tcPr>
            <w:tcW w:w="6000" w:type="dxa"/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  <w:color w:val="1A202C"/>
              </w:rPr>
              <w:t xml:space="preserve">Account Profile URL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Facebook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https://www.facebook.com/YourBrand/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Instagram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https://www.instagram.com/YourBrand/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LinkedIn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https://www.linkedin.com/company/YourBrand/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X / Twitter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https://x.com/YourBrand or N/A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YouTube / Other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URL or N/A ]</w:t>
            </w:r>
          </w:p>
        </w:tc>
      </w:tr>
    </w:tbl>
    <w:p>
      <w:pPr>
        <w:spacing w:after="160"/>
      </w:pPr>
    </w:p>
    <w:p>
      <w:pPr>
        <w:spacing w:before="360" w:after="120"/>
      </w:pPr>
      <w:r>
        <w:rPr>
          <w:b/>
          <w:sz w:val="34"/>
          <w:szCs w:val="34"/>
          <w:color w:val="0052CC"/>
        </w:rPr>
        <w:t xml:space="preserve">3. Product Catalog &amp; Inventory Structure</w:t>
      </w:r>
    </w:p>
    <w:p>
      <w:pPr>
        <w:spacing w:before="0" w:after="80"/>
      </w:pPr>
      <w:r>
        <w:rPr>
          <w:b/>
          <w:sz w:val="22"/>
          <w:szCs w:val="22"/>
          <w:color w:val="2D3748"/>
        </w:rPr>
        <w:t xml:space="preserve">3.1 Product Types &amp; Inventory Scope</w:t>
      </w:r>
    </w:p>
    <w:p>
      <w:pPr>
        <w:spacing w:before="0" w:after="60"/>
      </w:pPr>
      <w:r>
        <w:rPr>
          <w:sz w:val="22"/>
          <w:szCs w:val="22"/>
          <w:color w:val="2D3748"/>
        </w:rPr>
        <w:t xml:space="preserve">• Product Format:  [  ] Physical Tangible Goods   [  ] Digital Downloads   [  ] Subscriptions / Services</w:t>
      </w:r>
    </w:p>
    <w:p>
      <w:pPr>
        <w:spacing w:before="0" w:after="60"/>
      </w:pPr>
      <w:r>
        <w:rPr>
          <w:sz w:val="22"/>
          <w:szCs w:val="22"/>
          <w:color w:val="2D3748"/>
        </w:rPr>
        <w:t xml:space="preserve">• Approximate Catalog Size: [ e.g. 50 products / 500 SKUs / 5,000+ items ]</w:t>
      </w:r>
    </w:p>
    <w:p>
      <w:pPr>
        <w:spacing w:before="0" w:after="60"/>
      </w:pPr>
      <w:r>
        <w:rPr>
          <w:sz w:val="22"/>
          <w:szCs w:val="22"/>
          <w:color w:val="2D3748"/>
        </w:rPr>
        <w:t xml:space="preserve">• Conditions Sold: [  ] Brand New Factory Sealed   [  ] Certified Refurbished   [  ] Used / Open Box</w:t>
      </w:r>
    </w:p>
    <w:p>
      <w:pPr>
        <w:spacing w:before="0" w:after="120"/>
      </w:pPr>
      <w:r>
        <w:rPr>
          <w:sz w:val="22"/>
          <w:szCs w:val="22"/>
          <w:color w:val="2D3748"/>
        </w:rPr>
        <w:t xml:space="preserve">• Warranty Policy: [ e.g. 30-Day Replacement Window / 1-Year Manufacturer Warranty ]</w:t>
      </w:r>
    </w:p>
    <w:p>
      <w:pPr>
        <w:spacing w:before="0" w:after="80"/>
      </w:pPr>
      <w:r>
        <w:rPr>
          <w:b/>
          <w:sz w:val="22"/>
          <w:szCs w:val="22"/>
          <w:color w:val="2D3748"/>
        </w:rPr>
        <w:t xml:space="preserve">3.2 Product Data Sourcing &amp; Media</w:t>
      </w:r>
    </w:p>
    <w:p>
      <w:pPr>
        <w:spacing w:before="0" w:after="60"/>
      </w:pPr>
      <w:r>
        <w:rPr>
          <w:sz w:val="22"/>
          <w:szCs w:val="22"/>
          <w:color w:val="2D3748"/>
        </w:rPr>
        <w:t xml:space="preserve">• How will product data be supplied?  [  ] CSV / Excel   [  ] Platform Export (Shopify/Woo)   [  ] Custom Feed</w:t>
      </w:r>
    </w:p>
    <w:p>
      <w:pPr>
        <w:spacing w:before="0" w:after="140"/>
      </w:pPr>
      <w:r>
        <w:rPr>
          <w:sz w:val="22"/>
          <w:szCs w:val="22"/>
          <w:color w:val="2D3748"/>
        </w:rPr>
        <w:t xml:space="preserve">• Expected Price Range: Lowest Item: $ [          ]  |  Highest Ticket Item: $ [          ]</w:t>
      </w:r>
    </w:p>
    <w:p>
      <w:pPr>
        <w:spacing w:before="360" w:after="120"/>
      </w:pPr>
      <w:r>
        <w:rPr>
          <w:b/>
          <w:sz w:val="34"/>
          <w:szCs w:val="34"/>
          <w:color w:val="0052CC"/>
        </w:rPr>
        <w:t xml:space="preserve">4. Payment Gateways, Currency &amp; Sales Tax</w:t>
      </w:r>
    </w:p>
    <w:p>
      <w:pPr>
        <w:spacing w:before="240" w:after="100"/>
      </w:pPr>
      <w:r>
        <w:rPr>
          <w:b/>
          <w:sz w:val="26"/>
          <w:szCs w:val="26"/>
          <w:color w:val="1A202C"/>
        </w:rPr>
        <w:t xml:space="preserve">4.1 Card Processing (Stripe)</w:t>
      </w:r>
    </w:p>
    <w:p>
      <w:pPr>
        <w:spacing w:before="0" w:after="80"/>
      </w:pPr>
      <w:r>
        <w:rPr>
          <w:sz w:val="22"/>
          <w:szCs w:val="22"/>
          <w:color w:val="2D3748"/>
        </w:rPr>
        <w:t xml:space="preserve">Stripe handles Visa, MasterCard, Amex, Discover, Apple Pay &amp; Google Pay with 256-bit encryption.</w:t>
      </w:r>
    </w:p>
    <w:tbl>
      <w:tblPr>
        <w:tblW w:w="9200" w:type="dxa"/>
        <w:tblBorders>
          <w:top w:val="single" w:sz="4" w:space="0" w:color="CBD5E0"/>
          <w:left w:val="none"/>
          <w:bottom w:val="single" w:sz="8" w:space="0" w:color="A0AEC0"/>
          <w:right w:val="none"/>
          <w:insideH w:val="single" w:sz="4" w:space="0" w:color="E2E8F0"/>
          <w:insideV w:val="none"/>
        </w:tblBorders>
      </w:tblPr>
      <w:tr>
        <w:tc>
          <w:tcPr>
            <w:tcW w:w="3200" w:type="dxa"/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  <w:color w:val="1A202C"/>
              </w:rPr>
              <w:t xml:space="preserve">Stripe Setting / Key</w:t>
            </w:r>
          </w:p>
        </w:tc>
        <w:tc>
          <w:tcPr>
            <w:tcW w:w="6000" w:type="dxa"/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  <w:color w:val="1A202C"/>
              </w:rPr>
              <w:t xml:space="preserve">Client Value (or send via encrypted channel)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Publishable Key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pk_live_...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Secret Key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sk_live_...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Webhook Signing Secret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whsec_...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Payment Capture Mode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 ] Immediate Capture (Default)   [  ] Manual Authorize &amp; Capture</w:t>
            </w:r>
          </w:p>
        </w:tc>
      </w:tr>
    </w:tbl>
    <w:p>
      <w:pPr>
        <w:spacing w:after="160"/>
      </w:pPr>
    </w:p>
    <w:p>
      <w:pPr>
        <w:spacing w:before="240" w:after="100"/>
      </w:pPr>
      <w:r>
        <w:rPr>
          <w:b/>
          <w:sz w:val="26"/>
          <w:szCs w:val="26"/>
          <w:color w:val="1A202C"/>
        </w:rPr>
        <w:t xml:space="preserve">4.2 Enterprise B2B Bank Wire / ACH Details</w:t>
      </w:r>
    </w:p>
    <w:p>
      <w:pPr>
        <w:spacing w:before="0" w:after="80"/>
      </w:pPr>
      <w:r>
        <w:rPr>
          <w:sz w:val="22"/>
          <w:szCs w:val="22"/>
          <w:color w:val="2D3748"/>
        </w:rPr>
        <w:t xml:space="preserve">For large enterprise orders, bank wire details are shown on checkout or generated invoices:</w:t>
      </w:r>
    </w:p>
    <w:tbl>
      <w:tblPr>
        <w:tblW w:w="9200" w:type="dxa"/>
        <w:tblBorders>
          <w:top w:val="single" w:sz="4" w:space="0" w:color="CBD5E0"/>
          <w:left w:val="none"/>
          <w:bottom w:val="single" w:sz="8" w:space="0" w:color="A0AEC0"/>
          <w:right w:val="none"/>
          <w:insideH w:val="single" w:sz="4" w:space="0" w:color="E2E8F0"/>
          <w:insideV w:val="none"/>
        </w:tblBorders>
      </w:tblPr>
      <w:tr>
        <w:tc>
          <w:tcPr>
            <w:tcW w:w="3200" w:type="dxa"/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  <w:color w:val="1A202C"/>
              </w:rPr>
              <w:t xml:space="preserve">Banking Field</w:t>
            </w:r>
          </w:p>
        </w:tc>
        <w:tc>
          <w:tcPr>
            <w:tcW w:w="6000" w:type="dxa"/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  <w:color w:val="1A202C"/>
              </w:rPr>
              <w:t xml:space="preserve">Details Provided to Customers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Bank Name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e.g. Chase Bank / Bank of America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Beneficiary / Account Name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e.g. Acme Corporation LLC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Routing Number (ABA)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[ 9-digit Routing Number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Account Number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Account Number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SWIFT / BIC Code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For International Wire Transfers ]</w:t>
            </w:r>
          </w:p>
        </w:tc>
      </w:tr>
    </w:tbl>
    <w:p>
      <w:pPr>
        <w:spacing w:after="160"/>
      </w:pPr>
    </w:p>
    <w:p>
      <w:pPr>
        <w:spacing w:before="240" w:after="100"/>
      </w:pPr>
      <w:r>
        <w:rPr>
          <w:b/>
          <w:sz w:val="26"/>
          <w:szCs w:val="26"/>
          <w:color w:val="1A202C"/>
        </w:rPr>
        <w:t xml:space="preserve">4.3 Sales Tax &amp; Tax-Exemption</w:t>
      </w:r>
    </w:p>
    <w:p>
      <w:pPr>
        <w:spacing w:before="0" w:after="60"/>
      </w:pPr>
      <w:r>
        <w:rPr>
          <w:sz w:val="22"/>
          <w:szCs w:val="22"/>
          <w:color w:val="2D3748"/>
        </w:rPr>
        <w:t xml:space="preserve">• Primary Store Currency: [ USD ($) ]</w:t>
      </w:r>
    </w:p>
    <w:p>
      <w:pPr>
        <w:spacing w:before="0" w:after="60"/>
      </w:pPr>
      <w:r>
        <w:rPr>
          <w:sz w:val="22"/>
          <w:szCs w:val="22"/>
          <w:color w:val="2D3748"/>
        </w:rPr>
        <w:t xml:space="preserve">• Sales Tax System:  [  ] Automated Stripe Tax / Avalara   [  ] Flat Rate State Tax: [ State:       Rate:     % ]</w:t>
      </w:r>
    </w:p>
    <w:p>
      <w:pPr>
        <w:spacing w:before="0" w:after="140"/>
      </w:pPr>
      <w:r>
        <w:rPr>
          <w:sz w:val="22"/>
          <w:szCs w:val="22"/>
          <w:color w:val="2D3748"/>
        </w:rPr>
        <w:t xml:space="preserve">• B2B Tax-Exemption: Do you allow registered resellers to submit State Resale Certificates?  [  ] Yes   [  ] No</w:t>
      </w:r>
    </w:p>
    <w:p>
      <w:pPr>
        <w:spacing w:before="360" w:after="120"/>
      </w:pPr>
      <w:r>
        <w:rPr>
          <w:b/>
          <w:sz w:val="34"/>
          <w:szCs w:val="34"/>
          <w:color w:val="0052CC"/>
        </w:rPr>
        <w:t xml:space="preserve">5. Shipping, Fulfillment &amp; Delivery Rules</w:t>
      </w:r>
    </w:p>
    <w:p>
      <w:pPr>
        <w:spacing w:before="0" w:after="60"/>
      </w:pPr>
      <w:r>
        <w:rPr>
          <w:sz w:val="22"/>
          <w:szCs w:val="22"/>
          <w:color w:val="2D3748"/>
        </w:rPr>
        <w:t xml:space="preserve">• Warehouse Shipping Location: [ City, State, ZIP, Country ]</w:t>
      </w:r>
    </w:p>
    <w:p>
      <w:pPr>
        <w:spacing w:before="0" w:after="60"/>
      </w:pPr>
      <w:r>
        <w:rPr>
          <w:sz w:val="22"/>
          <w:szCs w:val="22"/>
          <w:color w:val="2D3748"/>
        </w:rPr>
        <w:t xml:space="preserve">• Daily Order Cutoff Time for Same-Day Dispatch: [ e.g. 2:00 PM EST ]</w:t>
      </w:r>
    </w:p>
    <w:p>
      <w:pPr>
        <w:spacing w:before="0" w:after="100"/>
      </w:pPr>
      <w:r>
        <w:rPr>
          <w:sz w:val="22"/>
          <w:szCs w:val="22"/>
          <w:color w:val="2D3748"/>
        </w:rPr>
        <w:t xml:space="preserve">• Standard Packaging &amp; Processing Window: [ e.g. 1–2 Business Days ]</w:t>
      </w:r>
    </w:p>
    <w:tbl>
      <w:tblPr>
        <w:tblW w:w="9200" w:type="dxa"/>
        <w:tblBorders>
          <w:top w:val="single" w:sz="4" w:space="0" w:color="CBD5E0"/>
          <w:left w:val="none"/>
          <w:bottom w:val="single" w:sz="8" w:space="0" w:color="A0AEC0"/>
          <w:right w:val="none"/>
          <w:insideH w:val="single" w:sz="4" w:space="0" w:color="E2E8F0"/>
          <w:insideV w:val="none"/>
        </w:tblBorders>
      </w:tblPr>
      <w:tr>
        <w:tc>
          <w:tcPr>
            <w:tcW w:w="3200" w:type="dxa"/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  <w:color w:val="1A202C"/>
              </w:rPr>
              <w:t xml:space="preserve">Shipping Tier</w:t>
            </w:r>
          </w:p>
        </w:tc>
        <w:tc>
          <w:tcPr>
            <w:tcW w:w="6000" w:type="dxa"/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  <w:color w:val="1A202C"/>
              </w:rPr>
              <w:t xml:space="preserve">Primary Carrier</w:t>
            </w:r>
          </w:p>
        </w:tc>
        <w:tc>
          <w:tcPr>
            <w:tcW w:w="3000" w:type="dxa"/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  <w:color w:val="1A202C"/>
              </w:rPr>
              <w:t xml:space="preserve">Delivery Window</w:t>
            </w:r>
          </w:p>
        </w:tc>
        <w:tc>
          <w:tcPr>
            <w:tcW w:w="3000" w:type="dxa"/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  <w:color w:val="1A202C"/>
              </w:rPr>
              <w:t xml:space="preserve">Rate to Customer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Standard Ground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FedEx / UPS / USPS</w:t>
            </w:r>
          </w:p>
        </w:tc>
        <w:tc>
          <w:tcPr>
            <w:tcW w:w="3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3–5 Business Days</w:t>
            </w:r>
          </w:p>
        </w:tc>
        <w:tc>
          <w:tcPr>
            <w:tcW w:w="3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$14.99 or Free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2-Day Expedited Air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FedEx 2Day / UPS 2nd Day</w:t>
            </w:r>
          </w:p>
        </w:tc>
        <w:tc>
          <w:tcPr>
            <w:tcW w:w="3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2 Business Days</w:t>
            </w:r>
          </w:p>
        </w:tc>
        <w:tc>
          <w:tcPr>
            <w:tcW w:w="3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$35.00 ]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Next-Day Priority Air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Priority Overnight</w:t>
            </w:r>
          </w:p>
        </w:tc>
        <w:tc>
          <w:tcPr>
            <w:tcW w:w="3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1 Business Day</w:t>
            </w:r>
          </w:p>
        </w:tc>
        <w:tc>
          <w:tcPr>
            <w:tcW w:w="3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$75.00 ]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Palletized Freight (LTL)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Freight Carrier</w:t>
            </w:r>
          </w:p>
        </w:tc>
        <w:tc>
          <w:tcPr>
            <w:tcW w:w="3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3–7 Business Days</w:t>
            </w:r>
          </w:p>
        </w:tc>
        <w:tc>
          <w:tcPr>
            <w:tcW w:w="3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Custom Quote ]</w:t>
            </w:r>
          </w:p>
        </w:tc>
      </w:tr>
    </w:tbl>
    <w:p>
      <w:pPr>
        <w:spacing w:after="160"/>
      </w:pPr>
    </w:p>
    <w:p>
      <w:pPr>
        <w:spacing w:before="0" w:after="60"/>
      </w:pPr>
      <w:r>
        <w:rPr>
          <w:sz w:val="22"/>
          <w:szCs w:val="22"/>
          <w:color w:val="2D3748"/>
        </w:rPr>
        <w:t xml:space="preserve">• Free Shipping Threshold: [ e.g. Free Ground Shipping on orders exceeding $199 ]</w:t>
      </w:r>
    </w:p>
    <w:p>
      <w:pPr>
        <w:spacing w:before="0" w:after="140"/>
      </w:pPr>
      <w:r>
        <w:rPr>
          <w:sz w:val="22"/>
          <w:szCs w:val="22"/>
          <w:color w:val="2D3748"/>
        </w:rPr>
        <w:t xml:space="preserve">• International Shipping:  [  ] No, Domestic Only   [  ] Yes, Worldwide (Customer pays customs/DAP)</w:t>
      </w:r>
    </w:p>
    <w:p>
      <w:pPr>
        <w:spacing w:before="360" w:after="120"/>
      </w:pPr>
      <w:r>
        <w:rPr>
          <w:b/>
          <w:sz w:val="34"/>
          <w:szCs w:val="34"/>
          <w:color w:val="0052CC"/>
        </w:rPr>
        <w:t xml:space="preserve">6. Enterprise Wholesale &amp; Quote (RFQ) Features</w:t>
      </w:r>
    </w:p>
    <w:p>
      <w:pPr>
        <w:spacing w:before="0" w:after="60"/>
      </w:pPr>
      <w:r>
        <w:rPr>
          <w:sz w:val="22"/>
          <w:szCs w:val="22"/>
          <w:color w:val="2D3748"/>
        </w:rPr>
        <w:t xml:space="preserve">• Bulk Quantity Quote Request (RFQ) Form:  [  ] Yes, enable on product pages   [  ] No</w:t>
      </w:r>
    </w:p>
    <w:p>
      <w:pPr>
        <w:spacing w:before="0" w:after="60"/>
      </w:pPr>
      <w:r>
        <w:rPr>
          <w:sz w:val="22"/>
          <w:szCs w:val="22"/>
          <w:color w:val="2D3748"/>
        </w:rPr>
        <w:t xml:space="preserve">• Quote Processing Commitment (SLA): [ e.g. Mon–Fri, 9AM–6PM EST within 1–2 business hours ]</w:t>
      </w:r>
    </w:p>
    <w:p>
      <w:pPr>
        <w:spacing w:before="0" w:after="60"/>
      </w:pPr>
      <w:r>
        <w:rPr>
          <w:sz w:val="22"/>
          <w:szCs w:val="22"/>
          <w:color w:val="2D3748"/>
        </w:rPr>
        <w:t xml:space="preserve">• Quotes Notification Destination: [ Email:                                       ]</w:t>
      </w:r>
    </w:p>
    <w:p>
      <w:pPr>
        <w:spacing w:before="0" w:after="140"/>
      </w:pPr>
      <w:r>
        <w:rPr>
          <w:sz w:val="22"/>
          <w:szCs w:val="22"/>
          <w:color w:val="2D3748"/>
        </w:rPr>
        <w:t xml:space="preserve">• Minimum Order Quantities (MOQ): [ e.g. None / MOQ applies only to custom chassis ]</w:t>
      </w:r>
    </w:p>
    <w:p>
      <w:pPr>
        <w:spacing w:before="360" w:after="120"/>
      </w:pPr>
      <w:r>
        <w:rPr>
          <w:b/>
          <w:sz w:val="34"/>
          <w:szCs w:val="34"/>
          <w:color w:val="0052CC"/>
        </w:rPr>
        <w:t xml:space="preserve">7. Legal Policies, Compliance &amp; Warranties</w:t>
      </w:r>
    </w:p>
    <w:tbl>
      <w:tblPr>
        <w:tblW w:w="9200" w:type="dxa"/>
        <w:tblBorders>
          <w:top w:val="single" w:sz="4" w:space="0" w:color="CBD5E0"/>
          <w:left w:val="none"/>
          <w:bottom w:val="single" w:sz="8" w:space="0" w:color="A0AEC0"/>
          <w:right w:val="none"/>
          <w:insideH w:val="single" w:sz="4" w:space="0" w:color="E2E8F0"/>
          <w:insideV w:val="none"/>
        </w:tblBorders>
      </w:tblPr>
      <w:tr>
        <w:tc>
          <w:tcPr>
            <w:tcW w:w="3200" w:type="dxa"/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  <w:color w:val="1A202C"/>
              </w:rPr>
              <w:t xml:space="preserve">Policy Subject</w:t>
            </w:r>
          </w:p>
        </w:tc>
        <w:tc>
          <w:tcPr>
            <w:tcW w:w="6000" w:type="dxa"/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  <w:color w:val="1A202C"/>
              </w:rPr>
              <w:t xml:space="preserve">Client Specification / Terms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Governing Legal Jurisdiction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e.g. State of Florida, United States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Return Window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e.g. 30 calendar days from confirmed delivery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RMA Requirement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 ] RMA number mandatory before returning hardware   [  ] Not required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Restocking Fee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 ] 15% on non-defective/buyer remorse   [  ] Zero Restocking Fee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Hardware Warranty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e.g. 30-day replacement warranty by seller + OEM warranty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Privacy Compliance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 ] Standard US Privacy   [  ] CCPA (California)   [  ] GDPR (Europe)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Customer Account Deletion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 ] Yes, allow self-serve delete account from profile as required by privacy law</w:t>
            </w:r>
          </w:p>
        </w:tc>
      </w:tr>
    </w:tbl>
    <w:p>
      <w:pPr>
        <w:spacing w:after="160"/>
      </w:pPr>
    </w:p>
    <w:p>
      <w:pPr>
        <w:spacing w:before="360" w:after="120"/>
      </w:pPr>
      <w:r>
        <w:rPr>
          <w:b/>
          <w:sz w:val="34"/>
          <w:szCs w:val="34"/>
          <w:color w:val="0052CC"/>
        </w:rPr>
        <w:t xml:space="preserve">8. Customer Accounts &amp; Email Notifications</w:t>
      </w:r>
    </w:p>
    <w:p>
      <w:pPr>
        <w:spacing w:before="0" w:after="60"/>
      </w:pPr>
      <w:r>
        <w:rPr>
          <w:sz w:val="22"/>
          <w:szCs w:val="22"/>
          <w:color w:val="2D3748"/>
        </w:rPr>
        <w:t xml:space="preserve">• Checkout Accessibility:  [  ] Guest Checkout Allowed (Recommended)   [  ] Account Mandatory</w:t>
      </w:r>
    </w:p>
    <w:p>
      <w:pPr>
        <w:spacing w:before="0" w:after="60"/>
      </w:pPr>
      <w:r>
        <w:rPr>
          <w:sz w:val="22"/>
          <w:szCs w:val="22"/>
          <w:color w:val="2D3748"/>
        </w:rPr>
        <w:t xml:space="preserve">• Transactional Emails Required: Order Receipt, Payment Status, Tracking Number Dispatch, Quote Confirmation.</w:t>
      </w:r>
    </w:p>
    <w:p>
      <w:pPr>
        <w:spacing w:before="0" w:after="60"/>
      </w:pPr>
      <w:r>
        <w:rPr>
          <w:sz w:val="22"/>
          <w:szCs w:val="22"/>
          <w:color w:val="2D3748"/>
        </w:rPr>
        <w:t xml:space="preserve">• Outgoing Mail (SMTP) Provider: [  ] Hostinger / cPanel Mail   [  ] SendGrid / Postmark / Amazon SES</w:t>
      </w:r>
    </w:p>
    <w:p>
      <w:pPr>
        <w:spacing w:before="0" w:after="60"/>
      </w:pPr>
      <w:r>
        <w:rPr>
          <w:sz w:val="22"/>
          <w:szCs w:val="22"/>
          <w:color w:val="2D3748"/>
        </w:rPr>
        <w:t xml:space="preserve">      • SMTP Host: [                              ]  Port: [ 587 / 465 ]</w:t>
      </w:r>
    </w:p>
    <w:p>
      <w:pPr>
        <w:spacing w:before="0" w:after="60"/>
      </w:pPr>
      <w:r>
        <w:rPr>
          <w:sz w:val="22"/>
          <w:szCs w:val="22"/>
          <w:color w:val="2D3748"/>
        </w:rPr>
        <w:t xml:space="preserve">      • SMTP Username: [                              ]  Password: [ Provide securely ]</w:t>
      </w:r>
    </w:p>
    <w:p>
      <w:pPr>
        <w:spacing w:before="0" w:after="140"/>
      </w:pPr>
      <w:r>
        <w:rPr>
          <w:sz w:val="22"/>
          <w:szCs w:val="22"/>
          <w:color w:val="2D3748"/>
        </w:rPr>
        <w:t xml:space="preserve">• Marketing / Newsletter Platform: [  ] Klaviyo   [  ] Mailchimp   [  ] Internal Database Only</w:t>
      </w:r>
    </w:p>
    <w:p>
      <w:pPr>
        <w:spacing w:before="360" w:after="120"/>
      </w:pPr>
      <w:r>
        <w:rPr>
          <w:b/>
          <w:sz w:val="34"/>
          <w:szCs w:val="34"/>
          <w:color w:val="0052CC"/>
        </w:rPr>
        <w:t xml:space="preserve">9. Hosting, Domain &amp; Technical Access</w:t>
      </w:r>
    </w:p>
    <w:tbl>
      <w:tblPr>
        <w:tblW w:w="9200" w:type="dxa"/>
        <w:tblBorders>
          <w:top w:val="single" w:sz="4" w:space="0" w:color="CBD5E0"/>
          <w:left w:val="none"/>
          <w:bottom w:val="single" w:sz="8" w:space="0" w:color="A0AEC0"/>
          <w:right w:val="none"/>
          <w:insideH w:val="single" w:sz="4" w:space="0" w:color="E2E8F0"/>
          <w:insideV w:val="none"/>
        </w:tblBorders>
      </w:tblPr>
      <w:tr>
        <w:tc>
          <w:tcPr>
            <w:tcW w:w="3200" w:type="dxa"/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  <w:color w:val="1A202C"/>
              </w:rPr>
              <w:t xml:space="preserve">Infrastructure Component</w:t>
            </w:r>
          </w:p>
        </w:tc>
        <w:tc>
          <w:tcPr>
            <w:tcW w:w="6000" w:type="dxa"/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  <w:color w:val="1A202C"/>
              </w:rPr>
              <w:t xml:space="preserve">Provider / Account Details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Domain Registrar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e.g. GoDaddy / Namecheap / Google Domains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DNS Management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e.g. Cloudflare / Hostinger Nameservers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Hosting Environment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 ] Hostinger hPanel   [  ] Vercel + Node API   [  ] Cloud VPS (Ubuntu)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Database Setup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 ] MongoDB Atlas Cloud (Recommended)   [  ] Self-hosted Database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Primary Admin Email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admin@yourdomain.com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Staff User Roles Needed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Order Admin, Product Catalog Editor, Quote Manager</w:t>
            </w:r>
          </w:p>
        </w:tc>
      </w:tr>
    </w:tbl>
    <w:p>
      <w:pPr>
        <w:spacing w:after="160"/>
      </w:pPr>
    </w:p>
    <w:p>
      <w:pPr>
        <w:spacing w:before="360" w:after="120"/>
      </w:pPr>
      <w:r>
        <w:rPr>
          <w:b/>
          <w:sz w:val="34"/>
          <w:szCs w:val="34"/>
          <w:color w:val="0052CC"/>
        </w:rPr>
        <w:t xml:space="preserve">10. Analytics, SEO &amp; Third-Party Tracking</w:t>
      </w:r>
    </w:p>
    <w:tbl>
      <w:tblPr>
        <w:tblW w:w="9200" w:type="dxa"/>
        <w:tblBorders>
          <w:top w:val="single" w:sz="4" w:space="0" w:color="CBD5E0"/>
          <w:left w:val="none"/>
          <w:bottom w:val="single" w:sz="8" w:space="0" w:color="A0AEC0"/>
          <w:right w:val="none"/>
          <w:insideH w:val="single" w:sz="4" w:space="0" w:color="E2E8F0"/>
          <w:insideV w:val="none"/>
        </w:tblBorders>
      </w:tblPr>
      <w:tr>
        <w:tc>
          <w:tcPr>
            <w:tcW w:w="3200" w:type="dxa"/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  <w:color w:val="1A202C"/>
              </w:rPr>
              <w:t xml:space="preserve">Analytics / Marketing Tool</w:t>
            </w:r>
          </w:p>
        </w:tc>
        <w:tc>
          <w:tcPr>
            <w:tcW w:w="6000" w:type="dxa"/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  <w:color w:val="1A202C"/>
              </w:rPr>
              <w:t xml:space="preserve">Measurement ID / Tag ID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Google Analytics 4 (GA4)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G-XXXXXXXXXX or N/A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Google Tag Manager (GTM)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GTM-XXXXXXX or N/A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Google Search Console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Domain Ownership Verification Method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Google Merchant Center (Feed)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Account ID or N/A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Meta / Facebook Pixel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Pixel ID or N/A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Live Chat Widget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e.g. Tidio / Crisp / Intercom / WhatsApp or N/A ]</w:t>
            </w:r>
          </w:p>
        </w:tc>
      </w:tr>
    </w:tbl>
    <w:p>
      <w:pPr>
        <w:spacing w:after="160"/>
      </w:pPr>
    </w:p>
    <w:p>
      <w:pPr>
        <w:spacing w:before="360" w:after="120"/>
      </w:pPr>
      <w:r>
        <w:rPr>
          <w:b/>
          <w:sz w:val="34"/>
          <w:szCs w:val="34"/>
          <w:color w:val="0052CC"/>
        </w:rPr>
        <w:t xml:space="preserve">11. Additional Special Requirements &amp; Sign-Off</w:t>
      </w:r>
    </w:p>
    <w:p>
      <w:pPr>
        <w:spacing w:before="0" w:after="60"/>
      </w:pPr>
      <w:r>
        <w:rPr>
          <w:i/>
          <w:sz w:val="22"/>
          <w:szCs w:val="22"/>
          <w:color w:val="2D3748"/>
        </w:rPr>
        <w:t xml:space="preserve">Special instructions, ERP connectors, or design notes:</w:t>
      </w:r>
    </w:p>
    <w:p>
      <w:pPr>
        <w:spacing w:before="0" w:after="140"/>
      </w:pPr>
      <w:r>
        <w:rPr>
          <w:sz w:val="22"/>
          <w:szCs w:val="22"/>
          <w:color w:val="2D3748"/>
        </w:rPr>
        <w:t xml:space="preserve">[                                                                                                          ]</w:t>
      </w:r>
    </w:p>
    <w:tbl>
      <w:tblPr>
        <w:tblW w:w="9200" w:type="dxa"/>
        <w:tblBorders>
          <w:top w:val="single" w:sz="4" w:space="0" w:color="CBD5E0"/>
          <w:left w:val="none"/>
          <w:bottom w:val="single" w:sz="8" w:space="0" w:color="A0AEC0"/>
          <w:right w:val="none"/>
          <w:insideH w:val="single" w:sz="4" w:space="0" w:color="E2E8F0"/>
          <w:insideV w:val="none"/>
        </w:tblBorders>
      </w:tblPr>
      <w:tr>
        <w:tc>
          <w:tcPr>
            <w:tcW w:w="3200" w:type="dxa"/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  <w:color w:val="1A202C"/>
              </w:rPr>
              <w:t xml:space="preserve">Authorized Client Representative</w:t>
            </w:r>
          </w:p>
        </w:tc>
        <w:tc>
          <w:tcPr>
            <w:tcW w:w="6000" w:type="dxa"/>
            <w:shd w:val="clear" w:color="auto"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  <w:color w:val="1A202C"/>
              </w:rPr>
              <w:t xml:space="preserve">[ Name &amp; Title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Date of Submission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DD / MM / YYYY ]</w:t>
            </w:r>
          </w:p>
        </w:tc>
      </w:tr>
      <w:tr>
        <w:tc>
          <w:tcPr>
            <w:tcW w:w="32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Desired Target Launch Date</w:t>
            </w:r>
          </w:p>
        </w:tc>
        <w:tc>
          <w:tcPr>
            <w:tcW w:w="6000" w:type="dx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sz w:val="20"/>
                <w:color w:val="2D3748"/>
              </w:rPr>
              <w:t xml:space="preserve">[ DD / MM / YYYY ]</w:t>
            </w:r>
          </w:p>
        </w:tc>
      </w:tr>
    </w:tbl>
    <w:p>
      <w:pPr>
        <w:spacing w:after="160"/>
      </w:pP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2D3748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