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8255E3">
      <w:pPr>
        <w:spacing w:before="400"/>
      </w:pPr>
    </w:p>
    <w:p w14:paraId="4F6F867A">
      <w:pPr>
        <w:spacing w:before="0" w:after="80"/>
        <w:jc w:val="center"/>
      </w:pPr>
      <w:r>
        <w:rPr>
          <w:rFonts w:ascii="Times New Roman" w:hAnsi="Times New Roman" w:eastAsia="Times New Roman" w:cs="Times New Roman"/>
          <w:b/>
          <w:bCs/>
          <w:caps/>
          <w:color w:val="2B6CB0"/>
          <w:sz w:val="26"/>
          <w:szCs w:val="26"/>
        </w:rPr>
        <w:t>Master's Thesis</w:t>
      </w:r>
    </w:p>
    <w:p w14:paraId="158A66EC">
      <w:pPr>
        <w:pBdr>
          <w:bottom w:val="single" w:color="9AA5B1" w:sz="10" w:space="8"/>
        </w:pBdr>
        <w:spacing w:after="60"/>
        <w:jc w:val="center"/>
      </w:pPr>
    </w:p>
    <w:p w14:paraId="6996DBAE">
      <w:pPr>
        <w:spacing w:before="500"/>
      </w:pPr>
    </w:p>
    <w:p w14:paraId="61002DCF">
      <w:pPr>
        <w:spacing w:before="0" w:after="240"/>
        <w:jc w:val="center"/>
      </w:pPr>
      <w:r>
        <w:rPr>
          <w:rFonts w:ascii="Times New Roman" w:hAnsi="Times New Roman" w:eastAsia="Times New Roman" w:cs="Times New Roman"/>
          <w:b/>
          <w:bCs/>
          <w:color w:val="1F2933"/>
          <w:sz w:val="36"/>
          <w:szCs w:val="36"/>
        </w:rPr>
        <w:t>Agentic Reasoning and Graph-RAG for Explainable Audio Biomarkers for Depression Detection</w:t>
      </w:r>
    </w:p>
    <w:p w14:paraId="2FF319A6">
      <w:pPr>
        <w:spacing w:before="0" w:after="100"/>
        <w:jc w:val="center"/>
      </w:pPr>
      <w:r>
        <w:rPr>
          <w:rFonts w:ascii="Times New Roman" w:hAnsi="Times New Roman" w:eastAsia="Times New Roman" w:cs="Times New Roman"/>
          <w:i/>
          <w:iCs/>
          <w:color w:val="475569"/>
          <w:sz w:val="22"/>
          <w:szCs w:val="22"/>
        </w:rPr>
        <w:t>An explainable screening-support prototype combining dataset-calibrated acoustic biomarkers, a Clinical Knowledge Graph, and graph-grounded local-LLM report generation</w:t>
      </w:r>
    </w:p>
    <w:p w14:paraId="0AB5BD27">
      <w:pPr>
        <w:spacing w:before="700"/>
      </w:pPr>
    </w:p>
    <w:p w14:paraId="1A4C57C5">
      <w:pPr>
        <w:spacing w:before="0" w:after="60"/>
        <w:jc w:val="center"/>
      </w:pPr>
      <w:r>
        <w:rPr>
          <w:rFonts w:ascii="Times New Roman" w:hAnsi="Times New Roman" w:eastAsia="Times New Roman" w:cs="Times New Roman"/>
          <w:color w:val="64748B"/>
          <w:sz w:val="20"/>
          <w:szCs w:val="20"/>
        </w:rPr>
        <w:t>Submitted by</w:t>
      </w:r>
    </w:p>
    <w:p w14:paraId="40863D87">
      <w:pPr>
        <w:spacing w:before="0" w:after="320"/>
        <w:jc w:val="center"/>
        <w:rPr>
          <w:rFonts w:hint="default"/>
          <w:lang w:val="en-US"/>
        </w:rPr>
      </w:pPr>
      <w:bookmarkStart w:id="0" w:name="_GoBack"/>
      <w:bookmarkEnd w:id="0"/>
      <w:r>
        <w:rPr>
          <w:rFonts w:hint="default" w:cs="Times New Roman"/>
          <w:b/>
          <w:bCs/>
          <w:color w:val="1F2933"/>
          <w:sz w:val="28"/>
          <w:szCs w:val="28"/>
          <w:lang w:val="en-US"/>
        </w:rPr>
        <w:t>ZAIN UL ABDIN</w:t>
      </w:r>
    </w:p>
    <w:p w14:paraId="1C2209D0">
      <w:pPr>
        <w:spacing w:before="0" w:after="40"/>
        <w:jc w:val="center"/>
      </w:pPr>
      <w:r>
        <w:rPr>
          <w:rFonts w:ascii="Times New Roman" w:hAnsi="Times New Roman" w:eastAsia="Times New Roman" w:cs="Times New Roman"/>
          <w:color w:val="475569"/>
          <w:sz w:val="20"/>
          <w:szCs w:val="20"/>
        </w:rPr>
        <w:t>A thesis report submitted in partial fulfilment of the requirements</w:t>
      </w:r>
    </w:p>
    <w:p w14:paraId="590AE20F">
      <w:pPr>
        <w:spacing w:before="0" w:after="320"/>
        <w:jc w:val="center"/>
      </w:pPr>
      <w:r>
        <w:rPr>
          <w:rFonts w:ascii="Times New Roman" w:hAnsi="Times New Roman" w:eastAsia="Times New Roman" w:cs="Times New Roman"/>
          <w:color w:val="475569"/>
          <w:sz w:val="20"/>
          <w:szCs w:val="20"/>
        </w:rPr>
        <w:t>for the degree of Master of Science</w:t>
      </w:r>
    </w:p>
    <w:p w14:paraId="7FD34B42">
      <w:pPr>
        <w:spacing w:before="0" w:after="40"/>
        <w:jc w:val="center"/>
      </w:pPr>
      <w:r>
        <w:rPr>
          <w:rFonts w:ascii="Times New Roman" w:hAnsi="Times New Roman" w:eastAsia="Times New Roman" w:cs="Times New Roman"/>
          <w:color w:val="1F2933"/>
          <w:sz w:val="22"/>
          <w:szCs w:val="22"/>
        </w:rPr>
        <w:t>[Department / Faculty]</w:t>
      </w:r>
    </w:p>
    <w:p w14:paraId="610971A4">
      <w:pPr>
        <w:spacing w:before="0" w:after="320"/>
        <w:jc w:val="center"/>
      </w:pPr>
      <w:r>
        <w:rPr>
          <w:rFonts w:ascii="Times New Roman" w:hAnsi="Times New Roman" w:eastAsia="Times New Roman" w:cs="Times New Roman"/>
          <w:b/>
          <w:bCs/>
          <w:color w:val="1F2933"/>
          <w:sz w:val="22"/>
          <w:szCs w:val="22"/>
        </w:rPr>
        <w:t>[University / Institution]</w:t>
      </w:r>
    </w:p>
    <w:p w14:paraId="06FB0982">
      <w:pPr>
        <w:spacing w:before="0" w:after="40"/>
        <w:jc w:val="center"/>
      </w:pPr>
      <w:r>
        <w:rPr>
          <w:rFonts w:ascii="Times New Roman" w:hAnsi="Times New Roman" w:eastAsia="Times New Roman" w:cs="Times New Roman"/>
          <w:color w:val="475569"/>
          <w:sz w:val="20"/>
          <w:szCs w:val="20"/>
        </w:rPr>
        <w:t>Supervisor: [Supervisor Name]</w:t>
      </w:r>
    </w:p>
    <w:p w14:paraId="7B8C0C0E">
      <w:pPr>
        <w:spacing w:before="200" w:after="120"/>
        <w:jc w:val="center"/>
      </w:pPr>
      <w:r>
        <w:rPr>
          <w:rFonts w:ascii="Times New Roman" w:hAnsi="Times New Roman" w:eastAsia="Times New Roman" w:cs="Times New Roman"/>
          <w:b/>
          <w:bCs/>
          <w:color w:val="1F2933"/>
          <w:sz w:val="22"/>
          <w:szCs w:val="22"/>
        </w:rPr>
        <w:t>October 2026</w:t>
      </w:r>
    </w:p>
    <w:p w14:paraId="05E431B9">
      <w:r>
        <w:br w:type="page"/>
      </w:r>
    </w:p>
    <w:p w14:paraId="3731FF7E">
      <w:pPr>
        <w:sectPr>
          <w:pgSz w:w="11906" w:h="16838"/>
          <w:pgMar w:top="1440" w:right="1440" w:bottom="1440" w:left="2160" w:header="708" w:footer="708" w:gutter="0"/>
          <w:cols w:space="720" w:num="1"/>
          <w:docGrid w:linePitch="360" w:charSpace="0"/>
        </w:sectPr>
      </w:pPr>
    </w:p>
    <w:p w14:paraId="74D0D2FC">
      <w:pPr>
        <w:pStyle w:val="2"/>
        <w:keepNext/>
        <w:spacing w:before="360" w:after="200"/>
      </w:pPr>
      <w:r>
        <w:t>Declaration of Authorship</w:t>
      </w:r>
    </w:p>
    <w:p w14:paraId="0BA0555B">
      <w:pPr>
        <w:spacing w:after="120" w:line="480" w:lineRule="auto"/>
        <w:jc w:val="both"/>
      </w:pPr>
      <w:r>
        <w:rPr>
          <w:rFonts w:ascii="Times New Roman" w:hAnsi="Times New Roman" w:eastAsia="Times New Roman" w:cs="Times New Roman"/>
          <w:sz w:val="24"/>
          <w:szCs w:val="24"/>
        </w:rPr>
        <w:t>I, Ameer Hamza, declare that this thesis titled “Agentic Reasoning and Graph-RAG for Explainable Audio Biomarkers for Depression Detection” and the work presented in it are my own. I confirm that:</w:t>
      </w:r>
    </w:p>
    <w:p w14:paraId="556F19C9">
      <w:pPr>
        <w:pStyle w:val="16"/>
        <w:numPr>
          <w:ilvl w:val="0"/>
          <w:numId w:val="1"/>
        </w:numPr>
        <w:spacing w:after="120" w:line="480" w:lineRule="auto"/>
        <w:jc w:val="both"/>
      </w:pPr>
      <w:r>
        <w:rPr>
          <w:rFonts w:ascii="Times New Roman" w:hAnsi="Times New Roman" w:eastAsia="Times New Roman" w:cs="Times New Roman"/>
          <w:sz w:val="24"/>
          <w:szCs w:val="24"/>
        </w:rPr>
        <w:t>This work was done wholly while in candidature for a master's degree at this institution.</w:t>
      </w:r>
    </w:p>
    <w:p w14:paraId="7370E849">
      <w:pPr>
        <w:pStyle w:val="16"/>
        <w:numPr>
          <w:ilvl w:val="0"/>
          <w:numId w:val="1"/>
        </w:numPr>
        <w:spacing w:after="120" w:line="480" w:lineRule="auto"/>
        <w:jc w:val="both"/>
      </w:pPr>
      <w:r>
        <w:rPr>
          <w:rFonts w:ascii="Times New Roman" w:hAnsi="Times New Roman" w:eastAsia="Times New Roman" w:cs="Times New Roman"/>
          <w:sz w:val="24"/>
          <w:szCs w:val="24"/>
        </w:rPr>
        <w:t>Where I have consulted the published work of others, this is always clearly attributed.</w:t>
      </w:r>
    </w:p>
    <w:p w14:paraId="5E7DBF03">
      <w:pPr>
        <w:pStyle w:val="16"/>
        <w:numPr>
          <w:ilvl w:val="0"/>
          <w:numId w:val="1"/>
        </w:numPr>
        <w:spacing w:after="120" w:line="480" w:lineRule="auto"/>
        <w:jc w:val="both"/>
      </w:pPr>
      <w:r>
        <w:rPr>
          <w:rFonts w:ascii="Times New Roman" w:hAnsi="Times New Roman" w:eastAsia="Times New Roman" w:cs="Times New Roman"/>
          <w:sz w:val="24"/>
          <w:szCs w:val="24"/>
        </w:rPr>
        <w:t>Where I have quoted from the work of others, the source is always given; with the exception of such quotations, this thesis is entirely my own work.</w:t>
      </w:r>
    </w:p>
    <w:p w14:paraId="6C18A8E5">
      <w:pPr>
        <w:pStyle w:val="16"/>
        <w:numPr>
          <w:ilvl w:val="0"/>
          <w:numId w:val="1"/>
        </w:numPr>
        <w:spacing w:after="120" w:line="480" w:lineRule="auto"/>
        <w:jc w:val="both"/>
      </w:pPr>
      <w:r>
        <w:rPr>
          <w:rFonts w:ascii="Times New Roman" w:hAnsi="Times New Roman" w:eastAsia="Times New Roman" w:cs="Times New Roman"/>
          <w:sz w:val="24"/>
          <w:szCs w:val="24"/>
        </w:rPr>
        <w:t>I have acknowledged all main sources of help.</w:t>
      </w:r>
    </w:p>
    <w:p w14:paraId="7176CAD1">
      <w:pPr>
        <w:pStyle w:val="16"/>
        <w:numPr>
          <w:ilvl w:val="0"/>
          <w:numId w:val="1"/>
        </w:numPr>
        <w:spacing w:after="120" w:line="480" w:lineRule="auto"/>
        <w:jc w:val="both"/>
      </w:pPr>
      <w:r>
        <w:rPr>
          <w:rFonts w:ascii="Times New Roman" w:hAnsi="Times New Roman" w:eastAsia="Times New Roman" w:cs="Times New Roman"/>
          <w:sz w:val="24"/>
          <w:szCs w:val="24"/>
        </w:rPr>
        <w:t>The work reported here corresponds to the first three months of the project and is presented as a defensible working prototype rather than a completed diagnostic system.</w:t>
      </w:r>
    </w:p>
    <w:p w14:paraId="5B368AFE">
      <w:pPr>
        <w:spacing w:before="600"/>
      </w:pPr>
      <w:r>
        <w:rPr>
          <w:rFonts w:ascii="Times New Roman" w:hAnsi="Times New Roman" w:eastAsia="Times New Roman" w:cs="Times New Roman"/>
          <w:sz w:val="24"/>
          <w:szCs w:val="24"/>
        </w:rPr>
        <w:t>Signed: ______________________________</w:t>
      </w:r>
    </w:p>
    <w:p w14:paraId="78D9FA1A">
      <w:pPr>
        <w:spacing w:before="200"/>
      </w:pPr>
      <w:r>
        <w:rPr>
          <w:rFonts w:ascii="Times New Roman" w:hAnsi="Times New Roman" w:eastAsia="Times New Roman" w:cs="Times New Roman"/>
          <w:sz w:val="24"/>
          <w:szCs w:val="24"/>
        </w:rPr>
        <w:t>Date: ______________________________</w:t>
      </w:r>
    </w:p>
    <w:p w14:paraId="6FB9F879">
      <w:r>
        <w:br w:type="page"/>
      </w:r>
    </w:p>
    <w:p w14:paraId="288D7DE9">
      <w:pPr>
        <w:pStyle w:val="2"/>
        <w:keepNext/>
        <w:spacing w:before="360" w:after="200"/>
      </w:pPr>
      <w:r>
        <w:t>Abstract</w:t>
      </w:r>
    </w:p>
    <w:p w14:paraId="02952323">
      <w:pPr>
        <w:spacing w:after="120" w:line="480" w:lineRule="auto"/>
        <w:jc w:val="both"/>
      </w:pPr>
      <w:r>
        <w:rPr>
          <w:rFonts w:ascii="Times New Roman" w:hAnsi="Times New Roman" w:eastAsia="Times New Roman" w:cs="Times New Roman"/>
          <w:sz w:val="24"/>
          <w:szCs w:val="24"/>
        </w:rPr>
        <w:t>Speech-based mental-health analysis has become an active research area because clinical interviews carry far more information than their verbal content alone. A speaker's pauses, pitch movement, vocal intensity, spectral structure, rhythm, and hesitation patterns can provide indirect evidence about affective state, cognitive effort, and psychomotor activity. Prior work on datasets such as DAIC-WOZ has shown that acoustic and textual features can support depression screening, particularly when temporal patterns are modelled. However, many successful systems still behave as black boxes: they may output a depression or anxiety risk score, but they do not clearly explain why a particular acoustic pattern is clinically meaningful. This limits trust and practical clinical usefulness.</w:t>
      </w:r>
    </w:p>
    <w:p w14:paraId="73814308">
      <w:pPr>
        <w:spacing w:after="120" w:line="480" w:lineRule="auto"/>
        <w:jc w:val="both"/>
      </w:pPr>
      <w:r>
        <w:rPr>
          <w:rFonts w:ascii="Times New Roman" w:hAnsi="Times New Roman" w:eastAsia="Times New Roman" w:cs="Times New Roman"/>
          <w:sz w:val="24"/>
          <w:szCs w:val="24"/>
        </w:rPr>
        <w:t>This thesis explores a lightweight agentic and Graph-RAG framework for explainable audio-biomarker reporting. The work completed so far covers three foundations. First, numerical speech features are mapped into clinical concepts such as vocal instability, speech disruption, reduced expressivity, and spectral shift. Second, these concepts are represented in a portable Clinical Knowledge Graph implemented in JSON-LD and loaded with NetworkX. Third, the retrieved graph evidence is passed to a local Reporter Agent that uses Gemma through Ollama to generate psychologist- or patient-facing narratives. To avoid relying on arbitrary thresholds, acoustic operating thresholds were calibrated against DAIC-WOZ PHQ-8 labels using PHQ-8 ≥ 10 as the validated depression-screening reference. The calibrated graph currently contains 24 nodes, 27 edges, and 11 biomarker rules.</w:t>
      </w:r>
    </w:p>
    <w:p w14:paraId="1E701CDA">
      <w:pPr>
        <w:spacing w:after="120" w:line="480" w:lineRule="auto"/>
        <w:jc w:val="both"/>
      </w:pPr>
      <w:r>
        <w:rPr>
          <w:rFonts w:ascii="Times New Roman" w:hAnsi="Times New Roman" w:eastAsia="Times New Roman" w:cs="Times New Roman"/>
          <w:sz w:val="24"/>
          <w:szCs w:val="24"/>
        </w:rPr>
        <w:t>The current system should be understood as an explainable screening-support prototype rather than a diagnostic tool. Its purpose is not to claim that a single acoustic feature detects depression. Instead, it uses dataset-calibrated acoustic evidence as an entry point for structured reasoning paths, and then uses a local language model only to express those paths in readable form. Preliminary evaluation on 113 participants yields moderate screening performance (accuracy 72.57%, sensitivity 73.21%, specificity 71.93%, F1 72.57%) and high structural retrieval precision for graph paths relative to a vector baseline, while a disciplined set of caveats is maintained regarding what these figures do and do not establish. This report documents the motivation, literature basis, methodology, system design, implementation, calibrated thresholds, Month 3 Graph-RAG reporting layer, results, limitations, and next development steps.</w:t>
      </w:r>
    </w:p>
    <w:p w14:paraId="43C0FAD8">
      <w:pPr>
        <w:spacing w:before="200"/>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i/>
          <w:iCs/>
          <w:sz w:val="24"/>
          <w:szCs w:val="24"/>
        </w:rPr>
        <w:t>explainable AI; audio biomarkers; depression screening; Graph-RAG; knowledge graph; DAIC-WOZ; PHQ-8; agentic reasoning; local large language models.</w:t>
      </w:r>
    </w:p>
    <w:p w14:paraId="10182F7A">
      <w:r>
        <w:br w:type="page"/>
      </w:r>
    </w:p>
    <w:p w14:paraId="53230A0A">
      <w:pPr>
        <w:pStyle w:val="2"/>
        <w:keepNext/>
        <w:spacing w:before="360" w:after="200"/>
      </w:pPr>
      <w:r>
        <w:t>Acknowledgements</w:t>
      </w:r>
    </w:p>
    <w:p w14:paraId="78221410">
      <w:pPr>
        <w:spacing w:after="120" w:line="480" w:lineRule="auto"/>
        <w:jc w:val="both"/>
      </w:pPr>
      <w:r>
        <w:rPr>
          <w:rFonts w:ascii="Times New Roman" w:hAnsi="Times New Roman" w:eastAsia="Times New Roman" w:cs="Times New Roman"/>
          <w:sz w:val="24"/>
          <w:szCs w:val="24"/>
        </w:rPr>
        <w:t>I would like to express my sincere gratitude to my supervisor for their guidance, patience, and constructive feedback throughout the first three months of this project. Their emphasis on scientific honesty — in particular on calibrating thresholds from data and on stating clearly what the results do and do not establish — has shaped both the system and this report.</w:t>
      </w:r>
    </w:p>
    <w:p w14:paraId="500F62F7">
      <w:pPr>
        <w:spacing w:after="120" w:line="480" w:lineRule="auto"/>
        <w:jc w:val="both"/>
      </w:pPr>
      <w:r>
        <w:rPr>
          <w:rFonts w:ascii="Times New Roman" w:hAnsi="Times New Roman" w:eastAsia="Times New Roman" w:cs="Times New Roman"/>
          <w:sz w:val="24"/>
          <w:szCs w:val="24"/>
        </w:rPr>
        <w:t>I am grateful to the creators and maintainers of the DAIC-WOZ corpus, whose work makes reproducible research on clinical-interview speech possible, and to the open-source communities behind NetworkX, Ollama, and the Gemma models, whose tools underpin the implementation described here.</w:t>
      </w:r>
    </w:p>
    <w:p w14:paraId="4F28FD24">
      <w:pPr>
        <w:spacing w:after="120" w:line="480" w:lineRule="auto"/>
        <w:jc w:val="both"/>
      </w:pPr>
      <w:r>
        <w:rPr>
          <w:rFonts w:ascii="Times New Roman" w:hAnsi="Times New Roman" w:eastAsia="Times New Roman" w:cs="Times New Roman"/>
          <w:sz w:val="24"/>
          <w:szCs w:val="24"/>
        </w:rPr>
        <w:t>Finally, I thank my family and friends for their encouragement and support during this work.</w:t>
      </w:r>
    </w:p>
    <w:p w14:paraId="4B4CA2A0">
      <w:r>
        <w:br w:type="page"/>
      </w:r>
    </w:p>
    <w:p w14:paraId="7C3388E1">
      <w:pPr>
        <w:pStyle w:val="2"/>
        <w:keepNext/>
        <w:spacing w:before="360" w:after="200"/>
      </w:pPr>
      <w:r>
        <w:t>Table of Contents</w:t>
      </w:r>
    </w:p>
    <w:sdt>
      <w:sdtPr>
        <w:alias w:val="Contents"/>
        <w:id w:val="147475023"/>
      </w:sdtPr>
      <w:sdtContent>
        <w:p w14:paraId="3AA9B57F">
          <w:r>
            <w:fldChar w:fldCharType="begin"/>
          </w:r>
          <w:r>
            <w:instrText xml:space="preserve">TOC \h \o "1-3"</w:instrText>
          </w:r>
          <w:r>
            <w:fldChar w:fldCharType="separate"/>
          </w:r>
        </w:p>
        <w:p w14:paraId="1A86974C">
          <w:r>
            <w:fldChar w:fldCharType="end"/>
          </w:r>
        </w:p>
      </w:sdtContent>
    </w:sdt>
    <w:p w14:paraId="77BC8FBE">
      <w:r>
        <w:br w:type="page"/>
      </w:r>
    </w:p>
    <w:p w14:paraId="73DEFEEE">
      <w:pPr>
        <w:pStyle w:val="2"/>
        <w:keepNext/>
        <w:spacing w:before="360" w:after="200"/>
      </w:pPr>
      <w:r>
        <w:t>List of Figures</w:t>
      </w:r>
    </w:p>
    <w:p w14:paraId="3B1F379C">
      <w:pPr>
        <w:tabs>
          <w:tab w:val="left" w:pos="1100"/>
        </w:tabs>
        <w:spacing w:after="60" w:line="300" w:lineRule="auto"/>
      </w:pPr>
      <w:r>
        <w:rPr>
          <w:rFonts w:ascii="Times New Roman" w:hAnsi="Times New Roman" w:eastAsia="Times New Roman" w:cs="Times New Roman"/>
          <w:b/>
          <w:bCs/>
          <w:color w:val="2B6CB0"/>
          <w:sz w:val="22"/>
          <w:szCs w:val="22"/>
        </w:rPr>
        <w:t>Figure 1</w:t>
      </w:r>
      <w:r>
        <w:rPr>
          <w:rFonts w:ascii="Times New Roman" w:hAnsi="Times New Roman" w:eastAsia="Times New Roman" w:cs="Times New Roman"/>
          <w:sz w:val="22"/>
          <w:szCs w:val="22"/>
        </w:rPr>
        <w:tab/>
        <w:t>The end-to-end agentic Graph-RAG pipeline.</w:t>
      </w:r>
    </w:p>
    <w:p w14:paraId="0DDFE02A">
      <w:pPr>
        <w:tabs>
          <w:tab w:val="left" w:pos="1100"/>
        </w:tabs>
        <w:spacing w:after="60" w:line="300" w:lineRule="auto"/>
      </w:pPr>
      <w:r>
        <w:rPr>
          <w:rFonts w:ascii="Times New Roman" w:hAnsi="Times New Roman" w:eastAsia="Times New Roman" w:cs="Times New Roman"/>
          <w:b/>
          <w:bCs/>
          <w:color w:val="2B6CB0"/>
          <w:sz w:val="22"/>
          <w:szCs w:val="22"/>
        </w:rPr>
        <w:t>Figure 2</w:t>
      </w:r>
      <w:r>
        <w:rPr>
          <w:rFonts w:ascii="Times New Roman" w:hAnsi="Times New Roman" w:eastAsia="Times New Roman" w:cs="Times New Roman"/>
          <w:sz w:val="22"/>
          <w:szCs w:val="22"/>
        </w:rPr>
        <w:tab/>
        <w:t>Progression of the project across the first three months.</w:t>
      </w:r>
    </w:p>
    <w:p w14:paraId="339B4FC1">
      <w:pPr>
        <w:tabs>
          <w:tab w:val="left" w:pos="1100"/>
        </w:tabs>
        <w:spacing w:after="60" w:line="300" w:lineRule="auto"/>
      </w:pPr>
      <w:r>
        <w:rPr>
          <w:rFonts w:ascii="Times New Roman" w:hAnsi="Times New Roman" w:eastAsia="Times New Roman" w:cs="Times New Roman"/>
          <w:b/>
          <w:bCs/>
          <w:color w:val="2B6CB0"/>
          <w:sz w:val="22"/>
          <w:szCs w:val="22"/>
        </w:rPr>
        <w:t>Figure 3</w:t>
      </w:r>
      <w:r>
        <w:rPr>
          <w:rFonts w:ascii="Times New Roman" w:hAnsi="Times New Roman" w:eastAsia="Times New Roman" w:cs="Times New Roman"/>
          <w:sz w:val="22"/>
          <w:szCs w:val="22"/>
        </w:rPr>
        <w:tab/>
        <w:t>Schema of the Clinical Knowledge Graph.</w:t>
      </w:r>
    </w:p>
    <w:p w14:paraId="34B0D68E">
      <w:pPr>
        <w:tabs>
          <w:tab w:val="left" w:pos="1100"/>
        </w:tabs>
        <w:spacing w:after="60" w:line="300" w:lineRule="auto"/>
      </w:pPr>
      <w:r>
        <w:rPr>
          <w:rFonts w:ascii="Times New Roman" w:hAnsi="Times New Roman" w:eastAsia="Times New Roman" w:cs="Times New Roman"/>
          <w:b/>
          <w:bCs/>
          <w:color w:val="2B6CB0"/>
          <w:sz w:val="22"/>
          <w:szCs w:val="22"/>
        </w:rPr>
        <w:t>Figure 4</w:t>
      </w:r>
      <w:r>
        <w:rPr>
          <w:rFonts w:ascii="Times New Roman" w:hAnsi="Times New Roman" w:eastAsia="Times New Roman" w:cs="Times New Roman"/>
          <w:sz w:val="22"/>
          <w:szCs w:val="22"/>
        </w:rPr>
        <w:tab/>
        <w:t>The non-diagnostic evidence chain.</w:t>
      </w:r>
    </w:p>
    <w:p w14:paraId="7F6B81DF">
      <w:pPr>
        <w:tabs>
          <w:tab w:val="left" w:pos="1100"/>
        </w:tabs>
        <w:spacing w:after="60" w:line="300" w:lineRule="auto"/>
      </w:pPr>
      <w:r>
        <w:rPr>
          <w:rFonts w:ascii="Times New Roman" w:hAnsi="Times New Roman" w:eastAsia="Times New Roman" w:cs="Times New Roman"/>
          <w:b/>
          <w:bCs/>
          <w:color w:val="2B6CB0"/>
          <w:sz w:val="22"/>
          <w:szCs w:val="22"/>
        </w:rPr>
        <w:t>Figure 5</w:t>
      </w:r>
      <w:r>
        <w:rPr>
          <w:rFonts w:ascii="Times New Roman" w:hAnsi="Times New Roman" w:eastAsia="Times New Roman" w:cs="Times New Roman"/>
          <w:sz w:val="22"/>
          <w:szCs w:val="22"/>
        </w:rPr>
        <w:tab/>
        <w:t>Single-feature balanced accuracy for each calibrated biomarker.</w:t>
      </w:r>
    </w:p>
    <w:p w14:paraId="21358655">
      <w:pPr>
        <w:tabs>
          <w:tab w:val="left" w:pos="1100"/>
        </w:tabs>
        <w:spacing w:after="60" w:line="300" w:lineRule="auto"/>
      </w:pPr>
      <w:r>
        <w:rPr>
          <w:rFonts w:ascii="Times New Roman" w:hAnsi="Times New Roman" w:eastAsia="Times New Roman" w:cs="Times New Roman"/>
          <w:b/>
          <w:bCs/>
          <w:color w:val="2B6CB0"/>
          <w:sz w:val="22"/>
          <w:szCs w:val="22"/>
        </w:rPr>
        <w:t>Figure 6</w:t>
      </w:r>
      <w:r>
        <w:rPr>
          <w:rFonts w:ascii="Times New Roman" w:hAnsi="Times New Roman" w:eastAsia="Times New Roman" w:cs="Times New Roman"/>
          <w:sz w:val="22"/>
          <w:szCs w:val="22"/>
        </w:rPr>
        <w:tab/>
        <w:t>Sensitivity and specificity for each calibrated biomarker.</w:t>
      </w:r>
    </w:p>
    <w:p w14:paraId="38E03986">
      <w:pPr>
        <w:tabs>
          <w:tab w:val="left" w:pos="1100"/>
        </w:tabs>
        <w:spacing w:after="60" w:line="300" w:lineRule="auto"/>
      </w:pPr>
      <w:r>
        <w:rPr>
          <w:rFonts w:ascii="Times New Roman" w:hAnsi="Times New Roman" w:eastAsia="Times New Roman" w:cs="Times New Roman"/>
          <w:b/>
          <w:bCs/>
          <w:color w:val="2B6CB0"/>
          <w:sz w:val="22"/>
          <w:szCs w:val="22"/>
        </w:rPr>
        <w:t>Figure 7</w:t>
      </w:r>
      <w:r>
        <w:rPr>
          <w:rFonts w:ascii="Times New Roman" w:hAnsi="Times New Roman" w:eastAsia="Times New Roman" w:cs="Times New Roman"/>
          <w:sz w:val="22"/>
          <w:szCs w:val="22"/>
        </w:rPr>
        <w:tab/>
        <w:t>Component view of the pipeline.</w:t>
      </w:r>
    </w:p>
    <w:p w14:paraId="18A5AAEE">
      <w:pPr>
        <w:tabs>
          <w:tab w:val="left" w:pos="1100"/>
        </w:tabs>
        <w:spacing w:after="60" w:line="300" w:lineRule="auto"/>
      </w:pPr>
      <w:r>
        <w:rPr>
          <w:rFonts w:ascii="Times New Roman" w:hAnsi="Times New Roman" w:eastAsia="Times New Roman" w:cs="Times New Roman"/>
          <w:b/>
          <w:bCs/>
          <w:color w:val="2B6CB0"/>
          <w:sz w:val="22"/>
          <w:szCs w:val="22"/>
        </w:rPr>
        <w:t>Figure 8</w:t>
      </w:r>
      <w:r>
        <w:rPr>
          <w:rFonts w:ascii="Times New Roman" w:hAnsi="Times New Roman" w:eastAsia="Times New Roman" w:cs="Times New Roman"/>
          <w:sz w:val="22"/>
          <w:szCs w:val="22"/>
        </w:rPr>
        <w:tab/>
        <w:t>Aggregate screening performance across 113 participants.</w:t>
      </w:r>
    </w:p>
    <w:p w14:paraId="69CA96FF">
      <w:pPr>
        <w:tabs>
          <w:tab w:val="left" w:pos="1100"/>
        </w:tabs>
        <w:spacing w:after="60" w:line="300" w:lineRule="auto"/>
      </w:pPr>
      <w:r>
        <w:rPr>
          <w:rFonts w:ascii="Times New Roman" w:hAnsi="Times New Roman" w:eastAsia="Times New Roman" w:cs="Times New Roman"/>
          <w:b/>
          <w:bCs/>
          <w:color w:val="2B6CB0"/>
          <w:sz w:val="22"/>
          <w:szCs w:val="22"/>
        </w:rPr>
        <w:t>Figure 9</w:t>
      </w:r>
      <w:r>
        <w:rPr>
          <w:rFonts w:ascii="Times New Roman" w:hAnsi="Times New Roman" w:eastAsia="Times New Roman" w:cs="Times New Roman"/>
          <w:sz w:val="22"/>
          <w:szCs w:val="22"/>
        </w:rPr>
        <w:tab/>
        <w:t>Retrieval precision: Graph-RAG vs. vector baseline.</w:t>
      </w:r>
    </w:p>
    <w:p w14:paraId="14D5653F">
      <w:r>
        <w:br w:type="page"/>
      </w:r>
    </w:p>
    <w:p w14:paraId="23DBC26B">
      <w:pPr>
        <w:pStyle w:val="2"/>
        <w:keepNext/>
        <w:spacing w:before="360" w:after="200"/>
      </w:pPr>
      <w:r>
        <w:t>List of Tables</w:t>
      </w:r>
    </w:p>
    <w:p w14:paraId="0F188E16">
      <w:pPr>
        <w:tabs>
          <w:tab w:val="left" w:pos="1100"/>
        </w:tabs>
        <w:spacing w:after="60" w:line="300" w:lineRule="auto"/>
      </w:pPr>
      <w:r>
        <w:rPr>
          <w:rFonts w:ascii="Times New Roman" w:hAnsi="Times New Roman" w:eastAsia="Times New Roman" w:cs="Times New Roman"/>
          <w:b/>
          <w:bCs/>
          <w:color w:val="2B6CB0"/>
          <w:sz w:val="22"/>
          <w:szCs w:val="22"/>
        </w:rPr>
        <w:t>Table 1</w:t>
      </w:r>
      <w:r>
        <w:rPr>
          <w:rFonts w:ascii="Times New Roman" w:hAnsi="Times New Roman" w:eastAsia="Times New Roman" w:cs="Times New Roman"/>
          <w:sz w:val="22"/>
          <w:szCs w:val="22"/>
        </w:rPr>
        <w:tab/>
        <w:t>Calibrated acoustic operating thresholds (DAIC-WOZ, PHQ-8 ≥ 10).</w:t>
      </w:r>
    </w:p>
    <w:p w14:paraId="7CB42EAF">
      <w:pPr>
        <w:tabs>
          <w:tab w:val="left" w:pos="1100"/>
        </w:tabs>
        <w:spacing w:after="60" w:line="300" w:lineRule="auto"/>
      </w:pPr>
      <w:r>
        <w:rPr>
          <w:rFonts w:ascii="Times New Roman" w:hAnsi="Times New Roman" w:eastAsia="Times New Roman" w:cs="Times New Roman"/>
          <w:b/>
          <w:bCs/>
          <w:color w:val="2B6CB0"/>
          <w:sz w:val="22"/>
          <w:szCs w:val="22"/>
        </w:rPr>
        <w:t>Table 2</w:t>
      </w:r>
      <w:r>
        <w:rPr>
          <w:rFonts w:ascii="Times New Roman" w:hAnsi="Times New Roman" w:eastAsia="Times New Roman" w:cs="Times New Roman"/>
          <w:sz w:val="22"/>
          <w:szCs w:val="22"/>
        </w:rPr>
        <w:tab/>
        <w:t>Mapping from acoustic features to biomarkers, concepts, and constructs.</w:t>
      </w:r>
    </w:p>
    <w:p w14:paraId="7F506A50">
      <w:pPr>
        <w:tabs>
          <w:tab w:val="left" w:pos="1100"/>
        </w:tabs>
        <w:spacing w:after="60" w:line="300" w:lineRule="auto"/>
      </w:pPr>
      <w:r>
        <w:rPr>
          <w:rFonts w:ascii="Times New Roman" w:hAnsi="Times New Roman" w:eastAsia="Times New Roman" w:cs="Times New Roman"/>
          <w:b/>
          <w:bCs/>
          <w:color w:val="2B6CB0"/>
          <w:sz w:val="22"/>
          <w:szCs w:val="22"/>
        </w:rPr>
        <w:t>Table A.1</w:t>
      </w:r>
      <w:r>
        <w:rPr>
          <w:rFonts w:ascii="Times New Roman" w:hAnsi="Times New Roman" w:eastAsia="Times New Roman" w:cs="Times New Roman"/>
          <w:sz w:val="22"/>
          <w:szCs w:val="22"/>
        </w:rPr>
        <w:tab/>
        <w:t>Full calibrated acoustic operating thresholds.</w:t>
      </w:r>
    </w:p>
    <w:p w14:paraId="380FA9E0">
      <w:r>
        <w:br w:type="page"/>
      </w:r>
    </w:p>
    <w:p w14:paraId="6015880F">
      <w:pPr>
        <w:pStyle w:val="2"/>
        <w:keepNext/>
        <w:spacing w:before="360" w:after="200"/>
      </w:pPr>
      <w:r>
        <w:t>List of Abbreviations</w:t>
      </w:r>
    </w:p>
    <w:p w14:paraId="08E6B7E7">
      <w:pPr>
        <w:tabs>
          <w:tab w:val="left" w:pos="2000"/>
        </w:tabs>
        <w:spacing w:after="60" w:line="300" w:lineRule="auto"/>
      </w:pPr>
      <w:r>
        <w:rPr>
          <w:rFonts w:ascii="Times New Roman" w:hAnsi="Times New Roman" w:eastAsia="Times New Roman" w:cs="Times New Roman"/>
          <w:b/>
          <w:bCs/>
          <w:sz w:val="22"/>
          <w:szCs w:val="22"/>
        </w:rPr>
        <w:t>API</w:t>
      </w:r>
      <w:r>
        <w:rPr>
          <w:rFonts w:ascii="Times New Roman" w:hAnsi="Times New Roman" w:eastAsia="Times New Roman" w:cs="Times New Roman"/>
          <w:sz w:val="22"/>
          <w:szCs w:val="22"/>
        </w:rPr>
        <w:tab/>
        <w:t>Application Programming Interface</w:t>
      </w:r>
    </w:p>
    <w:p w14:paraId="26A07243">
      <w:pPr>
        <w:tabs>
          <w:tab w:val="left" w:pos="2000"/>
        </w:tabs>
        <w:spacing w:after="60" w:line="300" w:lineRule="auto"/>
      </w:pPr>
      <w:r>
        <w:rPr>
          <w:rFonts w:ascii="Times New Roman" w:hAnsi="Times New Roman" w:eastAsia="Times New Roman" w:cs="Times New Roman"/>
          <w:b/>
          <w:bCs/>
          <w:sz w:val="22"/>
          <w:szCs w:val="22"/>
        </w:rPr>
        <w:t>COVAREP</w:t>
      </w:r>
      <w:r>
        <w:rPr>
          <w:rFonts w:ascii="Times New Roman" w:hAnsi="Times New Roman" w:eastAsia="Times New Roman" w:cs="Times New Roman"/>
          <w:sz w:val="22"/>
          <w:szCs w:val="22"/>
        </w:rPr>
        <w:tab/>
        <w:t>Collaborative Voice Analysis Repository</w:t>
      </w:r>
    </w:p>
    <w:p w14:paraId="4E2EF608">
      <w:pPr>
        <w:tabs>
          <w:tab w:val="left" w:pos="2000"/>
        </w:tabs>
        <w:spacing w:after="60" w:line="300" w:lineRule="auto"/>
      </w:pPr>
      <w:r>
        <w:rPr>
          <w:rFonts w:ascii="Times New Roman" w:hAnsi="Times New Roman" w:eastAsia="Times New Roman" w:cs="Times New Roman"/>
          <w:b/>
          <w:bCs/>
          <w:sz w:val="22"/>
          <w:szCs w:val="22"/>
        </w:rPr>
        <w:t>DAIC-WOZ</w:t>
      </w:r>
      <w:r>
        <w:rPr>
          <w:rFonts w:ascii="Times New Roman" w:hAnsi="Times New Roman" w:eastAsia="Times New Roman" w:cs="Times New Roman"/>
          <w:sz w:val="22"/>
          <w:szCs w:val="22"/>
        </w:rPr>
        <w:tab/>
        <w:t>Distress Analysis Interview Corpus – Wizard-of-Oz</w:t>
      </w:r>
    </w:p>
    <w:p w14:paraId="54D46501">
      <w:pPr>
        <w:tabs>
          <w:tab w:val="left" w:pos="2000"/>
        </w:tabs>
        <w:spacing w:after="60" w:line="300" w:lineRule="auto"/>
      </w:pPr>
      <w:r>
        <w:rPr>
          <w:rFonts w:ascii="Times New Roman" w:hAnsi="Times New Roman" w:eastAsia="Times New Roman" w:cs="Times New Roman"/>
          <w:b/>
          <w:bCs/>
          <w:sz w:val="22"/>
          <w:szCs w:val="22"/>
        </w:rPr>
        <w:t>F0</w:t>
      </w:r>
      <w:r>
        <w:rPr>
          <w:rFonts w:ascii="Times New Roman" w:hAnsi="Times New Roman" w:eastAsia="Times New Roman" w:cs="Times New Roman"/>
          <w:sz w:val="22"/>
          <w:szCs w:val="22"/>
        </w:rPr>
        <w:tab/>
        <w:t>Fundamental Frequency</w:t>
      </w:r>
    </w:p>
    <w:p w14:paraId="123CBD51">
      <w:pPr>
        <w:tabs>
          <w:tab w:val="left" w:pos="2000"/>
        </w:tabs>
        <w:spacing w:after="60" w:line="300" w:lineRule="auto"/>
      </w:pPr>
      <w:r>
        <w:rPr>
          <w:rFonts w:ascii="Times New Roman" w:hAnsi="Times New Roman" w:eastAsia="Times New Roman" w:cs="Times New Roman"/>
          <w:b/>
          <w:bCs/>
          <w:sz w:val="22"/>
          <w:szCs w:val="22"/>
        </w:rPr>
        <w:t>F1</w:t>
      </w:r>
      <w:r>
        <w:rPr>
          <w:rFonts w:ascii="Times New Roman" w:hAnsi="Times New Roman" w:eastAsia="Times New Roman" w:cs="Times New Roman"/>
          <w:sz w:val="22"/>
          <w:szCs w:val="22"/>
        </w:rPr>
        <w:tab/>
        <w:t>F1 Score (harmonic mean of precision and recall)</w:t>
      </w:r>
    </w:p>
    <w:p w14:paraId="7C844EC5">
      <w:pPr>
        <w:tabs>
          <w:tab w:val="left" w:pos="2000"/>
        </w:tabs>
        <w:spacing w:after="60" w:line="300" w:lineRule="auto"/>
      </w:pPr>
      <w:r>
        <w:rPr>
          <w:rFonts w:ascii="Times New Roman" w:hAnsi="Times New Roman" w:eastAsia="Times New Roman" w:cs="Times New Roman"/>
          <w:b/>
          <w:bCs/>
          <w:sz w:val="22"/>
          <w:szCs w:val="22"/>
        </w:rPr>
        <w:t>JSON-LD</w:t>
      </w:r>
      <w:r>
        <w:rPr>
          <w:rFonts w:ascii="Times New Roman" w:hAnsi="Times New Roman" w:eastAsia="Times New Roman" w:cs="Times New Roman"/>
          <w:sz w:val="22"/>
          <w:szCs w:val="22"/>
        </w:rPr>
        <w:tab/>
        <w:t>JavaScript Object Notation for Linked Data</w:t>
      </w:r>
    </w:p>
    <w:p w14:paraId="5460A62C">
      <w:pPr>
        <w:tabs>
          <w:tab w:val="left" w:pos="2000"/>
        </w:tabs>
        <w:spacing w:after="60" w:line="300" w:lineRule="auto"/>
      </w:pPr>
      <w:r>
        <w:rPr>
          <w:rFonts w:ascii="Times New Roman" w:hAnsi="Times New Roman" w:eastAsia="Times New Roman" w:cs="Times New Roman"/>
          <w:b/>
          <w:bCs/>
          <w:sz w:val="22"/>
          <w:szCs w:val="22"/>
        </w:rPr>
        <w:t>LLM</w:t>
      </w:r>
      <w:r>
        <w:rPr>
          <w:rFonts w:ascii="Times New Roman" w:hAnsi="Times New Roman" w:eastAsia="Times New Roman" w:cs="Times New Roman"/>
          <w:sz w:val="22"/>
          <w:szCs w:val="22"/>
        </w:rPr>
        <w:tab/>
        <w:t>Large Language Model</w:t>
      </w:r>
    </w:p>
    <w:p w14:paraId="712692B4">
      <w:pPr>
        <w:tabs>
          <w:tab w:val="left" w:pos="2000"/>
        </w:tabs>
        <w:spacing w:after="60" w:line="300" w:lineRule="auto"/>
      </w:pPr>
      <w:r>
        <w:rPr>
          <w:rFonts w:ascii="Times New Roman" w:hAnsi="Times New Roman" w:eastAsia="Times New Roman" w:cs="Times New Roman"/>
          <w:b/>
          <w:bCs/>
          <w:sz w:val="22"/>
          <w:szCs w:val="22"/>
        </w:rPr>
        <w:t>LIME</w:t>
      </w:r>
      <w:r>
        <w:rPr>
          <w:rFonts w:ascii="Times New Roman" w:hAnsi="Times New Roman" w:eastAsia="Times New Roman" w:cs="Times New Roman"/>
          <w:sz w:val="22"/>
          <w:szCs w:val="22"/>
        </w:rPr>
        <w:tab/>
        <w:t>Local Interpretable Model-agnostic Explanations</w:t>
      </w:r>
    </w:p>
    <w:p w14:paraId="37B83131">
      <w:pPr>
        <w:tabs>
          <w:tab w:val="left" w:pos="2000"/>
        </w:tabs>
        <w:spacing w:after="60" w:line="300" w:lineRule="auto"/>
      </w:pPr>
      <w:r>
        <w:rPr>
          <w:rFonts w:ascii="Times New Roman" w:hAnsi="Times New Roman" w:eastAsia="Times New Roman" w:cs="Times New Roman"/>
          <w:b/>
          <w:bCs/>
          <w:sz w:val="22"/>
          <w:szCs w:val="22"/>
        </w:rPr>
        <w:t>MFCC</w:t>
      </w:r>
      <w:r>
        <w:rPr>
          <w:rFonts w:ascii="Times New Roman" w:hAnsi="Times New Roman" w:eastAsia="Times New Roman" w:cs="Times New Roman"/>
          <w:sz w:val="22"/>
          <w:szCs w:val="22"/>
        </w:rPr>
        <w:tab/>
        <w:t>Mel-Frequency Cepstral Coefficient</w:t>
      </w:r>
    </w:p>
    <w:p w14:paraId="65D1E24C">
      <w:pPr>
        <w:tabs>
          <w:tab w:val="left" w:pos="2000"/>
        </w:tabs>
        <w:spacing w:after="60" w:line="300" w:lineRule="auto"/>
      </w:pPr>
      <w:r>
        <w:rPr>
          <w:rFonts w:ascii="Times New Roman" w:hAnsi="Times New Roman" w:eastAsia="Times New Roman" w:cs="Times New Roman"/>
          <w:b/>
          <w:bCs/>
          <w:sz w:val="22"/>
          <w:szCs w:val="22"/>
        </w:rPr>
        <w:t>PHQ-8</w:t>
      </w:r>
      <w:r>
        <w:rPr>
          <w:rFonts w:ascii="Times New Roman" w:hAnsi="Times New Roman" w:eastAsia="Times New Roman" w:cs="Times New Roman"/>
          <w:sz w:val="22"/>
          <w:szCs w:val="22"/>
        </w:rPr>
        <w:tab/>
        <w:t>Patient Health Questionnaire – 8 item</w:t>
      </w:r>
    </w:p>
    <w:p w14:paraId="6EC5C1B5">
      <w:pPr>
        <w:tabs>
          <w:tab w:val="left" w:pos="2000"/>
        </w:tabs>
        <w:spacing w:after="60" w:line="300" w:lineRule="auto"/>
      </w:pPr>
      <w:r>
        <w:rPr>
          <w:rFonts w:ascii="Times New Roman" w:hAnsi="Times New Roman" w:eastAsia="Times New Roman" w:cs="Times New Roman"/>
          <w:b/>
          <w:bCs/>
          <w:sz w:val="22"/>
          <w:szCs w:val="22"/>
        </w:rPr>
        <w:t>RAG</w:t>
      </w:r>
      <w:r>
        <w:rPr>
          <w:rFonts w:ascii="Times New Roman" w:hAnsi="Times New Roman" w:eastAsia="Times New Roman" w:cs="Times New Roman"/>
          <w:sz w:val="22"/>
          <w:szCs w:val="22"/>
        </w:rPr>
        <w:tab/>
        <w:t>Retrieval-Augmented Generation</w:t>
      </w:r>
    </w:p>
    <w:p w14:paraId="17D7FE3E">
      <w:pPr>
        <w:tabs>
          <w:tab w:val="left" w:pos="2000"/>
        </w:tabs>
        <w:spacing w:after="60" w:line="300" w:lineRule="auto"/>
      </w:pPr>
      <w:r>
        <w:rPr>
          <w:rFonts w:ascii="Times New Roman" w:hAnsi="Times New Roman" w:eastAsia="Times New Roman" w:cs="Times New Roman"/>
          <w:b/>
          <w:bCs/>
          <w:sz w:val="22"/>
          <w:szCs w:val="22"/>
        </w:rPr>
        <w:t>RMS</w:t>
      </w:r>
      <w:r>
        <w:rPr>
          <w:rFonts w:ascii="Times New Roman" w:hAnsi="Times New Roman" w:eastAsia="Times New Roman" w:cs="Times New Roman"/>
          <w:sz w:val="22"/>
          <w:szCs w:val="22"/>
        </w:rPr>
        <w:tab/>
        <w:t>Root Mean Square</w:t>
      </w:r>
    </w:p>
    <w:p w14:paraId="558EE4A7">
      <w:pPr>
        <w:tabs>
          <w:tab w:val="left" w:pos="2000"/>
        </w:tabs>
        <w:spacing w:after="60" w:line="300" w:lineRule="auto"/>
      </w:pPr>
      <w:r>
        <w:rPr>
          <w:rFonts w:ascii="Times New Roman" w:hAnsi="Times New Roman" w:eastAsia="Times New Roman" w:cs="Times New Roman"/>
          <w:b/>
          <w:bCs/>
          <w:sz w:val="22"/>
          <w:szCs w:val="22"/>
        </w:rPr>
        <w:t>SHAP</w:t>
      </w:r>
      <w:r>
        <w:rPr>
          <w:rFonts w:ascii="Times New Roman" w:hAnsi="Times New Roman" w:eastAsia="Times New Roman" w:cs="Times New Roman"/>
          <w:sz w:val="22"/>
          <w:szCs w:val="22"/>
        </w:rPr>
        <w:tab/>
        <w:t>SHapley Additive exPlanations</w:t>
      </w:r>
    </w:p>
    <w:p w14:paraId="5A5D8DEA">
      <w:pPr>
        <w:tabs>
          <w:tab w:val="left" w:pos="2000"/>
        </w:tabs>
        <w:spacing w:after="60" w:line="300" w:lineRule="auto"/>
      </w:pPr>
      <w:r>
        <w:rPr>
          <w:rFonts w:ascii="Times New Roman" w:hAnsi="Times New Roman" w:eastAsia="Times New Roman" w:cs="Times New Roman"/>
          <w:b/>
          <w:bCs/>
          <w:sz w:val="22"/>
          <w:szCs w:val="22"/>
        </w:rPr>
        <w:t>XAI</w:t>
      </w:r>
      <w:r>
        <w:rPr>
          <w:rFonts w:ascii="Times New Roman" w:hAnsi="Times New Roman" w:eastAsia="Times New Roman" w:cs="Times New Roman"/>
          <w:sz w:val="22"/>
          <w:szCs w:val="22"/>
        </w:rPr>
        <w:tab/>
        <w:t>Explainable Artificial Intelligence</w:t>
      </w:r>
    </w:p>
    <w:p w14:paraId="31E94148">
      <w:r>
        <w:br w:type="page"/>
      </w:r>
    </w:p>
    <w:p w14:paraId="3494E82B">
      <w:pPr>
        <w:sectPr>
          <w:footerReference r:id="rId3" w:type="default"/>
          <w:pgSz w:w="11906" w:h="16838"/>
          <w:pgMar w:top="1440" w:right="1440" w:bottom="1440" w:left="2160" w:header="708" w:footer="708" w:gutter="0"/>
          <w:pgNumType w:fmt="lowerRoman" w:start="1"/>
          <w:cols w:space="720" w:num="1"/>
          <w:docGrid w:linePitch="360" w:charSpace="0"/>
        </w:sectPr>
      </w:pPr>
    </w:p>
    <w:p w14:paraId="646CDD7A">
      <w:pPr>
        <w:pStyle w:val="2"/>
        <w:keepNext/>
        <w:spacing w:before="360" w:after="200"/>
      </w:pPr>
      <w:r>
        <w:t>1  Introduction</w:t>
      </w:r>
    </w:p>
    <w:p w14:paraId="4588B1E4">
      <w:pPr>
        <w:pStyle w:val="3"/>
        <w:keepNext/>
        <w:spacing w:before="280" w:after="140"/>
      </w:pPr>
      <w:r>
        <w:t>1.1  Background and Motivation</w:t>
      </w:r>
    </w:p>
    <w:p w14:paraId="4D7A3939">
      <w:pPr>
        <w:spacing w:after="120" w:line="480" w:lineRule="auto"/>
        <w:jc w:val="both"/>
      </w:pPr>
      <w:r>
        <w:rPr>
          <w:rFonts w:ascii="Times New Roman" w:hAnsi="Times New Roman" w:eastAsia="Times New Roman" w:cs="Times New Roman"/>
          <w:sz w:val="24"/>
          <w:szCs w:val="24"/>
        </w:rPr>
        <w:t>Mental-health assessment has traditionally depended on clinical interviews, self-report questionnaires, behavioural observation, and the trained judgement of a clinician. Within this process, speech occupies a central and privileged position. When a person describes their difficulties, the verbal content of what they say is only one part of the signal that a clinician perceives. The manner of speaking carries additional information: the length and placement of pauses, the energy and loudness of the voice, the variability of pitch, the tempo and fluency of articulation, and the degree of hesitation before and during responses. Experienced clinicians attend to these paralinguistic cues almost automatically, integrating them with verbal content and situational context to form an impression of a patient's affective and cognitive state.</w:t>
      </w:r>
    </w:p>
    <w:p w14:paraId="5D5F92D6">
      <w:pPr>
        <w:spacing w:after="120" w:line="480" w:lineRule="auto"/>
        <w:jc w:val="both"/>
      </w:pPr>
      <w:r>
        <w:rPr>
          <w:rFonts w:ascii="Times New Roman" w:hAnsi="Times New Roman" w:eastAsia="Times New Roman" w:cs="Times New Roman"/>
          <w:sz w:val="24"/>
          <w:szCs w:val="24"/>
        </w:rPr>
        <w:t>Depression, in particular, has long been associated with observable changes in speech. Psychomotor slowing, one of the recognised features of major depressive disorder, frequently manifests in the voice as reduced speaking rate, longer and more frequent pauses, lower vocal energy, and a flattening of the normal melodic contour of speech. Anxiety, which is often comorbid with depression, may present differently, through heightened arousal, vocal tension, restlessness, and irregular prosody. These associations are not mechanical rules that map a single acoustic measurement onto a diagnosis, but they provide a well-motivated clinical rationale for analysing speech computationally as a source of indirect evidence about mental state.</w:t>
      </w:r>
    </w:p>
    <w:p w14:paraId="16BE9D70">
      <w:pPr>
        <w:spacing w:after="120" w:line="480" w:lineRule="auto"/>
        <w:jc w:val="both"/>
      </w:pPr>
      <w:r>
        <w:rPr>
          <w:rFonts w:ascii="Times New Roman" w:hAnsi="Times New Roman" w:eastAsia="Times New Roman" w:cs="Times New Roman"/>
          <w:sz w:val="24"/>
          <w:szCs w:val="24"/>
        </w:rPr>
        <w:t>The World Health Organization identifies depressive disorders as one of the leading causes of disability worldwide, affecting hundreds of millions of people across all regions and age groups. A large proportion of those affected never receive a formal assessment, whether because of limited access to trained professionals, the stigma that still surrounds mental illness in many communities, or the practical difficulty of recognising symptoms early. Against this background, there is substantial interest in scalable, low-cost tools that can support — though never replace — human clinical judgement. Speech is an especially attractive modality for such tools because it can be captured non-invasively with ordinary equipment, it is produced naturally during an interview, and it is rich in the behavioural cues that clinicians already use.</w:t>
      </w:r>
    </w:p>
    <w:p w14:paraId="48693EB1">
      <w:pPr>
        <w:spacing w:after="120" w:line="480" w:lineRule="auto"/>
        <w:jc w:val="both"/>
      </w:pPr>
      <w:r>
        <w:rPr>
          <w:rFonts w:ascii="Times New Roman" w:hAnsi="Times New Roman" w:eastAsia="Times New Roman" w:cs="Times New Roman"/>
          <w:sz w:val="24"/>
          <w:szCs w:val="24"/>
        </w:rPr>
        <w:t>Over the past decade, machine-learning research has demonstrated that depression-related patterns can be detected from speech and language with encouraging accuracy. Studies conducted on datasets such as the Distress Analysis Interview Corpus Wizard-of-Oz (DAIC-WOZ) corpus have shown that acoustic features, interview transcripts, and temporal sequence models can contribute to the estimation of depression severity. These results are genuinely promising. However, in a mental-health context, predictive accuracy alone is insufficient. The deployment of an automated system that influences how a vulnerable person is screened, understood, or referred raises questions that cannot be answered by an accuracy figure. A clinician needs to be able to inspect the reasoning that led to an output. A patient needs language that is careful, comprehensible, and free of stigmatising phrasing. A supervisor or examiner needs to be confident that the system is grounded in evidence rather than generating plausible-sounding but unsupported explanations.</w:t>
      </w:r>
    </w:p>
    <w:p w14:paraId="61505A02">
      <w:pPr>
        <w:pStyle w:val="3"/>
        <w:keepNext/>
        <w:spacing w:before="280" w:after="140"/>
      </w:pPr>
      <w:r>
        <w:t>1.2  The Explainability Problem</w:t>
      </w:r>
    </w:p>
    <w:p w14:paraId="74F5F0AA">
      <w:pPr>
        <w:spacing w:after="120" w:line="480" w:lineRule="auto"/>
        <w:jc w:val="both"/>
      </w:pPr>
      <w:r>
        <w:rPr>
          <w:rFonts w:ascii="Times New Roman" w:hAnsi="Times New Roman" w:eastAsia="Times New Roman" w:cs="Times New Roman"/>
          <w:sz w:val="24"/>
          <w:szCs w:val="24"/>
        </w:rPr>
        <w:t>The central problem addressed in this thesis is explainability. A conventional machine-learning model trained for depression detection typically produces an output of the form "high depression risk" or a numeric severity estimate. From a clinical standpoint, the more useful questions are different in kind: what specific evidence contributed to this assessment, what does that evidence mean, and how should it be interpreted with appropriate caution? These questions are not peripheral refinements; they determine whether a system can be trusted and used responsibly.</w:t>
      </w:r>
    </w:p>
    <w:p w14:paraId="3F98D8CD">
      <w:pPr>
        <w:spacing w:after="120" w:line="480" w:lineRule="auto"/>
        <w:jc w:val="both"/>
      </w:pPr>
      <w:r>
        <w:rPr>
          <w:rFonts w:ascii="Times New Roman" w:hAnsi="Times New Roman" w:eastAsia="Times New Roman" w:cs="Times New Roman"/>
          <w:sz w:val="24"/>
          <w:szCs w:val="24"/>
        </w:rPr>
        <w:t>The difficulty is especially acute in speech-based systems because individual acoustic features are not diagnoses and cannot be treated as such. A high pause ratio may reflect depression, but it may equally reflect anxiety, fatigue, difficulty with the interview language, an unusually slow or probing interviewer, or simple recording artefacts. A low-energy voice may indicate reduced expressivity associated with depressed mood, but it may also indicate that the microphone was far from the speaker, that the room was acoustically poor, or that the participant was tired. A responsible system must preserve this uncertainty rather than collapsing it into a confident verdict. It must be able to say, in effect, "the following speech patterns were detected; in this dataset and under this processing pipeline these patterns are associated with elevated screening scores; here is how each pattern connects to a clinical concept; and here is why none of this constitutes a diagnosis."</w:t>
      </w:r>
    </w:p>
    <w:p w14:paraId="6425085F">
      <w:pPr>
        <w:spacing w:after="120" w:line="480" w:lineRule="auto"/>
        <w:jc w:val="both"/>
      </w:pPr>
      <w:r>
        <w:rPr>
          <w:rFonts w:ascii="Times New Roman" w:hAnsi="Times New Roman" w:eastAsia="Times New Roman" w:cs="Times New Roman"/>
          <w:sz w:val="24"/>
          <w:szCs w:val="24"/>
        </w:rPr>
        <w:t>Much existing work treats speech cues purely as numerical input features to a classifier. The classifier learns a mapping from features to labels, and the internal basis of that mapping is opaque. Post-hoc feature-attribution methods can indicate which inputs were influential, but, as this thesis will argue in detail, knowing that "pause ratio was important" does not by itself explain what pause ratio means clinically or why it might matter. There is, in short, a gap between machine prediction and clinical interpretation. Closing that gap is the motivating aim of this work.</w:t>
      </w:r>
    </w:p>
    <w:p w14:paraId="5398D18C">
      <w:pPr>
        <w:pStyle w:val="3"/>
        <w:keepNext/>
        <w:spacing w:before="280" w:after="140"/>
      </w:pPr>
      <w:r>
        <w:t>1.3  Proposed Approach: Agentic Reasoning and Graph-RAG</w:t>
      </w:r>
    </w:p>
    <w:p w14:paraId="0D2314A1">
      <w:pPr>
        <w:spacing w:after="120" w:line="480" w:lineRule="auto"/>
        <w:jc w:val="both"/>
      </w:pPr>
      <w:r>
        <w:rPr>
          <w:rFonts w:ascii="Times New Roman" w:hAnsi="Times New Roman" w:eastAsia="Times New Roman" w:cs="Times New Roman"/>
          <w:sz w:val="24"/>
          <w:szCs w:val="24"/>
        </w:rPr>
        <w:t>This thesis proposes and implements an agentic, graph-grounded framework for explainable audio-biomarker reporting. Two ideas are combined. The first is an agentic pipeline: rather than a single monolithic model, the system is decomposed into modular components, each with a clearly defined role. An Analyzer extracts acoustic and conversational features from a recording. A mapping layer, governed by dataset-calibrated thresholds, translates those numerical features into clinical biomarker concepts. A graph retriever searches a Clinical Knowledge Graph for relevant reasoning paths. A Reporter Agent converts the retrieved evidence into a narrative tailored to a particular audience. Because each stage is separate and inspectable, a supervisor can examine the feature values, the threshold decisions, the retrieved paths, and the generated text independently.</w:t>
      </w:r>
    </w:p>
    <w:p w14:paraId="35BEB3B3">
      <w:pPr>
        <w:spacing w:after="120" w:line="480" w:lineRule="auto"/>
        <w:jc w:val="both"/>
      </w:pPr>
      <w:r>
        <w:rPr>
          <w:rFonts w:ascii="Times New Roman" w:hAnsi="Times New Roman" w:eastAsia="Times New Roman" w:cs="Times New Roman"/>
          <w:sz w:val="24"/>
          <w:szCs w:val="24"/>
        </w:rPr>
        <w:t>The second idea is Graph-Retrieval-Augmented Generation (Graph-RAG). Standard retrieval-augmented generation grounds a language model's output by first retrieving relevant text passages and then conditioning generation on them. Graph-RAG differs in that it retrieves structured relationships — entities and the edges between them — rather than only unstructured text chunks. This distinction matters for the present task. The explanation required here is not a single paragraph that happens to mention jitter or pauses; it is a chain of relationships connecting an acoustic measurement to a clinical concept, a symptom-level interpretation, a screening construct, and a recommended follow-up. A representative path is:</w:t>
      </w:r>
    </w:p>
    <w:p w14:paraId="2D384220">
      <w:pPr>
        <w:pBdr>
          <w:left w:val="single" w:color="2B6CB0" w:sz="18" w:space="12"/>
        </w:pBdr>
        <w:spacing w:before="80" w:after="200" w:line="360" w:lineRule="auto"/>
        <w:ind w:left="720" w:right="720"/>
        <w:jc w:val="left"/>
      </w:pPr>
      <w:r>
        <w:rPr>
          <w:rFonts w:ascii="Times New Roman" w:hAnsi="Times New Roman" w:eastAsia="Times New Roman" w:cs="Times New Roman"/>
          <w:i/>
          <w:iCs/>
          <w:color w:val="334155"/>
          <w:sz w:val="23"/>
          <w:szCs w:val="23"/>
        </w:rPr>
        <w:t>High Pause Ratio → Speech Disruption → Difficulty Concentrating → PHQ-8 Depression Severity → Clinical Review</w:t>
      </w:r>
    </w:p>
    <w:p w14:paraId="1576F00E">
      <w:pPr>
        <w:spacing w:after="120" w:line="480" w:lineRule="auto"/>
        <w:jc w:val="both"/>
      </w:pPr>
      <w:r>
        <w:rPr>
          <w:rFonts w:ascii="Times New Roman" w:hAnsi="Times New Roman" w:eastAsia="Times New Roman" w:cs="Times New Roman"/>
          <w:sz w:val="24"/>
          <w:szCs w:val="24"/>
        </w:rPr>
        <w:t>Such a path is not a diagnosis. It is an explanation trace. It makes explicit how a numerical feature becomes a clinical concept and how that concept connects to a screening context and a cautious recommendation. The Reporter Agent is given this path as grounding, so that its narrative is tied to retrieved structure rather than to whatever the underlying language model happens to have memorised during pre-training.</w:t>
      </w:r>
    </w:p>
    <w:p w14:paraId="1FDE31D5">
      <w:pPr>
        <w:keepNext/>
        <w:spacing w:before="160" w:after="80"/>
        <w:jc w:val="center"/>
      </w:pPr>
      <w:r>
        <w:drawing>
          <wp:inline distT="0" distB="0" distL="0" distR="0">
            <wp:extent cx="5577840" cy="151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5577840" cy="1514475"/>
                    </a:xfrm>
                    <a:prstGeom prst="rect">
                      <a:avLst/>
                    </a:prstGeom>
                  </pic:spPr>
                </pic:pic>
              </a:graphicData>
            </a:graphic>
          </wp:inline>
        </w:drawing>
      </w:r>
    </w:p>
    <w:p w14:paraId="3F969781">
      <w:pPr>
        <w:spacing w:after="220"/>
        <w:jc w:val="center"/>
      </w:pPr>
      <w:r>
        <w:rPr>
          <w:rFonts w:ascii="Times New Roman" w:hAnsi="Times New Roman" w:eastAsia="Times New Roman" w:cs="Times New Roman"/>
          <w:i/>
          <w:iCs/>
          <w:color w:val="475569"/>
          <w:sz w:val="20"/>
          <w:szCs w:val="20"/>
        </w:rPr>
        <w:t>Figure 1. The end-to-end agentic Graph-RAG pipeline. Each stage is independently inspectable, and the acoustic evidence chain does not depend on the language model.</w:t>
      </w:r>
    </w:p>
    <w:p w14:paraId="01E39455">
      <w:pPr>
        <w:pStyle w:val="3"/>
        <w:keepNext/>
        <w:spacing w:before="280" w:after="140"/>
      </w:pPr>
      <w:r>
        <w:t>1.4  Scope of Work Completed</w:t>
      </w:r>
    </w:p>
    <w:p w14:paraId="71BD3ECD">
      <w:pPr>
        <w:spacing w:after="120" w:line="480" w:lineRule="auto"/>
        <w:jc w:val="both"/>
      </w:pPr>
      <w:r>
        <w:rPr>
          <w:rFonts w:ascii="Times New Roman" w:hAnsi="Times New Roman" w:eastAsia="Times New Roman" w:cs="Times New Roman"/>
          <w:sz w:val="24"/>
          <w:szCs w:val="24"/>
        </w:rPr>
        <w:t>The work reported in this thesis corresponds to the first three months of the project and should be understood as an explainable screening-support prototype rather than a diagnostic tool. Three foundations have been established. First, numerical speech features — jitter, pause ratio, speech rate, energy, pitch variability, and summaries of the Mel-frequency cepstral coefficients (MFCCs) — are mapped into clinical concepts such as vocal instability, speech disruption, reduced expressivity, and spectral shift. Second, these concepts are represented in a portable Clinical Knowledge Graph implemented in JSON-LD and loaded with NetworkX; the calibrated graph currently contains 24 nodes, 27 edges, and 11 active biomarker rules. Third, retrieved graph evidence is passed to a local Reporter Agent that uses the Gemma family of models through the Ollama runtime to generate psychologist-facing or patient-facing narratives.</w:t>
      </w:r>
    </w:p>
    <w:p w14:paraId="258280D3">
      <w:pPr>
        <w:spacing w:after="120" w:line="480" w:lineRule="auto"/>
        <w:jc w:val="both"/>
      </w:pPr>
      <w:r>
        <w:rPr>
          <w:rFonts w:ascii="Times New Roman" w:hAnsi="Times New Roman" w:eastAsia="Times New Roman" w:cs="Times New Roman"/>
          <w:sz w:val="24"/>
          <w:szCs w:val="24"/>
        </w:rPr>
        <w:t>A distinguishing methodological decision is that the acoustic operating thresholds are not taken from a clinical manual or chosen heuristically. They are calibrated against DAIC-WOZ data using the PHQ-8 questionnaire score, with the widely used cut-off of PHQ-8 ≥ 10 serving as the validated depression-screening reference label. This choice is examined in depth in Chapter 4; its importance is that it avoids pretending that a single acoustic cut-off applies universally across microphones, speakers, languages, and preprocessing pipelines.</w:t>
      </w:r>
    </w:p>
    <w:p w14:paraId="1CD5E765">
      <w:pPr>
        <w:keepNext/>
        <w:spacing w:before="160" w:after="80"/>
        <w:jc w:val="center"/>
      </w:pPr>
      <w:r>
        <w:drawing>
          <wp:inline distT="0" distB="0" distL="0" distR="0">
            <wp:extent cx="5486400" cy="142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5486400" cy="1428750"/>
                    </a:xfrm>
                    <a:prstGeom prst="rect">
                      <a:avLst/>
                    </a:prstGeom>
                  </pic:spPr>
                </pic:pic>
              </a:graphicData>
            </a:graphic>
          </wp:inline>
        </w:drawing>
      </w:r>
    </w:p>
    <w:p w14:paraId="3E84BF21">
      <w:pPr>
        <w:spacing w:after="220"/>
        <w:jc w:val="center"/>
      </w:pPr>
      <w:r>
        <w:rPr>
          <w:rFonts w:ascii="Times New Roman" w:hAnsi="Times New Roman" w:eastAsia="Times New Roman" w:cs="Times New Roman"/>
          <w:i/>
          <w:iCs/>
          <w:color w:val="475569"/>
          <w:sz w:val="20"/>
          <w:szCs w:val="20"/>
        </w:rPr>
        <w:t>Figure 2. Progression of the project across the first three months, from feature-to-concept mapping to a working Graph-RAG reporting pipeline.</w:t>
      </w:r>
    </w:p>
    <w:p w14:paraId="2E4FC7DC">
      <w:pPr>
        <w:pStyle w:val="3"/>
        <w:keepNext/>
        <w:spacing w:before="280" w:after="140"/>
      </w:pPr>
      <w:r>
        <w:t>1.5  Research Question and Objectives</w:t>
      </w:r>
    </w:p>
    <w:p w14:paraId="11621AB0">
      <w:pPr>
        <w:spacing w:after="120" w:line="480" w:lineRule="auto"/>
        <w:jc w:val="both"/>
      </w:pPr>
      <w:r>
        <w:rPr>
          <w:rFonts w:ascii="Times New Roman" w:hAnsi="Times New Roman" w:eastAsia="Times New Roman" w:cs="Times New Roman"/>
          <w:sz w:val="24"/>
          <w:szCs w:val="24"/>
        </w:rPr>
        <w:t>The research question guiding the current stage of the project is:</w:t>
      </w:r>
    </w:p>
    <w:p w14:paraId="23574993">
      <w:pPr>
        <w:pBdr>
          <w:left w:val="single" w:color="2B6CB0" w:sz="18" w:space="12"/>
        </w:pBdr>
        <w:spacing w:before="80" w:after="200" w:line="360" w:lineRule="auto"/>
        <w:ind w:left="720" w:right="720"/>
        <w:jc w:val="left"/>
      </w:pPr>
      <w:r>
        <w:rPr>
          <w:rFonts w:ascii="Times New Roman" w:hAnsi="Times New Roman" w:eastAsia="Times New Roman" w:cs="Times New Roman"/>
          <w:i/>
          <w:iCs/>
          <w:color w:val="334155"/>
          <w:sz w:val="23"/>
          <w:szCs w:val="23"/>
        </w:rPr>
        <w:t>How can acoustic biomarkers extracted from clinical-interview speech be represented in a lightweight knowledge graph so that they support traceable, clinically cautious explanations rather than black-box predictions?</w:t>
      </w:r>
    </w:p>
    <w:p w14:paraId="561FF0A5">
      <w:pPr>
        <w:spacing w:after="120" w:line="480" w:lineRule="auto"/>
        <w:jc w:val="both"/>
      </w:pPr>
      <w:r>
        <w:rPr>
          <w:rFonts w:ascii="Times New Roman" w:hAnsi="Times New Roman" w:eastAsia="Times New Roman" w:cs="Times New Roman"/>
          <w:sz w:val="24"/>
          <w:szCs w:val="24"/>
        </w:rPr>
        <w:t>Several sub-questions follow from this overarching question:</w:t>
      </w:r>
    </w:p>
    <w:p w14:paraId="2238EB61">
      <w:pPr>
        <w:pStyle w:val="16"/>
        <w:numPr>
          <w:ilvl w:val="0"/>
          <w:numId w:val="2"/>
        </w:numPr>
        <w:spacing w:after="120" w:line="480" w:lineRule="auto"/>
        <w:jc w:val="both"/>
      </w:pPr>
      <w:r>
        <w:rPr>
          <w:rFonts w:ascii="Times New Roman" w:hAnsi="Times New Roman" w:eastAsia="Times New Roman" w:cs="Times New Roman"/>
          <w:sz w:val="24"/>
          <w:szCs w:val="24"/>
        </w:rPr>
        <w:t>Which acoustic biomarkers are useful and interpretable enough to include in the first version of the graph?</w:t>
      </w:r>
    </w:p>
    <w:p w14:paraId="48509D18">
      <w:pPr>
        <w:pStyle w:val="16"/>
        <w:numPr>
          <w:ilvl w:val="0"/>
          <w:numId w:val="2"/>
        </w:numPr>
        <w:spacing w:after="120" w:line="480" w:lineRule="auto"/>
        <w:jc w:val="both"/>
      </w:pPr>
      <w:r>
        <w:rPr>
          <w:rFonts w:ascii="Times New Roman" w:hAnsi="Times New Roman" w:eastAsia="Times New Roman" w:cs="Times New Roman"/>
          <w:sz w:val="24"/>
          <w:szCs w:val="24"/>
        </w:rPr>
        <w:t>How can numerical features be translated into clinical concepts without overclaiming their diagnostic significance?</w:t>
      </w:r>
    </w:p>
    <w:p w14:paraId="65F29987">
      <w:pPr>
        <w:pStyle w:val="16"/>
        <w:numPr>
          <w:ilvl w:val="0"/>
          <w:numId w:val="2"/>
        </w:numPr>
        <w:spacing w:after="120" w:line="480" w:lineRule="auto"/>
        <w:jc w:val="both"/>
      </w:pPr>
      <w:r>
        <w:rPr>
          <w:rFonts w:ascii="Times New Roman" w:hAnsi="Times New Roman" w:eastAsia="Times New Roman" w:cs="Times New Roman"/>
          <w:sz w:val="24"/>
          <w:szCs w:val="24"/>
        </w:rPr>
        <w:t>How can operating thresholds be justified through dataset calibration rather than arbitrary assumption?</w:t>
      </w:r>
    </w:p>
    <w:p w14:paraId="1FCA6847">
      <w:pPr>
        <w:pStyle w:val="16"/>
        <w:numPr>
          <w:ilvl w:val="0"/>
          <w:numId w:val="2"/>
        </w:numPr>
        <w:spacing w:after="120" w:line="480" w:lineRule="auto"/>
        <w:jc w:val="both"/>
      </w:pPr>
      <w:r>
        <w:rPr>
          <w:rFonts w:ascii="Times New Roman" w:hAnsi="Times New Roman" w:eastAsia="Times New Roman" w:cs="Times New Roman"/>
          <w:sz w:val="24"/>
          <w:szCs w:val="24"/>
        </w:rPr>
        <w:t>How can graph paths support later multi-persona reporting for different audiences?</w:t>
      </w:r>
    </w:p>
    <w:p w14:paraId="4713A9B9">
      <w:pPr>
        <w:spacing w:after="120" w:line="480" w:lineRule="auto"/>
        <w:jc w:val="both"/>
      </w:pPr>
      <w:r>
        <w:rPr>
          <w:rFonts w:ascii="Times New Roman" w:hAnsi="Times New Roman" w:eastAsia="Times New Roman" w:cs="Times New Roman"/>
          <w:sz w:val="24"/>
          <w:szCs w:val="24"/>
        </w:rPr>
        <w:t>From these questions the following concrete objectives are derived. The project aims (i) to design a feature-to-concept mapping grounded in the speech-depression literature; (ii) to construct an inspectable Clinical Knowledge Graph using portable, lightweight technologies; (iii) to calibrate acoustic operating thresholds against a validated screening label; (iv) to implement graph-based retrieval of explanation paths; and (v) to implement a Reporter Agent that generates audience-appropriate, non-diagnostic narratives grounded in retrieved evidence, with a deterministic fallback that does not depend on a generative model.</w:t>
      </w:r>
    </w:p>
    <w:p w14:paraId="052EC723">
      <w:pPr>
        <w:pStyle w:val="3"/>
        <w:keepNext/>
        <w:spacing w:before="280" w:after="140"/>
      </w:pPr>
      <w:r>
        <w:t>1.6  Contributions</w:t>
      </w:r>
    </w:p>
    <w:p w14:paraId="053957B0">
      <w:pPr>
        <w:spacing w:after="120" w:line="480" w:lineRule="auto"/>
        <w:jc w:val="both"/>
      </w:pPr>
      <w:r>
        <w:rPr>
          <w:rFonts w:ascii="Times New Roman" w:hAnsi="Times New Roman" w:eastAsia="Times New Roman" w:cs="Times New Roman"/>
          <w:sz w:val="24"/>
          <w:szCs w:val="24"/>
        </w:rPr>
        <w:t>The contributions of the work completed so far can be summarised as follows. The thesis contributes a clear and auditable evidence chain that runs from an extracted audio feature, through a calibrated threshold rule, to a biomarker node, a retrieved graph path, and finally a cautious report. It contributes a lightweight Clinical Knowledge Graph that makes clinical reasoning inspectable rather than hiding it inside a classifier. It contributes an honest calibration analysis that quantifies, rather than conceals, the limited standalone power of individual acoustic features and uses that very limitation to justify the graph-based explanatory design. Finally, it contributes a working Month 3 Graph-RAG reporting layer in which retrieved graph evidence is translated into readable clinical narratives by a local language model, with faithfulness preserved by separating evidence selection from language generation.</w:t>
      </w:r>
    </w:p>
    <w:p w14:paraId="41E8C237">
      <w:pPr>
        <w:pStyle w:val="3"/>
        <w:keepNext/>
        <w:spacing w:before="280" w:after="140"/>
      </w:pPr>
      <w:r>
        <w:t>1.7  Structure of the Report</w:t>
      </w:r>
    </w:p>
    <w:p w14:paraId="0E083730">
      <w:pPr>
        <w:spacing w:after="120" w:line="480" w:lineRule="auto"/>
        <w:jc w:val="both"/>
      </w:pPr>
      <w:r>
        <w:rPr>
          <w:rFonts w:ascii="Times New Roman" w:hAnsi="Times New Roman" w:eastAsia="Times New Roman" w:cs="Times New Roman"/>
          <w:sz w:val="24"/>
          <w:szCs w:val="24"/>
        </w:rPr>
        <w:t>The remainder of this report is organised as follows. Chapter 2 provides the background and theoretical foundations required to understand the work, covering speech production and depression, the PHQ-8 screening instrument, acoustic feature definitions, knowledge graphs, retrieval-augmented generation, and explainability in healthcare AI. Chapter 3 reviews the related literature in detail and states the research gap. Chapter 4 presents the methodology, including feature extraction, threshold calibration, graph construction, retrieval, and the Reporter Agent. Chapter 5 describes the system design and architecture. Chapter 6 documents the implementation. Chapter 7 reports the current results and evaluation. Chapter 8 discusses the findings; Chapter 9 addresses ethical and clinical considerations; Chapter 10 sets out limitations and future work; and Chapter 11 concludes. References and appendices follow.</w:t>
      </w:r>
    </w:p>
    <w:p w14:paraId="5D40B1B5">
      <w:r>
        <w:br w:type="page"/>
      </w:r>
    </w:p>
    <w:p w14:paraId="43210815">
      <w:pPr>
        <w:pStyle w:val="2"/>
        <w:keepNext/>
        <w:spacing w:before="360" w:after="200"/>
      </w:pPr>
      <w:r>
        <w:t>2  Background and Theoretical Foundations</w:t>
      </w:r>
    </w:p>
    <w:p w14:paraId="2345DFD8">
      <w:pPr>
        <w:spacing w:after="120" w:line="480" w:lineRule="auto"/>
        <w:jc w:val="both"/>
      </w:pPr>
      <w:r>
        <w:rPr>
          <w:rFonts w:ascii="Times New Roman" w:hAnsi="Times New Roman" w:eastAsia="Times New Roman" w:cs="Times New Roman"/>
          <w:sz w:val="24"/>
          <w:szCs w:val="24"/>
        </w:rPr>
        <w:t>This chapter establishes the conceptual foundations on which the thesis is built. It is written to be self-contained, so that an examiner from either a clinical or a computational background can follow the methodology in later chapters without recourse to external material. It covers the relationship between speech and depression, the PHQ-8 screening instrument and the DAIC-WOZ corpus, the acoustic features used in the system, the fundamentals of knowledge graphs, the principles of retrieval-augmented and graph-augmented generation, local large language models, and the meaning of explainability in a healthcare setting.</w:t>
      </w:r>
    </w:p>
    <w:p w14:paraId="0BFD7F0E">
      <w:pPr>
        <w:pStyle w:val="3"/>
        <w:keepNext/>
        <w:spacing w:before="280" w:after="140"/>
      </w:pPr>
      <w:r>
        <w:t>2.1  Speech Production and Its Clinical Relevance</w:t>
      </w:r>
    </w:p>
    <w:p w14:paraId="2F31FB4D">
      <w:pPr>
        <w:spacing w:after="120" w:line="480" w:lineRule="auto"/>
        <w:jc w:val="both"/>
      </w:pPr>
      <w:r>
        <w:rPr>
          <w:rFonts w:ascii="Times New Roman" w:hAnsi="Times New Roman" w:eastAsia="Times New Roman" w:cs="Times New Roman"/>
          <w:sz w:val="24"/>
          <w:szCs w:val="24"/>
        </w:rPr>
        <w:t>Speech is among the most complex motor-cognitive behaviours that humans produce. Generating even a short spoken response requires the coordination of language planning, lexical retrieval, syntactic construction, respiratory control, laryngeal phonation, and articulatory movement, all under continuous emotional and social modulation. Because so many systems participate, speech is sensitive to disturbances in any of them. This sensitivity is precisely what makes speech clinically informative: a change in affective or cognitive state can leave measurable traces in the acoustic signal even when the speaker is not consciously aware of it and even when the verbal content is unremarkable.</w:t>
      </w:r>
    </w:p>
    <w:p w14:paraId="68B43D45">
      <w:pPr>
        <w:spacing w:after="120" w:line="480" w:lineRule="auto"/>
        <w:jc w:val="both"/>
      </w:pPr>
      <w:r>
        <w:rPr>
          <w:rFonts w:ascii="Times New Roman" w:hAnsi="Times New Roman" w:eastAsia="Times New Roman" w:cs="Times New Roman"/>
          <w:sz w:val="24"/>
          <w:szCs w:val="24"/>
        </w:rPr>
        <w:t>Depression is understood to affect several of these component processes. Cognitive symptoms such as difficulty concentrating and slowed thinking can lengthen the planning time that precedes and interrupts speech, producing longer and more frequent pauses and a slower overall speaking rate. Affective blunting can reduce the normal variation in pitch and loudness that gives speech its expressive melody, yielding a flatter, more monotonous contour. Psychomotor slowing, a core feature in many presentations, can reduce articulatory precision and vocal energy. None of these effects is unique to depression, and none is present in every depressed speaker, but together they form a coherent clinical picture that motivates acoustic analysis.</w:t>
      </w:r>
    </w:p>
    <w:p w14:paraId="0342BF1F">
      <w:pPr>
        <w:spacing w:after="120" w:line="480" w:lineRule="auto"/>
        <w:jc w:val="both"/>
      </w:pPr>
      <w:r>
        <w:rPr>
          <w:rFonts w:ascii="Times New Roman" w:hAnsi="Times New Roman" w:eastAsia="Times New Roman" w:cs="Times New Roman"/>
          <w:sz w:val="24"/>
          <w:szCs w:val="24"/>
        </w:rPr>
        <w:t>It is important to state at the outset a principle that recurs throughout this thesis: an acoustic feature is, at best, weak and non-specific evidence. The same measurable change can arise from many causes. The methodological response adopted here is not to pretend otherwise but to design a system that treats each feature as one piece of interpretable evidence within a larger structured explanation, and that is explicit about uncertainty at every stage.</w:t>
      </w:r>
    </w:p>
    <w:p w14:paraId="59FEDEA2">
      <w:pPr>
        <w:pStyle w:val="3"/>
        <w:keepNext/>
        <w:spacing w:before="280" w:after="140"/>
      </w:pPr>
      <w:r>
        <w:t>2.2  Depression Screening and the PHQ-8</w:t>
      </w:r>
    </w:p>
    <w:p w14:paraId="24FE165B">
      <w:pPr>
        <w:spacing w:after="120" w:line="480" w:lineRule="auto"/>
        <w:jc w:val="both"/>
      </w:pPr>
      <w:r>
        <w:rPr>
          <w:rFonts w:ascii="Times New Roman" w:hAnsi="Times New Roman" w:eastAsia="Times New Roman" w:cs="Times New Roman"/>
          <w:sz w:val="24"/>
          <w:szCs w:val="24"/>
        </w:rPr>
        <w:t>The Patient Health Questionnaire (PHQ) family of instruments provides brief, validated self-report measures of depressive symptoms. The PHQ-8 is a version comprising eight items, each corresponding to a symptom of major depressive disorder as described in standard diagnostic criteria, excluding the item concerning suicidal or self-harm ideation that appears in the nine-item PHQ-9. Each item is scored from 0 ("not at all") to 3 ("nearly every day") according to how often the symptom has been experienced over the preceding two weeks, giving a total score between 0 and 24.</w:t>
      </w:r>
    </w:p>
    <w:p w14:paraId="2A4226C2">
      <w:pPr>
        <w:spacing w:after="120" w:line="480" w:lineRule="auto"/>
        <w:jc w:val="both"/>
      </w:pPr>
      <w:r>
        <w:rPr>
          <w:rFonts w:ascii="Times New Roman" w:hAnsi="Times New Roman" w:eastAsia="Times New Roman" w:cs="Times New Roman"/>
          <w:sz w:val="24"/>
          <w:szCs w:val="24"/>
        </w:rPr>
        <w:t>In large-population and clinical-interview research, a total PHQ-8 score of 10 or greater is commonly used as the threshold indicating clinically significant depressive symptoms. This cut-off has been studied extensively and offers a reasonable balance of sensitivity and specificity for screening purposes. It is essential to be precise about what this threshold is and is not. PHQ-8 ≥ 10 is a validated questionnaire-based screening label; it is not a diagnosis, and it is not an acoustic threshold. In this project it serves a single, well-defined role: it is the reference label against which acoustic operating thresholds are calibrated. The distinction between a validated screening label and a dataset-specific acoustic operating point is central to the methodology and is revisited in Chapter 4.</w:t>
      </w:r>
    </w:p>
    <w:p w14:paraId="005D9333">
      <w:pPr>
        <w:pStyle w:val="3"/>
        <w:keepNext/>
        <w:spacing w:before="280" w:after="140"/>
      </w:pPr>
      <w:r>
        <w:t>2.3  The DAIC-WOZ Corpus</w:t>
      </w:r>
    </w:p>
    <w:p w14:paraId="70BE4AC1">
      <w:pPr>
        <w:spacing w:after="120" w:line="480" w:lineRule="auto"/>
        <w:jc w:val="both"/>
      </w:pPr>
      <w:r>
        <w:rPr>
          <w:rFonts w:ascii="Times New Roman" w:hAnsi="Times New Roman" w:eastAsia="Times New Roman" w:cs="Times New Roman"/>
          <w:sz w:val="24"/>
          <w:szCs w:val="24"/>
        </w:rPr>
        <w:t>The Distress Analysis Interview Corpus (DAIC) and its Wizard-of-Oz subset (DAIC-WOZ) constitute one of the most widely used resources for research on depression detection from clinical-interview speech. The corpus contains recordings of participants interacting with a virtual interviewer, together with transcripts and questionnaire-based labels including PHQ-8 scores. For the present project the corpus is valuable because it couples naturalistic interview speech with a validated screening label, enabling both feature extraction and calibration from the same source.</w:t>
      </w:r>
    </w:p>
    <w:p w14:paraId="487CCDD3">
      <w:pPr>
        <w:spacing w:after="120" w:line="480" w:lineRule="auto"/>
        <w:jc w:val="both"/>
      </w:pPr>
      <w:r>
        <w:rPr>
          <w:rFonts w:ascii="Times New Roman" w:hAnsi="Times New Roman" w:eastAsia="Times New Roman" w:cs="Times New Roman"/>
          <w:sz w:val="24"/>
          <w:szCs w:val="24"/>
        </w:rPr>
        <w:t>Each participant session in the corpus is accompanied by several data streams. Transcripts provide the timing and content of participant and interviewer turns, from which conversational features such as pause ratio and speech rate can be derived. Audio recordings provide the raw waveform from which energy and spectral features are computed. Pre-extracted COVAREP features provide frame-level acoustic descriptors, including the fundamental frequency (F0) contour used in this project to derive pitch statistics and a jitter proxy. The use of three complementary sources is described in detail in Chapter 4.</w:t>
      </w:r>
    </w:p>
    <w:p w14:paraId="23FD2CB5">
      <w:pPr>
        <w:pStyle w:val="3"/>
        <w:keepNext/>
        <w:spacing w:before="280" w:after="140"/>
      </w:pPr>
      <w:r>
        <w:t>2.4  Acoustic Features Used in This Work</w:t>
      </w:r>
    </w:p>
    <w:p w14:paraId="171075BA">
      <w:pPr>
        <w:spacing w:after="120" w:line="480" w:lineRule="auto"/>
        <w:jc w:val="both"/>
      </w:pPr>
      <w:r>
        <w:rPr>
          <w:rFonts w:ascii="Times New Roman" w:hAnsi="Times New Roman" w:eastAsia="Times New Roman" w:cs="Times New Roman"/>
          <w:sz w:val="24"/>
          <w:szCs w:val="24"/>
        </w:rPr>
        <w:t>This section defines the acoustic and conversational features used by the system and explains, for each, both how it is computed and why it is clinically plausible. The definitions are given at a level of detail sufficient for reproduction.</w:t>
      </w:r>
    </w:p>
    <w:p w14:paraId="6AF75670">
      <w:pPr>
        <w:pStyle w:val="4"/>
        <w:keepNext/>
        <w:spacing w:before="220" w:after="120"/>
      </w:pPr>
      <w:r>
        <w:t>2.4.1  Pause Ratio</w:t>
      </w:r>
    </w:p>
    <w:p w14:paraId="53A563B8">
      <w:pPr>
        <w:spacing w:after="120" w:line="480" w:lineRule="auto"/>
        <w:jc w:val="both"/>
      </w:pPr>
      <w:r>
        <w:rPr>
          <w:rFonts w:ascii="Times New Roman" w:hAnsi="Times New Roman" w:eastAsia="Times New Roman" w:cs="Times New Roman"/>
          <w:sz w:val="24"/>
          <w:szCs w:val="24"/>
        </w:rPr>
        <w:t>The pause ratio captures the proportion of the participant's speaking span that is occupied by silence rather than speech. It is derived from transcript timing by measuring the total time span between the participant's first and last response, the total duration of actual participant speech within that span, and the estimated non-speaking time, which is the difference between the two. The pause ratio is the non-speaking time divided by the total response span. A higher pause ratio indicates more hesitation and silence, which is clinically plausible as a correlate of slowed thinking and reduced initiative, although it is equally compatible with anxiety or an unfamiliar interview language.</w:t>
      </w:r>
    </w:p>
    <w:p w14:paraId="47B7101C">
      <w:pPr>
        <w:pStyle w:val="4"/>
        <w:keepNext/>
        <w:spacing w:before="220" w:after="120"/>
      </w:pPr>
      <w:r>
        <w:t>2.4.2  Speech Rate</w:t>
      </w:r>
    </w:p>
    <w:p w14:paraId="0A46D29D">
      <w:pPr>
        <w:spacing w:after="120" w:line="480" w:lineRule="auto"/>
        <w:jc w:val="both"/>
      </w:pPr>
      <w:r>
        <w:rPr>
          <w:rFonts w:ascii="Times New Roman" w:hAnsi="Times New Roman" w:eastAsia="Times New Roman" w:cs="Times New Roman"/>
          <w:sz w:val="24"/>
          <w:szCs w:val="24"/>
        </w:rPr>
        <w:t>Speech rate is computed as the participant's total word count divided by the total duration of participant speech, expressed in words per second. It is a simple and directly interpretable measure of verbal fluency and tempo. Reduced speech rate is a recognised correlate of psychomotor slowing in depression, but, as with all features here, it is non-specific.</w:t>
      </w:r>
    </w:p>
    <w:p w14:paraId="1B3B850F">
      <w:pPr>
        <w:pStyle w:val="4"/>
        <w:keepNext/>
        <w:spacing w:before="220" w:after="120"/>
      </w:pPr>
      <w:r>
        <w:t>2.4.3  Vocal Energy</w:t>
      </w:r>
    </w:p>
    <w:p w14:paraId="40650B64">
      <w:pPr>
        <w:spacing w:after="120" w:line="480" w:lineRule="auto"/>
        <w:jc w:val="both"/>
      </w:pPr>
      <w:r>
        <w:rPr>
          <w:rFonts w:ascii="Times New Roman" w:hAnsi="Times New Roman" w:eastAsia="Times New Roman" w:cs="Times New Roman"/>
          <w:sz w:val="24"/>
          <w:szCs w:val="24"/>
        </w:rPr>
        <w:t>Vocal energy is computed from the audio waveform as the root-mean-square (RMS) amplitude. It reflects the loudness and intensity of the voice. Because raw energy is highly sensitive to recording conditions — microphone type, distance, and gain — it is treated with particular caution and is calibrated within the dataset rather than interpreted against any universal clinical value. Reduced vocal energy is clinically associated with reduced expressivity and low mood, but the measurement is easily confounded by acoustics.</w:t>
      </w:r>
    </w:p>
    <w:p w14:paraId="5F1AED35">
      <w:pPr>
        <w:pStyle w:val="4"/>
        <w:keepNext/>
        <w:spacing w:before="220" w:after="120"/>
      </w:pPr>
      <w:r>
        <w:t>2.4.4  Mel-Frequency Cepstral Coefficients</w:t>
      </w:r>
    </w:p>
    <w:p w14:paraId="27C37090">
      <w:pPr>
        <w:spacing w:after="120" w:line="480" w:lineRule="auto"/>
        <w:jc w:val="both"/>
      </w:pPr>
      <w:r>
        <w:rPr>
          <w:rFonts w:ascii="Times New Roman" w:hAnsi="Times New Roman" w:eastAsia="Times New Roman" w:cs="Times New Roman"/>
          <w:sz w:val="24"/>
          <w:szCs w:val="24"/>
        </w:rPr>
        <w:t>Mel-frequency cepstral coefficients (MFCCs) are a compact representation of the short-term power spectrum of a signal on a perceptually motivated (mel) frequency scale. They are among the most widely used features in speech processing because they summarise spectral shape efficiently. In this project the means and standard deviations of the first few MFCCs are recorded; these capture aspects of spectral shape and spectral variability over time. MFCCs are less directly interpretable than pause ratio or speech rate — no clinician reasons in terms of the third cepstral coefficient — and so the graph maps them to the broader, more interpretable concept of spectral shift rather than to a specific symptom.</w:t>
      </w:r>
    </w:p>
    <w:p w14:paraId="00EAB254">
      <w:pPr>
        <w:pStyle w:val="4"/>
        <w:keepNext/>
        <w:spacing w:before="220" w:after="120"/>
      </w:pPr>
      <w:r>
        <w:t>2.4.5  Pitch Statistics and the Jitter Proxy</w:t>
      </w:r>
    </w:p>
    <w:p w14:paraId="749D969D">
      <w:pPr>
        <w:spacing w:after="120" w:line="480" w:lineRule="auto"/>
        <w:jc w:val="both"/>
      </w:pPr>
      <w:r>
        <w:rPr>
          <w:rFonts w:ascii="Times New Roman" w:hAnsi="Times New Roman" w:eastAsia="Times New Roman" w:cs="Times New Roman"/>
          <w:sz w:val="24"/>
          <w:szCs w:val="24"/>
        </w:rPr>
        <w:t>Pitch mean and pitch standard deviation are computed from the COVAREP F0 contour, treating positive F0 values as voiced frames. Pitch mean reflects the central tendency of the speaker's fundamental frequency, while pitch standard deviation reflects the variability of intonation; reduced pitch variability is a plausible correlate of affective flattening. A jitter proxy is computed as the average relative frame-to-frame change in the fundamental period. It is important to be candid about what this measure is: it is an operational acoustic-instability feature derived from F0, not a clinical voice-disorder jitter measurement obtained under a controlled laryngological protocol. The thesis therefore labels it a proxy and does not treat it as a validated clinical marker.</w:t>
      </w:r>
    </w:p>
    <w:p w14:paraId="52BBDFDB">
      <w:pPr>
        <w:pStyle w:val="4"/>
        <w:keepNext/>
        <w:spacing w:before="220" w:after="120"/>
      </w:pPr>
      <w:r>
        <w:t>2.4.6  Confounding Factors</w:t>
      </w:r>
    </w:p>
    <w:p w14:paraId="3C76AF42">
      <w:pPr>
        <w:spacing w:after="120" w:line="480" w:lineRule="auto"/>
        <w:jc w:val="both"/>
      </w:pPr>
      <w:r>
        <w:rPr>
          <w:rFonts w:ascii="Times New Roman" w:hAnsi="Times New Roman" w:eastAsia="Times New Roman" w:cs="Times New Roman"/>
          <w:sz w:val="24"/>
          <w:szCs w:val="24"/>
        </w:rPr>
        <w:t>Each of the features defined above can be influenced by factors that have nothing to do with mental state, and a responsible system must take this into account rather than ignore it. The confounds fall into three broad groups. Technical confounds arise from the recording chain: microphone type and placement, room acoustics, background noise, sampling rate, and gain all affect energy and spectral features in particular, which is why vocal energy is treated with special caution. Linguistic and demographic confounds arise from the speaker: age and sex strongly influence pitch, while native language, accent, and individual speaking style influence pause and rate measures. Situational confounds arise from the interview itself: an unfamiliar or unusually slow interviewer, fatigue, the time of day, and the topic under discussion can all change how a person speaks.</w:t>
      </w:r>
    </w:p>
    <w:p w14:paraId="0FD1830E">
      <w:pPr>
        <w:spacing w:after="120" w:line="480" w:lineRule="auto"/>
        <w:jc w:val="both"/>
      </w:pPr>
      <w:r>
        <w:rPr>
          <w:rFonts w:ascii="Times New Roman" w:hAnsi="Times New Roman" w:eastAsia="Times New Roman" w:cs="Times New Roman"/>
          <w:sz w:val="24"/>
          <w:szCs w:val="24"/>
        </w:rPr>
        <w:t>These confounds matter because they overlap with the very patterns associated with depression. A long pause may reflect psychomotor slowing, but it may equally reflect a participant searching for a word in a second language; a low-energy voice may reflect reduced expressivity, but it may equally reflect a distant microphone. Because the confounding and clinical interpretations cannot be separated from a single measurement, no individual feature can responsibly be read in isolation. The design adopted in this thesis responds to this reality in two complementary ways: by calibrating thresholds within the dataset rather than importing universal cut-offs, and by treating each feature as one piece of hedged evidence inside a structured explanation rather than as a standalone indicator. The knowledge graph is, in part, a mechanism for holding several weak and confoundable signals together in a form that preserves their uncertainty.</w:t>
      </w:r>
    </w:p>
    <w:p w14:paraId="310CDE6F">
      <w:pPr>
        <w:pStyle w:val="3"/>
        <w:keepNext/>
        <w:spacing w:before="280" w:after="140"/>
      </w:pPr>
      <w:r>
        <w:t>2.5  Knowledge Graphs</w:t>
      </w:r>
    </w:p>
    <w:p w14:paraId="53143176">
      <w:pPr>
        <w:spacing w:after="120" w:line="480" w:lineRule="auto"/>
        <w:jc w:val="both"/>
      </w:pPr>
      <w:r>
        <w:rPr>
          <w:rFonts w:ascii="Times New Roman" w:hAnsi="Times New Roman" w:eastAsia="Times New Roman" w:cs="Times New Roman"/>
          <w:sz w:val="24"/>
          <w:szCs w:val="24"/>
        </w:rPr>
        <w:t>A knowledge graph represents information as a set of entities (nodes) connected by typed relationships (edges). This structure is well suited to domains in which the relationships between concepts are as important as the concepts themselves, which is characteristically the case in medicine. In a clinical knowledge graph, nodes may represent symptoms, biomarkers, diagnoses, screening constructs, and interventions, while edges represent relationships such as "indicates," "contributes to," or "is treated by." Representing knowledge in this explicit relational form supports traceability, semantic reasoning, and interpretable decision support, because the path connecting two concepts can be inspected directly.</w:t>
      </w:r>
    </w:p>
    <w:p w14:paraId="3411C530">
      <w:pPr>
        <w:spacing w:after="120" w:line="480" w:lineRule="auto"/>
        <w:jc w:val="both"/>
      </w:pPr>
      <w:r>
        <w:rPr>
          <w:rFonts w:ascii="Times New Roman" w:hAnsi="Times New Roman" w:eastAsia="Times New Roman" w:cs="Times New Roman"/>
          <w:sz w:val="24"/>
          <w:szCs w:val="24"/>
        </w:rPr>
        <w:t>The present work adopts a deliberately lightweight interpretation of this idea. It does not attempt to build a comprehensive psychiatric ontology, which would be infeasible within a master's project and unnecessary for the current aim. Instead it constructs a focused graph around the specific acoustic biomarkers the system uses. The graph is serialised in JSON-LD, a portable JSON-based format for linked data, and loaded into NetworkX, a Python library for graph construction and traversal. This combination provides enough structure for graph-based retrieval while keeping the implementation small, inspectable, and easy to modify — properties that matter more than scale at this stage of the research.</w:t>
      </w:r>
    </w:p>
    <w:p w14:paraId="3A9ED5D6">
      <w:pPr>
        <w:keepNext/>
        <w:spacing w:before="160" w:after="80"/>
        <w:jc w:val="center"/>
      </w:pPr>
      <w:r>
        <w:drawing>
          <wp:inline distT="0" distB="0" distL="0" distR="0">
            <wp:extent cx="5852160" cy="3505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5852160" cy="3505200"/>
                    </a:xfrm>
                    <a:prstGeom prst="rect">
                      <a:avLst/>
                    </a:prstGeom>
                  </pic:spPr>
                </pic:pic>
              </a:graphicData>
            </a:graphic>
          </wp:inline>
        </w:drawing>
      </w:r>
    </w:p>
    <w:p w14:paraId="242277B5">
      <w:pPr>
        <w:spacing w:after="220"/>
        <w:jc w:val="center"/>
      </w:pPr>
      <w:r>
        <w:rPr>
          <w:rFonts w:ascii="Times New Roman" w:hAnsi="Times New Roman" w:eastAsia="Times New Roman" w:cs="Times New Roman"/>
          <w:i/>
          <w:iCs/>
          <w:color w:val="475569"/>
          <w:sz w:val="20"/>
          <w:szCs w:val="20"/>
        </w:rPr>
        <w:t>Figure 3. Schema of the Clinical Knowledge Graph showing the layered node types — Biomarker, ClinicalConcept, Symptom, ScreeningConstruct, and Risk/Intervention — and an illustrative subset of the cautious, directed edges connecting them.</w:t>
      </w:r>
    </w:p>
    <w:p w14:paraId="6B046C59">
      <w:pPr>
        <w:pStyle w:val="3"/>
        <w:keepNext/>
        <w:spacing w:before="280" w:after="140"/>
      </w:pPr>
      <w:r>
        <w:t>2.6  Retrieval-Augmented Generation</w:t>
      </w:r>
    </w:p>
    <w:p w14:paraId="6060C17A">
      <w:pPr>
        <w:spacing w:after="120" w:line="480" w:lineRule="auto"/>
        <w:jc w:val="both"/>
      </w:pPr>
      <w:r>
        <w:rPr>
          <w:rFonts w:ascii="Times New Roman" w:hAnsi="Times New Roman" w:eastAsia="Times New Roman" w:cs="Times New Roman"/>
          <w:sz w:val="24"/>
          <w:szCs w:val="24"/>
        </w:rPr>
        <w:t>Large language models store a great deal of information implicitly in their parameters, but relying on this parametric memory alone is risky when factual accuracy matters: a model may generate fluent text that is not supported by any reliable source. Retrieval-augmented generation (RAG) addresses this by retrieving relevant external knowledge before generation and conditioning the model's output on it. The retrieved material acts as grounding, reducing the model's reliance on potentially unreliable memory and making its outputs more controllable and verifiable.</w:t>
      </w:r>
    </w:p>
    <w:p w14:paraId="4C946BB0">
      <w:pPr>
        <w:spacing w:after="120" w:line="480" w:lineRule="auto"/>
        <w:jc w:val="both"/>
      </w:pPr>
      <w:r>
        <w:rPr>
          <w:rFonts w:ascii="Times New Roman" w:hAnsi="Times New Roman" w:eastAsia="Times New Roman" w:cs="Times New Roman"/>
          <w:sz w:val="24"/>
          <w:szCs w:val="24"/>
        </w:rPr>
        <w:t>Conventional RAG retrieves unstructured text chunks, typically by embedding a query and the candidate passages into a vector space and selecting the nearest passages. This works well when the answer is contained in a retrievable passage. It is less natural when the required explanation is relational — when it depends on a chain of connections among entities rather than on the content of any single passage. This limitation is directly relevant to the present task, as the next section explains.</w:t>
      </w:r>
    </w:p>
    <w:p w14:paraId="2222B891">
      <w:pPr>
        <w:pStyle w:val="3"/>
        <w:keepNext/>
        <w:spacing w:before="280" w:after="140"/>
      </w:pPr>
      <w:r>
        <w:t>2.7  Graph-RAG</w:t>
      </w:r>
    </w:p>
    <w:p w14:paraId="4E4D7110">
      <w:pPr>
        <w:spacing w:after="120" w:line="480" w:lineRule="auto"/>
        <w:jc w:val="both"/>
      </w:pPr>
      <w:r>
        <w:rPr>
          <w:rFonts w:ascii="Times New Roman" w:hAnsi="Times New Roman" w:eastAsia="Times New Roman" w:cs="Times New Roman"/>
          <w:sz w:val="24"/>
          <w:szCs w:val="24"/>
        </w:rPr>
        <w:t>Graph-RAG extends retrieval-augmented generation by making the retrieved context relational. Instead of (or in addition to) retrieving text chunks, it retrieves entities and the edges connecting them, so that the grounding supplied to the language model is a structured subgraph or path rather than a flat passage. This is advantageous when a task requires connecting information across multiple entities and relationships — exactly the situation in explainable biomarker reporting, where the explanation is a path from acoustic evidence to clinical concept to screening construct to recommendation.</w:t>
      </w:r>
    </w:p>
    <w:p w14:paraId="2A8E5EDD">
      <w:pPr>
        <w:spacing w:after="120" w:line="480" w:lineRule="auto"/>
        <w:jc w:val="both"/>
      </w:pPr>
      <w:r>
        <w:rPr>
          <w:rFonts w:ascii="Times New Roman" w:hAnsi="Times New Roman" w:eastAsia="Times New Roman" w:cs="Times New Roman"/>
          <w:sz w:val="24"/>
          <w:szCs w:val="24"/>
        </w:rPr>
        <w:t>In this project, Graph-RAG serves a specific safety function in addition to its explanatory one. By supplying the Reporter Agent with an explicit retrieved path, the system constrains the space of acceptable outputs: the model is asked to express a path that has already been selected by deterministic graph traversal, rather than to invent an explanation from memory. The retrieved path and the generated narrative are stored separately, so that the faithfulness of the narrative to the evidence can be audited after the fact.</w:t>
      </w:r>
    </w:p>
    <w:p w14:paraId="4EFA3200">
      <w:pPr>
        <w:keepNext/>
        <w:spacing w:before="160" w:after="80"/>
        <w:jc w:val="center"/>
      </w:pPr>
      <w:r>
        <w:drawing>
          <wp:inline distT="0" distB="0" distL="0" distR="0">
            <wp:extent cx="5577840" cy="1028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rcRect/>
                    <a:stretch>
                      <a:fillRect/>
                    </a:stretch>
                  </pic:blipFill>
                  <pic:spPr>
                    <a:xfrm>
                      <a:off x="0" y="0"/>
                      <a:ext cx="5577840" cy="1028700"/>
                    </a:xfrm>
                    <a:prstGeom prst="rect">
                      <a:avLst/>
                    </a:prstGeom>
                  </pic:spPr>
                </pic:pic>
              </a:graphicData>
            </a:graphic>
          </wp:inline>
        </w:drawing>
      </w:r>
    </w:p>
    <w:p w14:paraId="1BEB778B">
      <w:pPr>
        <w:spacing w:after="220"/>
        <w:jc w:val="center"/>
      </w:pPr>
      <w:r>
        <w:rPr>
          <w:rFonts w:ascii="Times New Roman" w:hAnsi="Times New Roman" w:eastAsia="Times New Roman" w:cs="Times New Roman"/>
          <w:i/>
          <w:iCs/>
          <w:color w:val="475569"/>
          <w:sz w:val="20"/>
          <w:szCs w:val="20"/>
        </w:rPr>
        <w:t>Figure 4. The non-diagnostic evidence chain. Evidence is selected deterministically before any language generation occurs, so the clinical content does not depend on the generative model.</w:t>
      </w:r>
    </w:p>
    <w:p w14:paraId="3BF1A759">
      <w:pPr>
        <w:pStyle w:val="3"/>
        <w:keepNext/>
        <w:spacing w:before="280" w:after="140"/>
      </w:pPr>
      <w:r>
        <w:t>2.8  Local Large Language Models and the Ollama Runtime</w:t>
      </w:r>
    </w:p>
    <w:p w14:paraId="35339857">
      <w:pPr>
        <w:spacing w:after="120" w:line="480" w:lineRule="auto"/>
        <w:jc w:val="both"/>
      </w:pPr>
      <w:r>
        <w:rPr>
          <w:rFonts w:ascii="Times New Roman" w:hAnsi="Times New Roman" w:eastAsia="Times New Roman" w:cs="Times New Roman"/>
          <w:sz w:val="24"/>
          <w:szCs w:val="24"/>
        </w:rPr>
        <w:t>The Reporter Agent in this project uses a local large language model rather than a cloud-hosted service. The model family used is Gemma, a set of lightweight open models suitable for text generation and reasoning, and it is run through Ollama, a runtime that exposes a local HTTP API for model inference on the user's own machine. The specific model tested is small enough to run on a laptop, which keeps the system reproducible on modest hardware.</w:t>
      </w:r>
    </w:p>
    <w:p w14:paraId="02037256">
      <w:pPr>
        <w:spacing w:after="120" w:line="480" w:lineRule="auto"/>
        <w:jc w:val="both"/>
      </w:pPr>
      <w:r>
        <w:rPr>
          <w:rFonts w:ascii="Times New Roman" w:hAnsi="Times New Roman" w:eastAsia="Times New Roman" w:cs="Times New Roman"/>
          <w:sz w:val="24"/>
          <w:szCs w:val="24"/>
        </w:rPr>
        <w:t>Local inference is a deliberate choice with a clear rationale in this domain. Mental-health data, including the findings derived from a person's speech, are sensitive. Running the language model locally means that audio-derived findings need not be transmitted to an external provider, which reduces privacy risk and keeps the pipeline self-contained. The architecture does not, however, depend on the language model being available: if the local model is not running, is not installed, or times out, the system records the condition and still returns a deterministic, graph-grounded report. This fallback is discussed further in Chapters 4 and 5.</w:t>
      </w:r>
    </w:p>
    <w:p w14:paraId="0D9F7D02">
      <w:pPr>
        <w:pStyle w:val="3"/>
        <w:keepNext/>
        <w:spacing w:before="280" w:after="140"/>
      </w:pPr>
      <w:r>
        <w:t>2.9  Explainability in Healthcare AI</w:t>
      </w:r>
    </w:p>
    <w:p w14:paraId="2A385AD7">
      <w:pPr>
        <w:spacing w:after="120" w:line="480" w:lineRule="auto"/>
        <w:jc w:val="both"/>
      </w:pPr>
      <w:r>
        <w:rPr>
          <w:rFonts w:ascii="Times New Roman" w:hAnsi="Times New Roman" w:eastAsia="Times New Roman" w:cs="Times New Roman"/>
          <w:sz w:val="24"/>
          <w:szCs w:val="24"/>
        </w:rPr>
        <w:t>Explainability in medical artificial intelligence is not merely a technical nicety; it is a practical and ethical requirement. A system whose outputs may influence screening, referral, or a patient's self-understanding must allow its users to understand the basis of those outputs. The requirement is particularly strong in mental health, where outputs can affect trust, stigma, and clinical decisions, and where the underlying constructs are inherently uncertain.</w:t>
      </w:r>
    </w:p>
    <w:p w14:paraId="12E7D1A4">
      <w:pPr>
        <w:spacing w:after="120" w:line="480" w:lineRule="auto"/>
        <w:jc w:val="both"/>
      </w:pPr>
      <w:r>
        <w:rPr>
          <w:rFonts w:ascii="Times New Roman" w:hAnsi="Times New Roman" w:eastAsia="Times New Roman" w:cs="Times New Roman"/>
          <w:sz w:val="24"/>
          <w:szCs w:val="24"/>
        </w:rPr>
        <w:t>It is useful to distinguish two layers of explanation that are often conflated. The first is feature attribution: methods such as LIME and SHAP estimate how much each input feature contributed to a model's prediction. These methods are valuable for identifying influential variables, but they operate at the level of the model's inputs, not at the level of clinical meaning. Being told that "pause ratio had high importance" does not tell a clinician what pause ratio means or why it might be relevant. The second layer is semantic reasoning: an account of what a feature represents and how it connects to clinical concepts. This thesis treats these as distinct and complementary layers. Attribution can identify which features mattered; the knowledge graph explains those features in clinical terms. The system described here concentrates on the second layer, which is where the gap between prediction and interpretation is widest.</w:t>
      </w:r>
    </w:p>
    <w:p w14:paraId="2F255A44">
      <w:pPr>
        <w:pStyle w:val="3"/>
        <w:keepNext/>
        <w:spacing w:before="280" w:after="140"/>
      </w:pPr>
      <w:r>
        <w:t>2.10  Summary of the Theoretical Foundations</w:t>
      </w:r>
    </w:p>
    <w:p w14:paraId="2E2C7A54">
      <w:pPr>
        <w:spacing w:after="120" w:line="480" w:lineRule="auto"/>
        <w:jc w:val="both"/>
      </w:pPr>
      <w:r>
        <w:rPr>
          <w:rFonts w:ascii="Times New Roman" w:hAnsi="Times New Roman" w:eastAsia="Times New Roman" w:cs="Times New Roman"/>
          <w:sz w:val="24"/>
          <w:szCs w:val="24"/>
        </w:rPr>
        <w:t>The foundations assembled in this chapter combine into a single design stance. Speech is clinically informative but its features are weak and confoundable, so evidence must be treated with explicit uncertainty. The PHQ-8 provides a validated screening reference that can anchor dataset calibration without being mistaken for a diagnosis. Acoustic features can be computed reproducibly but differ in interpretability, which is why some map to symptoms and others only to broad concepts. Knowledge graphs offer an inspectable way to represent clinical relationships, retrieval-augmented and graph-augmented generation offer a way to ground language generation in that structure, and local language models allow this to be done privately. Explainability, finally, is best understood as two layers, with this thesis concentrating on the semantic layer. Each of these foundations reappears as a concrete design decision in the methodology of Chapter 4, and together they define what it means, in this project, for a system to be explainable rather than merely accurate.</w:t>
      </w:r>
    </w:p>
    <w:p w14:paraId="2E5C46C3">
      <w:r>
        <w:br w:type="page"/>
      </w:r>
    </w:p>
    <w:p w14:paraId="73BA7CD3">
      <w:pPr>
        <w:pStyle w:val="2"/>
        <w:keepNext/>
        <w:spacing w:before="360" w:after="200"/>
      </w:pPr>
      <w:r>
        <w:t>3  Literature Review and Related Work</w:t>
      </w:r>
    </w:p>
    <w:p w14:paraId="23345C5F">
      <w:pPr>
        <w:spacing w:after="120" w:line="480" w:lineRule="auto"/>
        <w:jc w:val="both"/>
      </w:pPr>
      <w:r>
        <w:rPr>
          <w:rFonts w:ascii="Times New Roman" w:hAnsi="Times New Roman" w:eastAsia="Times New Roman" w:cs="Times New Roman"/>
          <w:sz w:val="24"/>
          <w:szCs w:val="24"/>
        </w:rPr>
        <w:t>This chapter reviews the research on which the thesis builds and situates the project within it. It is organised thematically: speech biomarkers in depression and anxiety research; the DAIC-WOZ corpus and PHQ-8 labelling; explainability in healthcare AI; retrieval-augmented and graph-augmented generation and the control of hallucination; knowledge graphs in healthcare; and local large-language-model reporting and agentic retrieval. The chapter concludes by stating the research gap that the thesis addresses.</w:t>
      </w:r>
    </w:p>
    <w:p w14:paraId="0CBAAB9D">
      <w:pPr>
        <w:pStyle w:val="3"/>
        <w:keepNext/>
        <w:spacing w:before="280" w:after="140"/>
      </w:pPr>
      <w:r>
        <w:t>3.1  Speech Biomarkers in Depression and Anxiety Research</w:t>
      </w:r>
    </w:p>
    <w:p w14:paraId="6BA6D3FC">
      <w:pPr>
        <w:spacing w:after="120" w:line="480" w:lineRule="auto"/>
        <w:jc w:val="both"/>
      </w:pPr>
      <w:r>
        <w:rPr>
          <w:rFonts w:ascii="Times New Roman" w:hAnsi="Times New Roman" w:eastAsia="Times New Roman" w:cs="Times New Roman"/>
          <w:sz w:val="24"/>
          <w:szCs w:val="24"/>
        </w:rPr>
        <w:t>Speech is a behavioural signal shaped by language planning, motor control, emotional state, respiratory control, and social context, and both depression and anxiety can affect these processes, though in different ways. Depression has frequently been associated with psychomotor slowing, reduced expressivity, lower vocal energy, monotonic speech, slower speaking rate, and increased pause duration. Anxiety may present through restlessness, heightened arousal, tension, vocal instability, hesitation, and irregular prosody. These associations are not deterministic rules, but they establish the clinical motivation for analysing speech in mental-health assessment.</w:t>
      </w:r>
    </w:p>
    <w:p w14:paraId="30CBB79A">
      <w:pPr>
        <w:spacing w:after="120" w:line="480" w:lineRule="auto"/>
        <w:jc w:val="both"/>
      </w:pPr>
      <w:r>
        <w:rPr>
          <w:rFonts w:ascii="Times New Roman" w:hAnsi="Times New Roman" w:eastAsia="Times New Roman" w:cs="Times New Roman"/>
          <w:sz w:val="24"/>
          <w:szCs w:val="24"/>
        </w:rPr>
        <w:t>Cummins and colleagues (2015) provide an influential review of depression and suicide-risk assessment using speech analysis. Their survey is valuable for the present work because it links acoustic features to possible clinical interpretations: reduced pitch variability is discussed in relation to emotional blunting, and pause and rhythm changes are discussed in relation to cognitive load and psychomotor slowing. This kind of reasoning directly supports the feature-to-concept mapping adopted here, in which pitch and pause measurements are not treated as isolated numbers but are mapped to clinically interpretable concepts.</w:t>
      </w:r>
    </w:p>
    <w:p w14:paraId="303B98B3">
      <w:pPr>
        <w:spacing w:after="120" w:line="480" w:lineRule="auto"/>
        <w:jc w:val="both"/>
      </w:pPr>
      <w:r>
        <w:rPr>
          <w:rFonts w:ascii="Times New Roman" w:hAnsi="Times New Roman" w:eastAsia="Times New Roman" w:cs="Times New Roman"/>
          <w:sz w:val="24"/>
          <w:szCs w:val="24"/>
        </w:rPr>
        <w:t>Low, Bentley, and Ghosh (2020) present a systematic review of automated psychiatric assessment using speech, cataloguing features including MFCCs, jitter, shimmer, speaking rate, silence duration, intensity, and harmonicity. A central lesson from their review, and one that is foundational for this thesis, is that no single acoustic feature is sufficient for reliable psychiatric detection. This conclusion shapes the design of the knowledge graph: the graph must never imply that any one feature diagnoses depression or anxiety. Each feature is treated as weak evidence that becomes meaningful only in combination with others and within a structured explanatory context.</w:t>
      </w:r>
    </w:p>
    <w:p w14:paraId="711009F1">
      <w:pPr>
        <w:spacing w:after="120" w:line="480" w:lineRule="auto"/>
        <w:jc w:val="both"/>
      </w:pPr>
      <w:r>
        <w:rPr>
          <w:rFonts w:ascii="Times New Roman" w:hAnsi="Times New Roman" w:eastAsia="Times New Roman" w:cs="Times New Roman"/>
          <w:sz w:val="24"/>
          <w:szCs w:val="24"/>
        </w:rPr>
        <w:t>Al Hanai, Ghassemi, and Glass (2018) use the DAIC-WOZ dataset to detect depression through audio and text sequence modelling. Their work is particularly relevant because it demonstrates the value of temporal patterns in clinical interviews: depression cues are not always visible in static averages but may emerge in pauses, response timing, and changes across the course of an interview. The present system currently uses participant-level summaries rather than temporal sequences, but its modular, agentic architecture is explicitly designed so that temporal summaries can be incorporated at a later stage without redesign.</w:t>
      </w:r>
    </w:p>
    <w:p w14:paraId="7E571D77">
      <w:pPr>
        <w:spacing w:after="120" w:line="480" w:lineRule="auto"/>
        <w:jc w:val="both"/>
      </w:pPr>
      <w:r>
        <w:rPr>
          <w:rFonts w:ascii="Times New Roman" w:hAnsi="Times New Roman" w:eastAsia="Times New Roman" w:cs="Times New Roman"/>
          <w:sz w:val="24"/>
          <w:szCs w:val="24"/>
        </w:rPr>
        <w:t>Scherer and colleagues (2014) contribute work on automatic audiovisual behaviour descriptors for the analysis of psychological disorders. Their studies support the idea that nonverbal and paralinguistic behaviours can be represented as computational descriptors — a notion that maps naturally onto the graph design adopted here, in which acoustic markers become explicit graph nodes rather than remaining hidden inside a classifier. The corpus itself, introduced by Gratch and colleagues (2014), provides the interview recordings, transcripts, and labels that make this line of work possible.</w:t>
      </w:r>
    </w:p>
    <w:p w14:paraId="29820D64">
      <w:pPr>
        <w:pStyle w:val="3"/>
        <w:keepNext/>
        <w:spacing w:before="280" w:after="140"/>
      </w:pPr>
      <w:r>
        <w:t>3.2  DAIC-WOZ and PHQ-8 Labels</w:t>
      </w:r>
    </w:p>
    <w:p w14:paraId="3F341ED1">
      <w:pPr>
        <w:spacing w:after="120" w:line="480" w:lineRule="auto"/>
        <w:jc w:val="both"/>
      </w:pPr>
      <w:r>
        <w:rPr>
          <w:rFonts w:ascii="Times New Roman" w:hAnsi="Times New Roman" w:eastAsia="Times New Roman" w:cs="Times New Roman"/>
          <w:sz w:val="24"/>
          <w:szCs w:val="24"/>
        </w:rPr>
        <w:t>The DAIC-WOZ dataset is among the most widely used corpora for depression detection from clinical interviews, containing recordings of participants interacting with a virtual interviewer alongside transcripts and questionnaire-based depression labels. For this project it is valuable precisely because it supplies both speech behaviour and PHQ-8 depression scores from the same sessions, enabling feature extraction and calibration to be performed on a common basis.</w:t>
      </w:r>
    </w:p>
    <w:p w14:paraId="07083A7F">
      <w:pPr>
        <w:spacing w:after="120" w:line="480" w:lineRule="auto"/>
        <w:jc w:val="both"/>
      </w:pPr>
      <w:r>
        <w:rPr>
          <w:rFonts w:ascii="Times New Roman" w:hAnsi="Times New Roman" w:eastAsia="Times New Roman" w:cs="Times New Roman"/>
          <w:sz w:val="24"/>
          <w:szCs w:val="24"/>
        </w:rPr>
        <w:t>The PHQ-8, described by Kroenke and colleagues (2009), is a clinically used screening measure derived from the Patient Health Questionnaire family. In DAIC-WOZ and related work, the threshold PHQ-8 ≥ 10 is commonly used to indicate clinically relevant depressive symptoms. The thesis is careful to emphasise what this threshold represents. It is a validated questionnaire-based screening label, not an acoustic threshold. A threshold such as "jitter &gt; 0.13" or "pause ratio &gt; 0.34" has no comparable universal clinical validity. The acoustic thresholds in this project are therefore not copied from any clinical manual; they are calibrated from the dataset using the validated PHQ-8 label as the reference. This design makes the method more defensible, because it does not pretend that one acoustic cut-off generalises across microphones, speakers, languages, and preprocessing pipelines.</w:t>
      </w:r>
    </w:p>
    <w:p w14:paraId="6CE520D9">
      <w:pPr>
        <w:pStyle w:val="3"/>
        <w:keepNext/>
        <w:spacing w:before="280" w:after="140"/>
      </w:pPr>
      <w:r>
        <w:t>3.3  Explainability in Healthcare AI</w:t>
      </w:r>
    </w:p>
    <w:p w14:paraId="6045833A">
      <w:pPr>
        <w:spacing w:after="120" w:line="480" w:lineRule="auto"/>
        <w:jc w:val="both"/>
      </w:pPr>
      <w:r>
        <w:rPr>
          <w:rFonts w:ascii="Times New Roman" w:hAnsi="Times New Roman" w:eastAsia="Times New Roman" w:cs="Times New Roman"/>
          <w:sz w:val="24"/>
          <w:szCs w:val="24"/>
        </w:rPr>
        <w:t>Explainability in healthcare AI is both a practical and an ethical requirement. Tjoa and Guan (2021) survey explainable artificial intelligence with specific attention to medical applications, and Holzinger and colleagues (2017) argue that medical AI requires transparency, traceability, and meaningful human oversight. These requirements are intensified in mental health, where outputs can affect patient trust, stigma, follow-up decisions, and clinical judgement, and where the constructs being estimated are themselves uncertain.</w:t>
      </w:r>
    </w:p>
    <w:p w14:paraId="587C7C1E">
      <w:pPr>
        <w:spacing w:after="120" w:line="480" w:lineRule="auto"/>
        <w:jc w:val="both"/>
      </w:pPr>
      <w:r>
        <w:rPr>
          <w:rFonts w:ascii="Times New Roman" w:hAnsi="Times New Roman" w:eastAsia="Times New Roman" w:cs="Times New Roman"/>
          <w:sz w:val="24"/>
          <w:szCs w:val="24"/>
        </w:rPr>
        <w:t>Feature-attribution methods are an important part of the explainability toolkit. LIME, introduced by Ribeiro, Singh, and Guestrin (2016), explains individual predictions by fitting an interpretable local surrogate model, while SHAP, introduced by Lundberg and Lee (2017), attributes a prediction to its input features using a game-theoretic formulation. Both are useful for identifying which variables influenced a prediction. They are not, however, sufficient for the goal of this thesis. If an attribution method reports that pause ratio was influential, a clinician still needs to understand what pause ratio means and why it might matter. The thesis therefore treats attribution and semantic reasoning as different layers: attribution can identify influential features, while the knowledge graph explains those features through clinical concepts. The two are complementary, and the present work concentrates on the semantic layer.</w:t>
      </w:r>
    </w:p>
    <w:p w14:paraId="7E64B132">
      <w:pPr>
        <w:pStyle w:val="3"/>
        <w:keepNext/>
        <w:spacing w:before="280" w:after="140"/>
      </w:pPr>
      <w:r>
        <w:t>3.4  RAG, Graph-RAG, and Hallucination Risk</w:t>
      </w:r>
    </w:p>
    <w:p w14:paraId="79C705EC">
      <w:pPr>
        <w:spacing w:after="120" w:line="480" w:lineRule="auto"/>
        <w:jc w:val="both"/>
      </w:pPr>
      <w:r>
        <w:rPr>
          <w:rFonts w:ascii="Times New Roman" w:hAnsi="Times New Roman" w:eastAsia="Times New Roman" w:cs="Times New Roman"/>
          <w:sz w:val="24"/>
          <w:szCs w:val="24"/>
        </w:rPr>
        <w:t>Retrieval-augmented generation was introduced by Lewis and colleagues (2020) as a means of improving the factual grounding of language models by retrieving external knowledge before generation. The motivation is that language models can produce fluent but unsupported statements, which is especially dangerous in clinical settings where a confident-sounding but unsupported sentence can mislead. Ji and colleagues (2023) survey hallucination in natural language generation and explain why grounding is essential when factuality matters; their work directly motivates the hallucination-control measures adopted here.</w:t>
      </w:r>
    </w:p>
    <w:p w14:paraId="68CEAED0">
      <w:pPr>
        <w:spacing w:after="120" w:line="480" w:lineRule="auto"/>
        <w:jc w:val="both"/>
      </w:pPr>
      <w:r>
        <w:rPr>
          <w:rFonts w:ascii="Times New Roman" w:hAnsi="Times New Roman" w:eastAsia="Times New Roman" w:cs="Times New Roman"/>
          <w:sz w:val="24"/>
          <w:szCs w:val="24"/>
        </w:rPr>
        <w:t>Standard RAG typically retrieves text chunks, which is effective when the answer resides in a passage but less natural when the explanation depends on a chain of relationships. The Microsoft Research GraphRAG work (2024) argues that vector-based text retrieval can struggle when a task requires connecting information across entities and relationships, and proposes graph-based retrieval as a remedy. For the present thesis this is exactly the relevant problem: the required explanation is not a single paragraph about pause ratio but a path connecting a detected acoustic biomarker to a clinical concept, a symptom-level interpretation, a screening construct, and a follow-up recommendation. Graph traversal is therefore more closely aligned with the explanation task than unstructured text retrieval, and it reduces the opportunity for free-form speculation by supplying the generator with explicit structure.</w:t>
      </w:r>
    </w:p>
    <w:p w14:paraId="5B7BFEEF">
      <w:pPr>
        <w:pStyle w:val="3"/>
        <w:keepNext/>
        <w:spacing w:before="280" w:after="140"/>
      </w:pPr>
      <w:r>
        <w:t>3.5  Knowledge Graphs in Healthcare</w:t>
      </w:r>
    </w:p>
    <w:p w14:paraId="67DED9CC">
      <w:pPr>
        <w:spacing w:after="120" w:line="480" w:lineRule="auto"/>
        <w:jc w:val="both"/>
      </w:pPr>
      <w:r>
        <w:rPr>
          <w:rFonts w:ascii="Times New Roman" w:hAnsi="Times New Roman" w:eastAsia="Times New Roman" w:cs="Times New Roman"/>
          <w:sz w:val="24"/>
          <w:szCs w:val="24"/>
        </w:rPr>
        <w:t>Knowledge graphs are valuable in healthcare because they represent structured relationships among symptoms, biomarkers, diagnoses, interventions, and clinical concepts. Surveys of healthcare knowledge graphs describe their roles in traceability, decision support, semantic reasoning, and interpretable medical AI. The present thesis adopts a lightweight version of this idea rather than attempting a complete psychiatric ontology. The decision is deliberate: a master's thesis project must remain feasible, inspectable, and easy to modify. JSON-LD provides a portable graph representation and NetworkX provides graph traversal without the overhead of a dedicated graph database, together giving sufficient structure for Graph-RAG while keeping the implementation accessible to a single researcher and transparent to an examiner.</w:t>
      </w:r>
    </w:p>
    <w:p w14:paraId="7AD6AF44">
      <w:pPr>
        <w:pStyle w:val="3"/>
        <w:keepNext/>
        <w:spacing w:before="280" w:after="140"/>
      </w:pPr>
      <w:r>
        <w:t>3.6  Local LLM Reporting, Agentic Retrieval, and the Month 3 Design</w:t>
      </w:r>
    </w:p>
    <w:p w14:paraId="4EC6E903">
      <w:pPr>
        <w:spacing w:after="120" w:line="480" w:lineRule="auto"/>
        <w:jc w:val="both"/>
      </w:pPr>
      <w:r>
        <w:rPr>
          <w:rFonts w:ascii="Times New Roman" w:hAnsi="Times New Roman" w:eastAsia="Times New Roman" w:cs="Times New Roman"/>
          <w:sz w:val="24"/>
          <w:szCs w:val="24"/>
        </w:rPr>
        <w:t>The Month 3 milestone moves the project from graph construction toward a functioning Graph-RAG reporting pipeline, and its design is informed by several strands of the recent literature. The foundational strand is retrieval-augmented generation itself (Lewis et al., 2020), which supports the principle that generation should be grounded in retrieved evidence rather than relying solely on parametric memory. Graph-RAG (Microsoft Research, 2024) extends this by making the retrieved context relational, which aligns with the project's need to connect a biomarker to a concept, a symptom, a screening construct, and a recommendation.</w:t>
      </w:r>
    </w:p>
    <w:p w14:paraId="1D7B100B">
      <w:pPr>
        <w:spacing w:after="120" w:line="480" w:lineRule="auto"/>
        <w:jc w:val="both"/>
      </w:pPr>
      <w:r>
        <w:rPr>
          <w:rFonts w:ascii="Times New Roman" w:hAnsi="Times New Roman" w:eastAsia="Times New Roman" w:cs="Times New Roman"/>
          <w:sz w:val="24"/>
          <w:szCs w:val="24"/>
        </w:rPr>
        <w:t>Agentic reasoning literature further informs the design. ReAct, introduced by Yao and colleagues (2022), shows that language models can benefit when reasoning is interleaved with external actions and observations. In this thesis the external action is not open-ended tool use but constrained graph retrieval: the Analyzer extracts acoustic observations, the Retriever obtains graph paths, and the Reporter Agent converts those paths into a narrative. The modularity of this design is itself a contribution to explainability, because each step can be inspected separately — a supervisor can examine the feature values, the threshold decisions, the retrieved paths, and the generated report independently.</w:t>
      </w:r>
    </w:p>
    <w:p w14:paraId="38C4E15E">
      <w:pPr>
        <w:spacing w:after="120" w:line="480" w:lineRule="auto"/>
        <w:jc w:val="both"/>
      </w:pPr>
      <w:r>
        <w:rPr>
          <w:rFonts w:ascii="Times New Roman" w:hAnsi="Times New Roman" w:eastAsia="Times New Roman" w:cs="Times New Roman"/>
          <w:sz w:val="24"/>
          <w:szCs w:val="24"/>
        </w:rPr>
        <w:t>Self-RAG, introduced by Asai and colleagues (2023), argues that retrieval should be used to improve factuality and that generated responses should be checked against retrieved evidence. The present implementation is simpler than Self-RAG, as it does not train a model to critique its own retrieval, but it adopts the same safety principle: generation is conditioned on external evidence, and the prompt explicitly instructs the local model to use only the supplied biomarkers and graph paths and not to infer a diagnosis. The local model itself is from the Gemma family (Google DeepMind, 2025), run through the Ollama local runtime, whose HTTP API (Ollama, n.d.) allows the Reporter Agent to call the model without transmitting report context to an external provider.</w:t>
      </w:r>
    </w:p>
    <w:p w14:paraId="78DEBEA7">
      <w:pPr>
        <w:spacing w:after="120" w:line="480" w:lineRule="auto"/>
        <w:jc w:val="both"/>
      </w:pPr>
      <w:r>
        <w:rPr>
          <w:rFonts w:ascii="Times New Roman" w:hAnsi="Times New Roman" w:eastAsia="Times New Roman" w:cs="Times New Roman"/>
          <w:sz w:val="24"/>
          <w:szCs w:val="24"/>
        </w:rPr>
        <w:t>Taken together, this literature strengthens the safety argument underlying the Month 3 design. Because unsupported generation is particularly dangerous in clinical contexts, the system reduces hallucination risk in three concrete ways: it keeps acoustic rule matching separate from language generation; it supplies the model with retrieved graph paths rather than asking it to reason from memory alone; and it imposes explicit prompt constraints that require the output to be described as screening support and forbid diagnostic claims.</w:t>
      </w:r>
    </w:p>
    <w:p w14:paraId="5514685B">
      <w:pPr>
        <w:pStyle w:val="3"/>
        <w:keepNext/>
        <w:spacing w:before="280" w:after="140"/>
      </w:pPr>
      <w:r>
        <w:t>3.7  Research Gap</w:t>
      </w:r>
    </w:p>
    <w:p w14:paraId="4A02DFEE">
      <w:pPr>
        <w:spacing w:after="120" w:line="480" w:lineRule="auto"/>
        <w:jc w:val="both"/>
      </w:pPr>
      <w:r>
        <w:rPr>
          <w:rFonts w:ascii="Times New Roman" w:hAnsi="Times New Roman" w:eastAsia="Times New Roman" w:cs="Times New Roman"/>
          <w:sz w:val="24"/>
          <w:szCs w:val="24"/>
        </w:rPr>
        <w:t>The literature reviewed above establishes two facts and reveals a gap between them. First, speech-based depression detection is technically feasible: acoustic and textual features, especially when temporal structure is modelled, can identify depression-related patterns with useful accuracy. Second, however, many such systems concentrate on classification accuracy and do not explain why a given speech pattern is clinically meaningful. At the same time, conventional retrieval-augmented generation can ground generated text in retrieved documents but does not naturally represent structured reasoning over clinical relationships. The gap can therefore be stated as follows.</w:t>
      </w:r>
    </w:p>
    <w:p w14:paraId="62E26655">
      <w:pPr>
        <w:pBdr>
          <w:left w:val="single" w:color="2B6CB0" w:sz="18" w:space="12"/>
        </w:pBdr>
        <w:spacing w:before="80" w:after="200" w:line="360" w:lineRule="auto"/>
        <w:ind w:left="720" w:right="720"/>
        <w:jc w:val="left"/>
      </w:pPr>
      <w:r>
        <w:rPr>
          <w:rFonts w:ascii="Times New Roman" w:hAnsi="Times New Roman" w:eastAsia="Times New Roman" w:cs="Times New Roman"/>
          <w:i/>
          <w:iCs/>
          <w:color w:val="334155"/>
          <w:sz w:val="23"/>
          <w:szCs w:val="23"/>
        </w:rPr>
        <w:t>Existing depression and anxiety detection systems can identify acoustic risk patterns, but they often fail to explain how specific acoustic biomarkers correspond to clinically meaningful interpretations. Conventional RAG systems can ground generated text in retrieved documents, but they do not naturally represent structured clinical reasoning over biomarker relationships. There is therefore a need for a lightweight, graph-grounded, agentic framework that translates acoustic biomarkers into traceable clinical narratives.</w:t>
      </w:r>
    </w:p>
    <w:p w14:paraId="7C0352E4">
      <w:pPr>
        <w:spacing w:after="120" w:line="480" w:lineRule="auto"/>
        <w:jc w:val="both"/>
      </w:pPr>
      <w:r>
        <w:rPr>
          <w:rFonts w:ascii="Times New Roman" w:hAnsi="Times New Roman" w:eastAsia="Times New Roman" w:cs="Times New Roman"/>
          <w:sz w:val="24"/>
          <w:szCs w:val="24"/>
        </w:rPr>
        <w:t>This thesis addresses the gap by combining dataset-calibrated acoustic biomarkers with a Clinical Knowledge Graph and a local Reporter Agent. The contribution at the current stage is not a final diagnostic model but a functioning foundation for explainable audio reasoning and graph-grounded report generation — a foundation on which the evaluation and orchestration work of later stages can build.</w:t>
      </w:r>
    </w:p>
    <w:p w14:paraId="0648BBFA">
      <w:pPr>
        <w:pStyle w:val="3"/>
        <w:keepNext/>
        <w:spacing w:before="280" w:after="140"/>
      </w:pPr>
      <w:r>
        <w:t>3.8  Positioning of This Thesis</w:t>
      </w:r>
    </w:p>
    <w:p w14:paraId="7A6977B3">
      <w:pPr>
        <w:spacing w:after="120" w:line="480" w:lineRule="auto"/>
        <w:jc w:val="both"/>
      </w:pPr>
      <w:r>
        <w:rPr>
          <w:rFonts w:ascii="Times New Roman" w:hAnsi="Times New Roman" w:eastAsia="Times New Roman" w:cs="Times New Roman"/>
          <w:sz w:val="24"/>
          <w:szCs w:val="24"/>
        </w:rPr>
        <w:t>It is useful to state explicitly how this thesis relates to the three strands of work reviewed above, because its contribution lies precisely at their intersection rather than within any one of them. Relative to the speech-depression detection literature (Cummins et al., 2015; Low et al., 2020; Al Hanai et al., 2018; Scherer et al., 2014), this thesis does not aim to improve classification accuracy; it accepts the field's own conclusion that single acoustic features are weak and builds an explanatory layer on top of that reality. Relative to the explainability literature (Tjoa &amp; Guan, 2021; Holzinger et al., 2017; Ribeiro et al., 2016; Lundberg &amp; Lee, 2017), it moves beyond feature attribution toward semantic, relational explanation, which is the layer most relevant to clinical interpretation. Relative to the retrieval and generation literature (Lewis et al., 2020; Microsoft Research, 2024; Asai et al., 2023; Yao et al., 2022; Ji et al., 2023), it applies graph-grounded, agentic, hallucination-aware generation to a specific and sensitive clinical reporting task rather than to open-domain question answering.</w:t>
      </w:r>
    </w:p>
    <w:p w14:paraId="57099A41">
      <w:pPr>
        <w:spacing w:after="120" w:line="480" w:lineRule="auto"/>
        <w:jc w:val="both"/>
      </w:pPr>
      <w:r>
        <w:rPr>
          <w:rFonts w:ascii="Times New Roman" w:hAnsi="Times New Roman" w:eastAsia="Times New Roman" w:cs="Times New Roman"/>
          <w:sz w:val="24"/>
          <w:szCs w:val="24"/>
        </w:rPr>
        <w:t>The novelty claimed is therefore integrative. No individual component — acoustic feature extraction, threshold calibration, a clinical knowledge graph, graph retrieval, or a local language model — is unprecedented. The contribution is a coherent pipeline in which these components are combined so that acoustic evidence is calibrated against a validated label, represented in an inspectable graph, retrieved as explanation paths, and expressed as a cautious, audience-appropriate narrative, with evidence selection kept strictly separate from language generation. This integration is what allows the system to be explainable in the specific sense the clinical problem demands.</w:t>
      </w:r>
    </w:p>
    <w:p w14:paraId="67C6D3CE">
      <w:r>
        <w:br w:type="page"/>
      </w:r>
    </w:p>
    <w:p w14:paraId="2B3D8298">
      <w:pPr>
        <w:pStyle w:val="2"/>
        <w:keepNext/>
        <w:spacing w:before="360" w:after="200"/>
      </w:pPr>
      <w:r>
        <w:t>4  Methodology</w:t>
      </w:r>
    </w:p>
    <w:p w14:paraId="322CB884">
      <w:pPr>
        <w:pStyle w:val="3"/>
        <w:keepNext/>
        <w:spacing w:before="280" w:after="140"/>
      </w:pPr>
      <w:r>
        <w:t>4.1  Overview</w:t>
      </w:r>
    </w:p>
    <w:p w14:paraId="3D98BA39">
      <w:pPr>
        <w:spacing w:after="120" w:line="480" w:lineRule="auto"/>
        <w:jc w:val="both"/>
      </w:pPr>
      <w:r>
        <w:rPr>
          <w:rFonts w:ascii="Times New Roman" w:hAnsi="Times New Roman" w:eastAsia="Times New Roman" w:cs="Times New Roman"/>
          <w:sz w:val="24"/>
          <w:szCs w:val="24"/>
        </w:rPr>
        <w:t>The methodology comprises five main parts, which together separate the measurement of evidence from the generation of explanation. The five parts are: (1) extraction of participant-level acoustic and conversational features; (2) calibration of feature thresholds using PHQ-8 labels; (3) representation of biomarkers and clinical concepts in a knowledge graph; (4) retrieval of graph paths from matched biomarkers to screening, risk, and follow-up nodes; and (5) generation of audience-specific reports using deterministic summaries and an optional local language model.</w:t>
      </w:r>
    </w:p>
    <w:p w14:paraId="017CD83C">
      <w:pPr>
        <w:spacing w:after="120" w:line="480" w:lineRule="auto"/>
        <w:jc w:val="both"/>
      </w:pPr>
      <w:r>
        <w:rPr>
          <w:rFonts w:ascii="Times New Roman" w:hAnsi="Times New Roman" w:eastAsia="Times New Roman" w:cs="Times New Roman"/>
          <w:sz w:val="24"/>
          <w:szCs w:val="24"/>
        </w:rPr>
        <w:t>The logic of this workflow is that each stage contributes a different kind of justification. The acoustic features provide measurable evidence. The PHQ-8 label provides a validated screening reference. The calibration step converts feature distributions into dataset-specific operating thresholds. The graph converts threshold crossings into semantic reasoning paths. The Reporter Agent then converts those retrieved paths into readable language while preserving the non-diagnostic framing. Crucially, prediction evidence and explanation are kept separate throughout, so that the clinical content of a report can be traced to measurements and graph structure rather than to the language model.</w:t>
      </w:r>
    </w:p>
    <w:p w14:paraId="254110D5">
      <w:pPr>
        <w:pStyle w:val="3"/>
        <w:keepNext/>
        <w:spacing w:before="280" w:after="140"/>
      </w:pPr>
      <w:r>
        <w:t>4.2  Feature Extraction</w:t>
      </w:r>
    </w:p>
    <w:p w14:paraId="77723672">
      <w:pPr>
        <w:spacing w:after="120" w:line="480" w:lineRule="auto"/>
        <w:jc w:val="both"/>
      </w:pPr>
      <w:r>
        <w:rPr>
          <w:rFonts w:ascii="Times New Roman" w:hAnsi="Times New Roman" w:eastAsia="Times New Roman" w:cs="Times New Roman"/>
          <w:sz w:val="24"/>
          <w:szCs w:val="24"/>
        </w:rPr>
        <w:t>The current implementation extracts features from three DAIC-WOZ sources: transcripts, WAV audio files, and COVAREP files. Transcript timing is used to derive the pause ratio and the speech rate. The WAV audio is used to compute vocal energy and MFCC statistics. The COVAREP F0 values are used to compute pitch mean, pitch variability, and a jitter proxy based on F0 instability. Using three complementary sources allows each feature to be computed from the stream best suited to it.</w:t>
      </w:r>
    </w:p>
    <w:p w14:paraId="178900E7">
      <w:pPr>
        <w:spacing w:after="120" w:line="480" w:lineRule="auto"/>
        <w:jc w:val="both"/>
      </w:pPr>
      <w:r>
        <w:rPr>
          <w:rFonts w:ascii="Times New Roman" w:hAnsi="Times New Roman" w:eastAsia="Times New Roman" w:cs="Times New Roman"/>
          <w:sz w:val="24"/>
          <w:szCs w:val="24"/>
        </w:rPr>
        <w:t>The pause ratio is calculated from the participant's speaking turns. The system measures the total time span between the participant's first and last response, the total duration of participant speech, and the estimated non-speaking time within that span; the pause ratio is the non-speaking time divided by the total participant response span. This feature captures hesitation and silence patterns during the interview.</w:t>
      </w:r>
    </w:p>
    <w:p w14:paraId="604EE0CF">
      <w:pPr>
        <w:spacing w:after="120" w:line="480" w:lineRule="auto"/>
        <w:jc w:val="both"/>
      </w:pPr>
      <w:r>
        <w:rPr>
          <w:rFonts w:ascii="Times New Roman" w:hAnsi="Times New Roman" w:eastAsia="Times New Roman" w:cs="Times New Roman"/>
          <w:sz w:val="24"/>
          <w:szCs w:val="24"/>
        </w:rPr>
        <w:t>The speech rate is calculated as the participant's word count divided by the duration of participant speech, expressed in words per second. It is a simple but interpretable measure of verbal fluency and tempo. Vocal energy is calculated from the audio waveform as the root-mean-square amplitude; because raw energy is sensitive to recording conditions, it is treated cautiously and calibrated within the dataset rather than interpreted as a universal clinical value.</w:t>
      </w:r>
    </w:p>
    <w:p w14:paraId="18F7289C">
      <w:pPr>
        <w:spacing w:after="120" w:line="480" w:lineRule="auto"/>
        <w:jc w:val="both"/>
      </w:pPr>
      <w:r>
        <w:rPr>
          <w:rFonts w:ascii="Times New Roman" w:hAnsi="Times New Roman" w:eastAsia="Times New Roman" w:cs="Times New Roman"/>
          <w:sz w:val="24"/>
          <w:szCs w:val="24"/>
        </w:rPr>
        <w:t>The MFCC features are extracted from the waveform using a lightweight signal-processing implementation that records the means and standard deviations of the first few coefficients. These features represent spectral shape and variability; they are useful for modelling but less directly interpretable than pause ratio or speech rate, which is why the graph maps them to the broader concept of spectral shift. Pitch mean and pitch standard deviation are computed from the COVAREP F0 values, with positive F0 values treated as voiced frames. The jitter proxy is computed as the average relative frame-to-frame period change; because this is not a clinical voice-disorder jitter measurement obtained under a laryngological protocol, it is labelled an operational acoustic-instability feature rather than a universal diagnostic marker.</w:t>
      </w:r>
    </w:p>
    <w:p w14:paraId="20CB1A54">
      <w:pPr>
        <w:pStyle w:val="3"/>
        <w:keepNext/>
        <w:spacing w:before="280" w:after="140"/>
      </w:pPr>
      <w:r>
        <w:t>4.3  Threshold Calibration</w:t>
      </w:r>
    </w:p>
    <w:p w14:paraId="69973F85">
      <w:pPr>
        <w:spacing w:after="120" w:line="480" w:lineRule="auto"/>
        <w:jc w:val="both"/>
      </w:pPr>
      <w:r>
        <w:rPr>
          <w:rFonts w:ascii="Times New Roman" w:hAnsi="Times New Roman" w:eastAsia="Times New Roman" w:cs="Times New Roman"/>
          <w:sz w:val="24"/>
          <w:szCs w:val="24"/>
        </w:rPr>
        <w:t>The initial prototype used hardcoded acoustic thresholds. These were adequate for making the system executable and testable, but they were not scientifically strong enough to defend, because an arbitrary cut-off carries no evidential weight. The updated method calibrates every threshold from the data, using the PHQ-8 labels supplied with DAIC-WOZ as the reference.</w:t>
      </w:r>
    </w:p>
    <w:p w14:paraId="1FF32478">
      <w:pPr>
        <w:spacing w:after="120" w:line="480" w:lineRule="auto"/>
        <w:jc w:val="both"/>
      </w:pPr>
      <w:r>
        <w:rPr>
          <w:rFonts w:ascii="Times New Roman" w:hAnsi="Times New Roman" w:eastAsia="Times New Roman" w:cs="Times New Roman"/>
          <w:sz w:val="24"/>
          <w:szCs w:val="24"/>
        </w:rPr>
        <w:t>Participants are divided into two groups according to the validated screening cut-off: those with PHQ-8 ≥ 10 form the positive depression-screening class, and those with PHQ-8 &lt; 10 form the negative class. For every acoustic biomarker, the calibration procedure tests candidate threshold values drawn from the observed distribution of that feature in the dataset. For a high-direction marker, feature values above the candidate threshold are treated as positive; for a low-direction marker, values below the threshold are treated as positive. For each candidate threshold the procedure computes the counts of true positives, true negatives, false positives, and false negatives, and from these the sensitivity, specificity, Youden's J statistic, and balanced accuracy.</w:t>
      </w:r>
    </w:p>
    <w:p w14:paraId="0998A834">
      <w:pPr>
        <w:spacing w:after="120" w:line="480" w:lineRule="auto"/>
        <w:jc w:val="both"/>
      </w:pPr>
      <w:r>
        <w:rPr>
          <w:rFonts w:ascii="Times New Roman" w:hAnsi="Times New Roman" w:eastAsia="Times New Roman" w:cs="Times New Roman"/>
          <w:sz w:val="24"/>
          <w:szCs w:val="24"/>
        </w:rPr>
        <w:t>Youden's J statistic, which provides a single summary of a threshold's discriminative value, is defined as:</w:t>
      </w:r>
    </w:p>
    <w:p w14:paraId="2DF4C68B">
      <w:pPr>
        <w:pBdr>
          <w:left w:val="single" w:color="2B6CB0" w:sz="18" w:space="12"/>
        </w:pBdr>
        <w:spacing w:before="80" w:after="200" w:line="360" w:lineRule="auto"/>
        <w:ind w:left="720" w:right="720"/>
        <w:jc w:val="left"/>
      </w:pPr>
      <w:r>
        <w:rPr>
          <w:rFonts w:ascii="Times New Roman" w:hAnsi="Times New Roman" w:eastAsia="Times New Roman" w:cs="Times New Roman"/>
          <w:i/>
          <w:iCs/>
          <w:color w:val="334155"/>
          <w:sz w:val="23"/>
          <w:szCs w:val="23"/>
        </w:rPr>
        <w:t>J = sensitivity + specificity − 1</w:t>
      </w:r>
    </w:p>
    <w:p w14:paraId="7BD470BC">
      <w:pPr>
        <w:spacing w:after="120" w:line="480" w:lineRule="auto"/>
        <w:jc w:val="both"/>
      </w:pPr>
      <w:r>
        <w:rPr>
          <w:rFonts w:ascii="Times New Roman" w:hAnsi="Times New Roman" w:eastAsia="Times New Roman" w:cs="Times New Roman"/>
          <w:sz w:val="24"/>
          <w:szCs w:val="24"/>
        </w:rPr>
        <w:t>The selected operating threshold for each biomarker is the candidate value that maximises Youden's J, which identifies the point that best balances sensitivity and specificity for that single feature. It must be emphasised that this procedure does not make a feature diagnostic. It yields a dataset-specific operating threshold whose sole purpose is to decide whether a feature should enter the reasoning graph for a given participant. The clinical interpretation is deferred entirely to the graph and the cautious framing of the report.</w:t>
      </w:r>
    </w:p>
    <w:p w14:paraId="34659360">
      <w:pPr>
        <w:pStyle w:val="3"/>
        <w:keepNext/>
        <w:spacing w:before="280" w:after="140"/>
      </w:pPr>
      <w:r>
        <w:t>4.4  Calibrated Thresholds</w:t>
      </w:r>
    </w:p>
    <w:p w14:paraId="678EF129">
      <w:pPr>
        <w:spacing w:after="120" w:line="480" w:lineRule="auto"/>
        <w:jc w:val="both"/>
      </w:pPr>
      <w:r>
        <w:rPr>
          <w:rFonts w:ascii="Times New Roman" w:hAnsi="Times New Roman" w:eastAsia="Times New Roman" w:cs="Times New Roman"/>
          <w:sz w:val="24"/>
          <w:szCs w:val="24"/>
        </w:rPr>
        <w:t>Table 1 presents the calibrated threshold for each biomarker, together with the direction of the marker, the sample size on which it was calibrated, and the resulting sensitivity, specificity, and balanced accuracy. These values were computed from the DAIC-WOZ data available in the project workspace.</w:t>
      </w:r>
    </w:p>
    <w:p w14:paraId="26111F42">
      <w:pPr>
        <w:keepNext/>
        <w:spacing w:before="120"/>
      </w:pPr>
    </w:p>
    <w:tbl>
      <w:tblPr>
        <w:tblStyle w:val="9"/>
        <w:tblW w:w="8300" w:type="dxa"/>
        <w:tblInd w:w="0" w:type="dxa"/>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Layout w:type="autofit"/>
        <w:tblCellMar>
          <w:top w:w="0" w:type="dxa"/>
          <w:left w:w="10" w:type="dxa"/>
          <w:bottom w:w="0" w:type="dxa"/>
          <w:right w:w="10" w:type="dxa"/>
        </w:tblCellMar>
      </w:tblPr>
      <w:tblGrid>
        <w:gridCol w:w="2074"/>
        <w:gridCol w:w="1180"/>
        <w:gridCol w:w="636"/>
        <w:gridCol w:w="1157"/>
        <w:gridCol w:w="518"/>
        <w:gridCol w:w="736"/>
        <w:gridCol w:w="736"/>
        <w:gridCol w:w="1263"/>
      </w:tblGrid>
      <w:tr w14:paraId="3F2661B1">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PrEx>
        <w:trPr>
          <w:tblHeader/>
        </w:trPr>
        <w:tc>
          <w:tcPr>
            <w:tcW w:w="2100" w:type="dxa"/>
            <w:shd w:val="clear" w:color="auto" w:fill="2B6CB0"/>
            <w:tcMar>
              <w:top w:w="40" w:type="dxa"/>
              <w:left w:w="80" w:type="dxa"/>
              <w:bottom w:w="40" w:type="dxa"/>
              <w:right w:w="80" w:type="dxa"/>
            </w:tcMar>
          </w:tcPr>
          <w:p w14:paraId="698A61DF">
            <w:pPr>
              <w:jc w:val="center"/>
            </w:pPr>
            <w:r>
              <w:rPr>
                <w:rFonts w:ascii="Times New Roman" w:hAnsi="Times New Roman" w:eastAsia="Times New Roman" w:cs="Times New Roman"/>
                <w:b/>
                <w:bCs/>
                <w:color w:val="FFFFFF"/>
                <w:sz w:val="18"/>
                <w:szCs w:val="18"/>
              </w:rPr>
              <w:t>Biomarker</w:t>
            </w:r>
          </w:p>
        </w:tc>
        <w:tc>
          <w:tcPr>
            <w:tcW w:w="1120" w:type="dxa"/>
            <w:shd w:val="clear" w:color="auto" w:fill="2B6CB0"/>
            <w:tcMar>
              <w:top w:w="40" w:type="dxa"/>
              <w:left w:w="80" w:type="dxa"/>
              <w:bottom w:w="40" w:type="dxa"/>
              <w:right w:w="80" w:type="dxa"/>
            </w:tcMar>
          </w:tcPr>
          <w:p w14:paraId="3884AF52">
            <w:pPr>
              <w:jc w:val="center"/>
            </w:pPr>
            <w:r>
              <w:rPr>
                <w:rFonts w:ascii="Times New Roman" w:hAnsi="Times New Roman" w:eastAsia="Times New Roman" w:cs="Times New Roman"/>
                <w:b/>
                <w:bCs/>
                <w:color w:val="FFFFFF"/>
                <w:sz w:val="18"/>
                <w:szCs w:val="18"/>
              </w:rPr>
              <w:t>Feature</w:t>
            </w:r>
          </w:p>
        </w:tc>
        <w:tc>
          <w:tcPr>
            <w:tcW w:w="640" w:type="dxa"/>
            <w:shd w:val="clear" w:color="auto" w:fill="2B6CB0"/>
            <w:tcMar>
              <w:top w:w="40" w:type="dxa"/>
              <w:left w:w="80" w:type="dxa"/>
              <w:bottom w:w="40" w:type="dxa"/>
              <w:right w:w="80" w:type="dxa"/>
            </w:tcMar>
          </w:tcPr>
          <w:p w14:paraId="447F98D3">
            <w:pPr>
              <w:jc w:val="center"/>
            </w:pPr>
            <w:r>
              <w:rPr>
                <w:rFonts w:ascii="Times New Roman" w:hAnsi="Times New Roman" w:eastAsia="Times New Roman" w:cs="Times New Roman"/>
                <w:b/>
                <w:bCs/>
                <w:color w:val="FFFFFF"/>
                <w:sz w:val="18"/>
                <w:szCs w:val="18"/>
              </w:rPr>
              <w:t>Dir.</w:t>
            </w:r>
          </w:p>
        </w:tc>
        <w:tc>
          <w:tcPr>
            <w:tcW w:w="1160" w:type="dxa"/>
            <w:shd w:val="clear" w:color="auto" w:fill="2B6CB0"/>
            <w:tcMar>
              <w:top w:w="40" w:type="dxa"/>
              <w:left w:w="80" w:type="dxa"/>
              <w:bottom w:w="40" w:type="dxa"/>
              <w:right w:w="80" w:type="dxa"/>
            </w:tcMar>
          </w:tcPr>
          <w:p w14:paraId="01127B52">
            <w:pPr>
              <w:jc w:val="center"/>
            </w:pPr>
            <w:r>
              <w:rPr>
                <w:rFonts w:ascii="Times New Roman" w:hAnsi="Times New Roman" w:eastAsia="Times New Roman" w:cs="Times New Roman"/>
                <w:b/>
                <w:bCs/>
                <w:color w:val="FFFFFF"/>
                <w:sz w:val="18"/>
                <w:szCs w:val="18"/>
              </w:rPr>
              <w:t>Threshold</w:t>
            </w:r>
          </w:p>
        </w:tc>
        <w:tc>
          <w:tcPr>
            <w:tcW w:w="520" w:type="dxa"/>
            <w:shd w:val="clear" w:color="auto" w:fill="2B6CB0"/>
            <w:tcMar>
              <w:top w:w="40" w:type="dxa"/>
              <w:left w:w="80" w:type="dxa"/>
              <w:bottom w:w="40" w:type="dxa"/>
              <w:right w:w="80" w:type="dxa"/>
            </w:tcMar>
          </w:tcPr>
          <w:p w14:paraId="52831A7F">
            <w:pPr>
              <w:jc w:val="center"/>
            </w:pPr>
            <w:r>
              <w:rPr>
                <w:rFonts w:ascii="Times New Roman" w:hAnsi="Times New Roman" w:eastAsia="Times New Roman" w:cs="Times New Roman"/>
                <w:b/>
                <w:bCs/>
                <w:color w:val="FFFFFF"/>
                <w:sz w:val="18"/>
                <w:szCs w:val="18"/>
              </w:rPr>
              <w:t>N</w:t>
            </w:r>
          </w:p>
        </w:tc>
        <w:tc>
          <w:tcPr>
            <w:tcW w:w="740" w:type="dxa"/>
            <w:shd w:val="clear" w:color="auto" w:fill="2B6CB0"/>
            <w:tcMar>
              <w:top w:w="40" w:type="dxa"/>
              <w:left w:w="80" w:type="dxa"/>
              <w:bottom w:w="40" w:type="dxa"/>
              <w:right w:w="80" w:type="dxa"/>
            </w:tcMar>
          </w:tcPr>
          <w:p w14:paraId="41A73DAE">
            <w:pPr>
              <w:jc w:val="center"/>
            </w:pPr>
            <w:r>
              <w:rPr>
                <w:rFonts w:ascii="Times New Roman" w:hAnsi="Times New Roman" w:eastAsia="Times New Roman" w:cs="Times New Roman"/>
                <w:b/>
                <w:bCs/>
                <w:color w:val="FFFFFF"/>
                <w:sz w:val="18"/>
                <w:szCs w:val="18"/>
              </w:rPr>
              <w:t>Sens.</w:t>
            </w:r>
          </w:p>
        </w:tc>
        <w:tc>
          <w:tcPr>
            <w:tcW w:w="740" w:type="dxa"/>
            <w:shd w:val="clear" w:color="auto" w:fill="2B6CB0"/>
            <w:tcMar>
              <w:top w:w="40" w:type="dxa"/>
              <w:left w:w="80" w:type="dxa"/>
              <w:bottom w:w="40" w:type="dxa"/>
              <w:right w:w="80" w:type="dxa"/>
            </w:tcMar>
          </w:tcPr>
          <w:p w14:paraId="18A0E585">
            <w:pPr>
              <w:jc w:val="center"/>
            </w:pPr>
            <w:r>
              <w:rPr>
                <w:rFonts w:ascii="Times New Roman" w:hAnsi="Times New Roman" w:eastAsia="Times New Roman" w:cs="Times New Roman"/>
                <w:b/>
                <w:bCs/>
                <w:color w:val="FFFFFF"/>
                <w:sz w:val="18"/>
                <w:szCs w:val="18"/>
              </w:rPr>
              <w:t>Spec.</w:t>
            </w:r>
          </w:p>
        </w:tc>
        <w:tc>
          <w:tcPr>
            <w:tcW w:w="1280" w:type="dxa"/>
            <w:shd w:val="clear" w:color="auto" w:fill="2B6CB0"/>
            <w:tcMar>
              <w:top w:w="40" w:type="dxa"/>
              <w:left w:w="80" w:type="dxa"/>
              <w:bottom w:w="40" w:type="dxa"/>
              <w:right w:w="80" w:type="dxa"/>
            </w:tcMar>
          </w:tcPr>
          <w:p w14:paraId="458B7F01">
            <w:pPr>
              <w:jc w:val="center"/>
            </w:pPr>
            <w:r>
              <w:rPr>
                <w:rFonts w:ascii="Times New Roman" w:hAnsi="Times New Roman" w:eastAsia="Times New Roman" w:cs="Times New Roman"/>
                <w:b/>
                <w:bCs/>
                <w:color w:val="FFFFFF"/>
                <w:sz w:val="18"/>
                <w:szCs w:val="18"/>
              </w:rPr>
              <w:t>Bal. Acc.</w:t>
            </w:r>
          </w:p>
        </w:tc>
      </w:tr>
      <w:tr w14:paraId="639DA421">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12B1418B">
            <w:pPr>
              <w:jc w:val="left"/>
            </w:pPr>
            <w:r>
              <w:rPr>
                <w:rFonts w:ascii="Times New Roman" w:hAnsi="Times New Roman" w:eastAsia="Times New Roman" w:cs="Times New Roman"/>
                <w:b w:val="0"/>
                <w:bCs w:val="0"/>
                <w:color w:val="1F2933"/>
                <w:sz w:val="18"/>
                <w:szCs w:val="18"/>
              </w:rPr>
              <w:t>High Jitter</w:t>
            </w:r>
          </w:p>
        </w:tc>
        <w:tc>
          <w:tcPr>
            <w:tcW w:w="1120" w:type="dxa"/>
            <w:tcMar>
              <w:top w:w="40" w:type="dxa"/>
              <w:left w:w="80" w:type="dxa"/>
              <w:bottom w:w="40" w:type="dxa"/>
              <w:right w:w="80" w:type="dxa"/>
            </w:tcMar>
          </w:tcPr>
          <w:p w14:paraId="443AFA2C">
            <w:pPr>
              <w:jc w:val="left"/>
            </w:pPr>
            <w:r>
              <w:rPr>
                <w:rFonts w:ascii="Times New Roman" w:hAnsi="Times New Roman" w:eastAsia="Times New Roman" w:cs="Times New Roman"/>
                <w:b w:val="0"/>
                <w:bCs w:val="0"/>
                <w:color w:val="1F2933"/>
                <w:sz w:val="18"/>
                <w:szCs w:val="18"/>
              </w:rPr>
              <w:t>jitter</w:t>
            </w:r>
          </w:p>
        </w:tc>
        <w:tc>
          <w:tcPr>
            <w:tcW w:w="640" w:type="dxa"/>
            <w:tcMar>
              <w:top w:w="40" w:type="dxa"/>
              <w:left w:w="80" w:type="dxa"/>
              <w:bottom w:w="40" w:type="dxa"/>
              <w:right w:w="80" w:type="dxa"/>
            </w:tcMar>
          </w:tcPr>
          <w:p w14:paraId="0F546991">
            <w:pPr>
              <w:jc w:val="right"/>
            </w:pPr>
            <w:r>
              <w:rPr>
                <w:rFonts w:ascii="Times New Roman" w:hAnsi="Times New Roman" w:eastAsia="Times New Roman" w:cs="Times New Roman"/>
                <w:b w:val="0"/>
                <w:bCs w:val="0"/>
                <w:color w:val="1F2933"/>
                <w:sz w:val="18"/>
                <w:szCs w:val="18"/>
              </w:rPr>
              <w:t>high</w:t>
            </w:r>
          </w:p>
        </w:tc>
        <w:tc>
          <w:tcPr>
            <w:tcW w:w="1160" w:type="dxa"/>
            <w:tcMar>
              <w:top w:w="40" w:type="dxa"/>
              <w:left w:w="80" w:type="dxa"/>
              <w:bottom w:w="40" w:type="dxa"/>
              <w:right w:w="80" w:type="dxa"/>
            </w:tcMar>
          </w:tcPr>
          <w:p w14:paraId="05F86A6F">
            <w:pPr>
              <w:jc w:val="right"/>
            </w:pPr>
            <w:r>
              <w:rPr>
                <w:rFonts w:ascii="Times New Roman" w:hAnsi="Times New Roman" w:eastAsia="Times New Roman" w:cs="Times New Roman"/>
                <w:b w:val="0"/>
                <w:bCs w:val="0"/>
                <w:color w:val="1F2933"/>
                <w:sz w:val="18"/>
                <w:szCs w:val="18"/>
              </w:rPr>
              <w:t>0.131945</w:t>
            </w:r>
          </w:p>
        </w:tc>
        <w:tc>
          <w:tcPr>
            <w:tcW w:w="520" w:type="dxa"/>
            <w:tcMar>
              <w:top w:w="40" w:type="dxa"/>
              <w:left w:w="80" w:type="dxa"/>
              <w:bottom w:w="40" w:type="dxa"/>
              <w:right w:w="80" w:type="dxa"/>
            </w:tcMar>
          </w:tcPr>
          <w:p w14:paraId="3AC19D62">
            <w:pPr>
              <w:jc w:val="right"/>
            </w:pPr>
            <w:r>
              <w:rPr>
                <w:rFonts w:ascii="Times New Roman" w:hAnsi="Times New Roman" w:eastAsia="Times New Roman" w:cs="Times New Roman"/>
                <w:b w:val="0"/>
                <w:bCs w:val="0"/>
                <w:color w:val="1F2933"/>
                <w:sz w:val="18"/>
                <w:szCs w:val="18"/>
              </w:rPr>
              <w:t>111</w:t>
            </w:r>
          </w:p>
        </w:tc>
        <w:tc>
          <w:tcPr>
            <w:tcW w:w="740" w:type="dxa"/>
            <w:tcMar>
              <w:top w:w="40" w:type="dxa"/>
              <w:left w:w="80" w:type="dxa"/>
              <w:bottom w:w="40" w:type="dxa"/>
              <w:right w:w="80" w:type="dxa"/>
            </w:tcMar>
          </w:tcPr>
          <w:p w14:paraId="228E5712">
            <w:pPr>
              <w:jc w:val="right"/>
            </w:pPr>
            <w:r>
              <w:rPr>
                <w:rFonts w:ascii="Times New Roman" w:hAnsi="Times New Roman" w:eastAsia="Times New Roman" w:cs="Times New Roman"/>
                <w:b w:val="0"/>
                <w:bCs w:val="0"/>
                <w:color w:val="1F2933"/>
                <w:sz w:val="18"/>
                <w:szCs w:val="18"/>
              </w:rPr>
              <w:t>0.109</w:t>
            </w:r>
          </w:p>
        </w:tc>
        <w:tc>
          <w:tcPr>
            <w:tcW w:w="740" w:type="dxa"/>
            <w:tcMar>
              <w:top w:w="40" w:type="dxa"/>
              <w:left w:w="80" w:type="dxa"/>
              <w:bottom w:w="40" w:type="dxa"/>
              <w:right w:w="80" w:type="dxa"/>
            </w:tcMar>
          </w:tcPr>
          <w:p w14:paraId="05DED4D1">
            <w:pPr>
              <w:jc w:val="right"/>
            </w:pPr>
            <w:r>
              <w:rPr>
                <w:rFonts w:ascii="Times New Roman" w:hAnsi="Times New Roman" w:eastAsia="Times New Roman" w:cs="Times New Roman"/>
                <w:b w:val="0"/>
                <w:bCs w:val="0"/>
                <w:color w:val="1F2933"/>
                <w:sz w:val="18"/>
                <w:szCs w:val="18"/>
              </w:rPr>
              <w:t>0.982</w:t>
            </w:r>
          </w:p>
        </w:tc>
        <w:tc>
          <w:tcPr>
            <w:tcW w:w="1280" w:type="dxa"/>
            <w:tcMar>
              <w:top w:w="40" w:type="dxa"/>
              <w:left w:w="80" w:type="dxa"/>
              <w:bottom w:w="40" w:type="dxa"/>
              <w:right w:w="80" w:type="dxa"/>
            </w:tcMar>
          </w:tcPr>
          <w:p w14:paraId="7A03B4F6">
            <w:pPr>
              <w:jc w:val="right"/>
            </w:pPr>
            <w:r>
              <w:rPr>
                <w:rFonts w:ascii="Times New Roman" w:hAnsi="Times New Roman" w:eastAsia="Times New Roman" w:cs="Times New Roman"/>
                <w:b w:val="0"/>
                <w:bCs w:val="0"/>
                <w:color w:val="1F2933"/>
                <w:sz w:val="18"/>
                <w:szCs w:val="18"/>
              </w:rPr>
              <w:t>0.546</w:t>
            </w:r>
          </w:p>
        </w:tc>
      </w:tr>
      <w:tr w14:paraId="625385DC">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shd w:val="clear" w:color="auto" w:fill="F1F5F9"/>
            <w:tcMar>
              <w:top w:w="40" w:type="dxa"/>
              <w:left w:w="80" w:type="dxa"/>
              <w:bottom w:w="40" w:type="dxa"/>
              <w:right w:w="80" w:type="dxa"/>
            </w:tcMar>
          </w:tcPr>
          <w:p w14:paraId="68A8A7E3">
            <w:pPr>
              <w:jc w:val="left"/>
            </w:pPr>
            <w:r>
              <w:rPr>
                <w:rFonts w:ascii="Times New Roman" w:hAnsi="Times New Roman" w:eastAsia="Times New Roman" w:cs="Times New Roman"/>
                <w:b w:val="0"/>
                <w:bCs w:val="0"/>
                <w:color w:val="1F2933"/>
                <w:sz w:val="18"/>
                <w:szCs w:val="18"/>
              </w:rPr>
              <w:t>High Pause Ratio</w:t>
            </w:r>
          </w:p>
        </w:tc>
        <w:tc>
          <w:tcPr>
            <w:tcW w:w="1120" w:type="dxa"/>
            <w:shd w:val="clear" w:color="auto" w:fill="F1F5F9"/>
            <w:tcMar>
              <w:top w:w="40" w:type="dxa"/>
              <w:left w:w="80" w:type="dxa"/>
              <w:bottom w:w="40" w:type="dxa"/>
              <w:right w:w="80" w:type="dxa"/>
            </w:tcMar>
          </w:tcPr>
          <w:p w14:paraId="305FD434">
            <w:pPr>
              <w:jc w:val="left"/>
            </w:pPr>
            <w:r>
              <w:rPr>
                <w:rFonts w:ascii="Times New Roman" w:hAnsi="Times New Roman" w:eastAsia="Times New Roman" w:cs="Times New Roman"/>
                <w:b w:val="0"/>
                <w:bCs w:val="0"/>
                <w:color w:val="1F2933"/>
                <w:sz w:val="18"/>
                <w:szCs w:val="18"/>
              </w:rPr>
              <w:t>pause_ratio</w:t>
            </w:r>
          </w:p>
        </w:tc>
        <w:tc>
          <w:tcPr>
            <w:tcW w:w="640" w:type="dxa"/>
            <w:shd w:val="clear" w:color="auto" w:fill="F1F5F9"/>
            <w:tcMar>
              <w:top w:w="40" w:type="dxa"/>
              <w:left w:w="80" w:type="dxa"/>
              <w:bottom w:w="40" w:type="dxa"/>
              <w:right w:w="80" w:type="dxa"/>
            </w:tcMar>
          </w:tcPr>
          <w:p w14:paraId="6876643C">
            <w:pPr>
              <w:jc w:val="right"/>
            </w:pPr>
            <w:r>
              <w:rPr>
                <w:rFonts w:ascii="Times New Roman" w:hAnsi="Times New Roman" w:eastAsia="Times New Roman" w:cs="Times New Roman"/>
                <w:b w:val="0"/>
                <w:bCs w:val="0"/>
                <w:color w:val="1F2933"/>
                <w:sz w:val="18"/>
                <w:szCs w:val="18"/>
              </w:rPr>
              <w:t>high</w:t>
            </w:r>
          </w:p>
        </w:tc>
        <w:tc>
          <w:tcPr>
            <w:tcW w:w="1160" w:type="dxa"/>
            <w:shd w:val="clear" w:color="auto" w:fill="F1F5F9"/>
            <w:tcMar>
              <w:top w:w="40" w:type="dxa"/>
              <w:left w:w="80" w:type="dxa"/>
              <w:bottom w:w="40" w:type="dxa"/>
              <w:right w:w="80" w:type="dxa"/>
            </w:tcMar>
          </w:tcPr>
          <w:p w14:paraId="25CA1096">
            <w:pPr>
              <w:jc w:val="right"/>
            </w:pPr>
            <w:r>
              <w:rPr>
                <w:rFonts w:ascii="Times New Roman" w:hAnsi="Times New Roman" w:eastAsia="Times New Roman" w:cs="Times New Roman"/>
                <w:b w:val="0"/>
                <w:bCs w:val="0"/>
                <w:color w:val="1F2933"/>
                <w:sz w:val="18"/>
                <w:szCs w:val="18"/>
              </w:rPr>
              <w:t>0.339809</w:t>
            </w:r>
          </w:p>
        </w:tc>
        <w:tc>
          <w:tcPr>
            <w:tcW w:w="520" w:type="dxa"/>
            <w:shd w:val="clear" w:color="auto" w:fill="F1F5F9"/>
            <w:tcMar>
              <w:top w:w="40" w:type="dxa"/>
              <w:left w:w="80" w:type="dxa"/>
              <w:bottom w:w="40" w:type="dxa"/>
              <w:right w:w="80" w:type="dxa"/>
            </w:tcMar>
          </w:tcPr>
          <w:p w14:paraId="1A3BB58C">
            <w:pPr>
              <w:jc w:val="right"/>
            </w:pPr>
            <w:r>
              <w:rPr>
                <w:rFonts w:ascii="Times New Roman" w:hAnsi="Times New Roman" w:eastAsia="Times New Roman" w:cs="Times New Roman"/>
                <w:b w:val="0"/>
                <w:bCs w:val="0"/>
                <w:color w:val="1F2933"/>
                <w:sz w:val="18"/>
                <w:szCs w:val="18"/>
              </w:rPr>
              <w:t>108</w:t>
            </w:r>
          </w:p>
        </w:tc>
        <w:tc>
          <w:tcPr>
            <w:tcW w:w="740" w:type="dxa"/>
            <w:shd w:val="clear" w:color="auto" w:fill="F1F5F9"/>
            <w:tcMar>
              <w:top w:w="40" w:type="dxa"/>
              <w:left w:w="80" w:type="dxa"/>
              <w:bottom w:w="40" w:type="dxa"/>
              <w:right w:w="80" w:type="dxa"/>
            </w:tcMar>
          </w:tcPr>
          <w:p w14:paraId="18D644E3">
            <w:pPr>
              <w:jc w:val="right"/>
            </w:pPr>
            <w:r>
              <w:rPr>
                <w:rFonts w:ascii="Times New Roman" w:hAnsi="Times New Roman" w:eastAsia="Times New Roman" w:cs="Times New Roman"/>
                <w:b w:val="0"/>
                <w:bCs w:val="0"/>
                <w:color w:val="1F2933"/>
                <w:sz w:val="18"/>
                <w:szCs w:val="18"/>
              </w:rPr>
              <w:t>0.942</w:t>
            </w:r>
          </w:p>
        </w:tc>
        <w:tc>
          <w:tcPr>
            <w:tcW w:w="740" w:type="dxa"/>
            <w:shd w:val="clear" w:color="auto" w:fill="F1F5F9"/>
            <w:tcMar>
              <w:top w:w="40" w:type="dxa"/>
              <w:left w:w="80" w:type="dxa"/>
              <w:bottom w:w="40" w:type="dxa"/>
              <w:right w:w="80" w:type="dxa"/>
            </w:tcMar>
          </w:tcPr>
          <w:p w14:paraId="0D3F33E4">
            <w:pPr>
              <w:jc w:val="right"/>
            </w:pPr>
            <w:r>
              <w:rPr>
                <w:rFonts w:ascii="Times New Roman" w:hAnsi="Times New Roman" w:eastAsia="Times New Roman" w:cs="Times New Roman"/>
                <w:b w:val="0"/>
                <w:bCs w:val="0"/>
                <w:color w:val="1F2933"/>
                <w:sz w:val="18"/>
                <w:szCs w:val="18"/>
              </w:rPr>
              <w:t>0.196</w:t>
            </w:r>
          </w:p>
        </w:tc>
        <w:tc>
          <w:tcPr>
            <w:tcW w:w="1280" w:type="dxa"/>
            <w:shd w:val="clear" w:color="auto" w:fill="F1F5F9"/>
            <w:tcMar>
              <w:top w:w="40" w:type="dxa"/>
              <w:left w:w="80" w:type="dxa"/>
              <w:bottom w:w="40" w:type="dxa"/>
              <w:right w:w="80" w:type="dxa"/>
            </w:tcMar>
          </w:tcPr>
          <w:p w14:paraId="243A81CF">
            <w:pPr>
              <w:jc w:val="right"/>
            </w:pPr>
            <w:r>
              <w:rPr>
                <w:rFonts w:ascii="Times New Roman" w:hAnsi="Times New Roman" w:eastAsia="Times New Roman" w:cs="Times New Roman"/>
                <w:b w:val="0"/>
                <w:bCs w:val="0"/>
                <w:color w:val="1F2933"/>
                <w:sz w:val="18"/>
                <w:szCs w:val="18"/>
              </w:rPr>
              <w:t>0.569</w:t>
            </w:r>
          </w:p>
        </w:tc>
      </w:tr>
      <w:tr w14:paraId="09D0B18D">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535B5B24">
            <w:pPr>
              <w:jc w:val="left"/>
            </w:pPr>
            <w:r>
              <w:rPr>
                <w:rFonts w:ascii="Times New Roman" w:hAnsi="Times New Roman" w:eastAsia="Times New Roman" w:cs="Times New Roman"/>
                <w:b w:val="0"/>
                <w:bCs w:val="0"/>
                <w:color w:val="1F2933"/>
                <w:sz w:val="18"/>
                <w:szCs w:val="18"/>
              </w:rPr>
              <w:t>Low Speech Rate</w:t>
            </w:r>
          </w:p>
        </w:tc>
        <w:tc>
          <w:tcPr>
            <w:tcW w:w="1120" w:type="dxa"/>
            <w:tcMar>
              <w:top w:w="40" w:type="dxa"/>
              <w:left w:w="80" w:type="dxa"/>
              <w:bottom w:w="40" w:type="dxa"/>
              <w:right w:w="80" w:type="dxa"/>
            </w:tcMar>
          </w:tcPr>
          <w:p w14:paraId="49DAC51F">
            <w:pPr>
              <w:jc w:val="left"/>
            </w:pPr>
            <w:r>
              <w:rPr>
                <w:rFonts w:ascii="Times New Roman" w:hAnsi="Times New Roman" w:eastAsia="Times New Roman" w:cs="Times New Roman"/>
                <w:b w:val="0"/>
                <w:bCs w:val="0"/>
                <w:color w:val="1F2933"/>
                <w:sz w:val="18"/>
                <w:szCs w:val="18"/>
              </w:rPr>
              <w:t>speech_rate</w:t>
            </w:r>
          </w:p>
        </w:tc>
        <w:tc>
          <w:tcPr>
            <w:tcW w:w="640" w:type="dxa"/>
            <w:tcMar>
              <w:top w:w="40" w:type="dxa"/>
              <w:left w:w="80" w:type="dxa"/>
              <w:bottom w:w="40" w:type="dxa"/>
              <w:right w:w="80" w:type="dxa"/>
            </w:tcMar>
          </w:tcPr>
          <w:p w14:paraId="63DA0F31">
            <w:pPr>
              <w:jc w:val="right"/>
            </w:pPr>
            <w:r>
              <w:rPr>
                <w:rFonts w:ascii="Times New Roman" w:hAnsi="Times New Roman" w:eastAsia="Times New Roman" w:cs="Times New Roman"/>
                <w:b w:val="0"/>
                <w:bCs w:val="0"/>
                <w:color w:val="1F2933"/>
                <w:sz w:val="18"/>
                <w:szCs w:val="18"/>
              </w:rPr>
              <w:t>low</w:t>
            </w:r>
          </w:p>
        </w:tc>
        <w:tc>
          <w:tcPr>
            <w:tcW w:w="1160" w:type="dxa"/>
            <w:tcMar>
              <w:top w:w="40" w:type="dxa"/>
              <w:left w:w="80" w:type="dxa"/>
              <w:bottom w:w="40" w:type="dxa"/>
              <w:right w:w="80" w:type="dxa"/>
            </w:tcMar>
          </w:tcPr>
          <w:p w14:paraId="21A8009A">
            <w:pPr>
              <w:jc w:val="right"/>
            </w:pPr>
            <w:r>
              <w:rPr>
                <w:rFonts w:ascii="Times New Roman" w:hAnsi="Times New Roman" w:eastAsia="Times New Roman" w:cs="Times New Roman"/>
                <w:b w:val="0"/>
                <w:bCs w:val="0"/>
                <w:color w:val="1F2933"/>
                <w:sz w:val="18"/>
                <w:szCs w:val="18"/>
              </w:rPr>
              <w:t>3.837305</w:t>
            </w:r>
          </w:p>
        </w:tc>
        <w:tc>
          <w:tcPr>
            <w:tcW w:w="520" w:type="dxa"/>
            <w:tcMar>
              <w:top w:w="40" w:type="dxa"/>
              <w:left w:w="80" w:type="dxa"/>
              <w:bottom w:w="40" w:type="dxa"/>
              <w:right w:w="80" w:type="dxa"/>
            </w:tcMar>
          </w:tcPr>
          <w:p w14:paraId="6CC662D5">
            <w:pPr>
              <w:jc w:val="right"/>
            </w:pPr>
            <w:r>
              <w:rPr>
                <w:rFonts w:ascii="Times New Roman" w:hAnsi="Times New Roman" w:eastAsia="Times New Roman" w:cs="Times New Roman"/>
                <w:b w:val="0"/>
                <w:bCs w:val="0"/>
                <w:color w:val="1F2933"/>
                <w:sz w:val="18"/>
                <w:szCs w:val="18"/>
              </w:rPr>
              <w:t>108</w:t>
            </w:r>
          </w:p>
        </w:tc>
        <w:tc>
          <w:tcPr>
            <w:tcW w:w="740" w:type="dxa"/>
            <w:tcMar>
              <w:top w:w="40" w:type="dxa"/>
              <w:left w:w="80" w:type="dxa"/>
              <w:bottom w:w="40" w:type="dxa"/>
              <w:right w:w="80" w:type="dxa"/>
            </w:tcMar>
          </w:tcPr>
          <w:p w14:paraId="19336441">
            <w:pPr>
              <w:jc w:val="right"/>
            </w:pPr>
            <w:r>
              <w:rPr>
                <w:rFonts w:ascii="Times New Roman" w:hAnsi="Times New Roman" w:eastAsia="Times New Roman" w:cs="Times New Roman"/>
                <w:b w:val="0"/>
                <w:bCs w:val="0"/>
                <w:color w:val="1F2933"/>
                <w:sz w:val="18"/>
                <w:szCs w:val="18"/>
              </w:rPr>
              <w:t>0.942</w:t>
            </w:r>
          </w:p>
        </w:tc>
        <w:tc>
          <w:tcPr>
            <w:tcW w:w="740" w:type="dxa"/>
            <w:tcMar>
              <w:top w:w="40" w:type="dxa"/>
              <w:left w:w="80" w:type="dxa"/>
              <w:bottom w:w="40" w:type="dxa"/>
              <w:right w:w="80" w:type="dxa"/>
            </w:tcMar>
          </w:tcPr>
          <w:p w14:paraId="017E421D">
            <w:pPr>
              <w:jc w:val="right"/>
            </w:pPr>
            <w:r>
              <w:rPr>
                <w:rFonts w:ascii="Times New Roman" w:hAnsi="Times New Roman" w:eastAsia="Times New Roman" w:cs="Times New Roman"/>
                <w:b w:val="0"/>
                <w:bCs w:val="0"/>
                <w:color w:val="1F2933"/>
                <w:sz w:val="18"/>
                <w:szCs w:val="18"/>
              </w:rPr>
              <w:t>0.143</w:t>
            </w:r>
          </w:p>
        </w:tc>
        <w:tc>
          <w:tcPr>
            <w:tcW w:w="1280" w:type="dxa"/>
            <w:tcMar>
              <w:top w:w="40" w:type="dxa"/>
              <w:left w:w="80" w:type="dxa"/>
              <w:bottom w:w="40" w:type="dxa"/>
              <w:right w:w="80" w:type="dxa"/>
            </w:tcMar>
          </w:tcPr>
          <w:p w14:paraId="17D36016">
            <w:pPr>
              <w:jc w:val="right"/>
            </w:pPr>
            <w:r>
              <w:rPr>
                <w:rFonts w:ascii="Times New Roman" w:hAnsi="Times New Roman" w:eastAsia="Times New Roman" w:cs="Times New Roman"/>
                <w:b w:val="0"/>
                <w:bCs w:val="0"/>
                <w:color w:val="1F2933"/>
                <w:sz w:val="18"/>
                <w:szCs w:val="18"/>
              </w:rPr>
              <w:t>0.543</w:t>
            </w:r>
          </w:p>
        </w:tc>
      </w:tr>
      <w:tr w14:paraId="2E86B2B9">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shd w:val="clear" w:color="auto" w:fill="F1F5F9"/>
            <w:tcMar>
              <w:top w:w="40" w:type="dxa"/>
              <w:left w:w="80" w:type="dxa"/>
              <w:bottom w:w="40" w:type="dxa"/>
              <w:right w:w="80" w:type="dxa"/>
            </w:tcMar>
          </w:tcPr>
          <w:p w14:paraId="255B3524">
            <w:pPr>
              <w:jc w:val="left"/>
            </w:pPr>
            <w:r>
              <w:rPr>
                <w:rFonts w:ascii="Times New Roman" w:hAnsi="Times New Roman" w:eastAsia="Times New Roman" w:cs="Times New Roman"/>
                <w:b w:val="0"/>
                <w:bCs w:val="0"/>
                <w:color w:val="1F2933"/>
                <w:sz w:val="18"/>
                <w:szCs w:val="18"/>
              </w:rPr>
              <w:t>Low Vocal Energy</w:t>
            </w:r>
          </w:p>
        </w:tc>
        <w:tc>
          <w:tcPr>
            <w:tcW w:w="1120" w:type="dxa"/>
            <w:shd w:val="clear" w:color="auto" w:fill="F1F5F9"/>
            <w:tcMar>
              <w:top w:w="40" w:type="dxa"/>
              <w:left w:w="80" w:type="dxa"/>
              <w:bottom w:w="40" w:type="dxa"/>
              <w:right w:w="80" w:type="dxa"/>
            </w:tcMar>
          </w:tcPr>
          <w:p w14:paraId="0CEE27F3">
            <w:pPr>
              <w:jc w:val="left"/>
            </w:pPr>
            <w:r>
              <w:rPr>
                <w:rFonts w:ascii="Times New Roman" w:hAnsi="Times New Roman" w:eastAsia="Times New Roman" w:cs="Times New Roman"/>
                <w:b w:val="0"/>
                <w:bCs w:val="0"/>
                <w:color w:val="1F2933"/>
                <w:sz w:val="18"/>
                <w:szCs w:val="18"/>
              </w:rPr>
              <w:t>energy</w:t>
            </w:r>
          </w:p>
        </w:tc>
        <w:tc>
          <w:tcPr>
            <w:tcW w:w="640" w:type="dxa"/>
            <w:shd w:val="clear" w:color="auto" w:fill="F1F5F9"/>
            <w:tcMar>
              <w:top w:w="40" w:type="dxa"/>
              <w:left w:w="80" w:type="dxa"/>
              <w:bottom w:w="40" w:type="dxa"/>
              <w:right w:w="80" w:type="dxa"/>
            </w:tcMar>
          </w:tcPr>
          <w:p w14:paraId="573ECF30">
            <w:pPr>
              <w:jc w:val="right"/>
            </w:pPr>
            <w:r>
              <w:rPr>
                <w:rFonts w:ascii="Times New Roman" w:hAnsi="Times New Roman" w:eastAsia="Times New Roman" w:cs="Times New Roman"/>
                <w:b w:val="0"/>
                <w:bCs w:val="0"/>
                <w:color w:val="1F2933"/>
                <w:sz w:val="18"/>
                <w:szCs w:val="18"/>
              </w:rPr>
              <w:t>low</w:t>
            </w:r>
          </w:p>
        </w:tc>
        <w:tc>
          <w:tcPr>
            <w:tcW w:w="1160" w:type="dxa"/>
            <w:shd w:val="clear" w:color="auto" w:fill="F1F5F9"/>
            <w:tcMar>
              <w:top w:w="40" w:type="dxa"/>
              <w:left w:w="80" w:type="dxa"/>
              <w:bottom w:w="40" w:type="dxa"/>
              <w:right w:w="80" w:type="dxa"/>
            </w:tcMar>
          </w:tcPr>
          <w:p w14:paraId="3747AADD">
            <w:pPr>
              <w:jc w:val="right"/>
            </w:pPr>
            <w:r>
              <w:rPr>
                <w:rFonts w:ascii="Times New Roman" w:hAnsi="Times New Roman" w:eastAsia="Times New Roman" w:cs="Times New Roman"/>
                <w:b w:val="0"/>
                <w:bCs w:val="0"/>
                <w:color w:val="1F2933"/>
                <w:sz w:val="18"/>
                <w:szCs w:val="18"/>
              </w:rPr>
              <w:t>0.004403</w:t>
            </w:r>
          </w:p>
        </w:tc>
        <w:tc>
          <w:tcPr>
            <w:tcW w:w="520" w:type="dxa"/>
            <w:shd w:val="clear" w:color="auto" w:fill="F1F5F9"/>
            <w:tcMar>
              <w:top w:w="40" w:type="dxa"/>
              <w:left w:w="80" w:type="dxa"/>
              <w:bottom w:w="40" w:type="dxa"/>
              <w:right w:w="80" w:type="dxa"/>
            </w:tcMar>
          </w:tcPr>
          <w:p w14:paraId="784B2907">
            <w:pPr>
              <w:jc w:val="right"/>
            </w:pPr>
            <w:r>
              <w:rPr>
                <w:rFonts w:ascii="Times New Roman" w:hAnsi="Times New Roman" w:eastAsia="Times New Roman" w:cs="Times New Roman"/>
                <w:b w:val="0"/>
                <w:bCs w:val="0"/>
                <w:color w:val="1F2933"/>
                <w:sz w:val="18"/>
                <w:szCs w:val="18"/>
              </w:rPr>
              <w:t>111</w:t>
            </w:r>
          </w:p>
        </w:tc>
        <w:tc>
          <w:tcPr>
            <w:tcW w:w="740" w:type="dxa"/>
            <w:shd w:val="clear" w:color="auto" w:fill="F1F5F9"/>
            <w:tcMar>
              <w:top w:w="40" w:type="dxa"/>
              <w:left w:w="80" w:type="dxa"/>
              <w:bottom w:w="40" w:type="dxa"/>
              <w:right w:w="80" w:type="dxa"/>
            </w:tcMar>
          </w:tcPr>
          <w:p w14:paraId="0E0FBD13">
            <w:pPr>
              <w:jc w:val="right"/>
            </w:pPr>
            <w:r>
              <w:rPr>
                <w:rFonts w:ascii="Times New Roman" w:hAnsi="Times New Roman" w:eastAsia="Times New Roman" w:cs="Times New Roman"/>
                <w:b w:val="0"/>
                <w:bCs w:val="0"/>
                <w:color w:val="1F2933"/>
                <w:sz w:val="18"/>
                <w:szCs w:val="18"/>
              </w:rPr>
              <w:t>0.273</w:t>
            </w:r>
          </w:p>
        </w:tc>
        <w:tc>
          <w:tcPr>
            <w:tcW w:w="740" w:type="dxa"/>
            <w:shd w:val="clear" w:color="auto" w:fill="F1F5F9"/>
            <w:tcMar>
              <w:top w:w="40" w:type="dxa"/>
              <w:left w:w="80" w:type="dxa"/>
              <w:bottom w:w="40" w:type="dxa"/>
              <w:right w:w="80" w:type="dxa"/>
            </w:tcMar>
          </w:tcPr>
          <w:p w14:paraId="2109E9D5">
            <w:pPr>
              <w:jc w:val="right"/>
            </w:pPr>
            <w:r>
              <w:rPr>
                <w:rFonts w:ascii="Times New Roman" w:hAnsi="Times New Roman" w:eastAsia="Times New Roman" w:cs="Times New Roman"/>
                <w:b w:val="0"/>
                <w:bCs w:val="0"/>
                <w:color w:val="1F2933"/>
                <w:sz w:val="18"/>
                <w:szCs w:val="18"/>
              </w:rPr>
              <w:t>0.893</w:t>
            </w:r>
          </w:p>
        </w:tc>
        <w:tc>
          <w:tcPr>
            <w:tcW w:w="1280" w:type="dxa"/>
            <w:shd w:val="clear" w:color="auto" w:fill="F1F5F9"/>
            <w:tcMar>
              <w:top w:w="40" w:type="dxa"/>
              <w:left w:w="80" w:type="dxa"/>
              <w:bottom w:w="40" w:type="dxa"/>
              <w:right w:w="80" w:type="dxa"/>
            </w:tcMar>
          </w:tcPr>
          <w:p w14:paraId="7DB42D2E">
            <w:pPr>
              <w:jc w:val="right"/>
            </w:pPr>
            <w:r>
              <w:rPr>
                <w:rFonts w:ascii="Times New Roman" w:hAnsi="Times New Roman" w:eastAsia="Times New Roman" w:cs="Times New Roman"/>
                <w:b w:val="0"/>
                <w:bCs w:val="0"/>
                <w:color w:val="1F2933"/>
                <w:sz w:val="18"/>
                <w:szCs w:val="18"/>
              </w:rPr>
              <w:t>0.583</w:t>
            </w:r>
          </w:p>
        </w:tc>
      </w:tr>
      <w:tr w14:paraId="04080AD4">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2A1C4786">
            <w:pPr>
              <w:jc w:val="left"/>
            </w:pPr>
            <w:r>
              <w:rPr>
                <w:rFonts w:ascii="Times New Roman" w:hAnsi="Times New Roman" w:eastAsia="Times New Roman" w:cs="Times New Roman"/>
                <w:b w:val="0"/>
                <w:bCs w:val="0"/>
                <w:color w:val="1F2933"/>
                <w:sz w:val="18"/>
                <w:szCs w:val="18"/>
              </w:rPr>
              <w:t>High Pitch Variability</w:t>
            </w:r>
          </w:p>
        </w:tc>
        <w:tc>
          <w:tcPr>
            <w:tcW w:w="1120" w:type="dxa"/>
            <w:tcMar>
              <w:top w:w="40" w:type="dxa"/>
              <w:left w:w="80" w:type="dxa"/>
              <w:bottom w:w="40" w:type="dxa"/>
              <w:right w:w="80" w:type="dxa"/>
            </w:tcMar>
          </w:tcPr>
          <w:p w14:paraId="38CB21D7">
            <w:pPr>
              <w:jc w:val="left"/>
            </w:pPr>
            <w:r>
              <w:rPr>
                <w:rFonts w:ascii="Times New Roman" w:hAnsi="Times New Roman" w:eastAsia="Times New Roman" w:cs="Times New Roman"/>
                <w:b w:val="0"/>
                <w:bCs w:val="0"/>
                <w:color w:val="1F2933"/>
                <w:sz w:val="18"/>
                <w:szCs w:val="18"/>
              </w:rPr>
              <w:t>pitch_std</w:t>
            </w:r>
          </w:p>
        </w:tc>
        <w:tc>
          <w:tcPr>
            <w:tcW w:w="640" w:type="dxa"/>
            <w:tcMar>
              <w:top w:w="40" w:type="dxa"/>
              <w:left w:w="80" w:type="dxa"/>
              <w:bottom w:w="40" w:type="dxa"/>
              <w:right w:w="80" w:type="dxa"/>
            </w:tcMar>
          </w:tcPr>
          <w:p w14:paraId="31A1383C">
            <w:pPr>
              <w:jc w:val="right"/>
            </w:pPr>
            <w:r>
              <w:rPr>
                <w:rFonts w:ascii="Times New Roman" w:hAnsi="Times New Roman" w:eastAsia="Times New Roman" w:cs="Times New Roman"/>
                <w:b w:val="0"/>
                <w:bCs w:val="0"/>
                <w:color w:val="1F2933"/>
                <w:sz w:val="18"/>
                <w:szCs w:val="18"/>
              </w:rPr>
              <w:t>high</w:t>
            </w:r>
          </w:p>
        </w:tc>
        <w:tc>
          <w:tcPr>
            <w:tcW w:w="1160" w:type="dxa"/>
            <w:tcMar>
              <w:top w:w="40" w:type="dxa"/>
              <w:left w:w="80" w:type="dxa"/>
              <w:bottom w:w="40" w:type="dxa"/>
              <w:right w:w="80" w:type="dxa"/>
            </w:tcMar>
          </w:tcPr>
          <w:p w14:paraId="7D102E88">
            <w:pPr>
              <w:jc w:val="right"/>
            </w:pPr>
            <w:r>
              <w:rPr>
                <w:rFonts w:ascii="Times New Roman" w:hAnsi="Times New Roman" w:eastAsia="Times New Roman" w:cs="Times New Roman"/>
                <w:b w:val="0"/>
                <w:bCs w:val="0"/>
                <w:color w:val="1F2933"/>
                <w:sz w:val="18"/>
                <w:szCs w:val="18"/>
              </w:rPr>
              <w:t>42.658337</w:t>
            </w:r>
          </w:p>
        </w:tc>
        <w:tc>
          <w:tcPr>
            <w:tcW w:w="520" w:type="dxa"/>
            <w:tcMar>
              <w:top w:w="40" w:type="dxa"/>
              <w:left w:w="80" w:type="dxa"/>
              <w:bottom w:w="40" w:type="dxa"/>
              <w:right w:w="80" w:type="dxa"/>
            </w:tcMar>
          </w:tcPr>
          <w:p w14:paraId="2FD09A12">
            <w:pPr>
              <w:jc w:val="right"/>
            </w:pPr>
            <w:r>
              <w:rPr>
                <w:rFonts w:ascii="Times New Roman" w:hAnsi="Times New Roman" w:eastAsia="Times New Roman" w:cs="Times New Roman"/>
                <w:b w:val="0"/>
                <w:bCs w:val="0"/>
                <w:color w:val="1F2933"/>
                <w:sz w:val="18"/>
                <w:szCs w:val="18"/>
              </w:rPr>
              <w:t>111</w:t>
            </w:r>
          </w:p>
        </w:tc>
        <w:tc>
          <w:tcPr>
            <w:tcW w:w="740" w:type="dxa"/>
            <w:tcMar>
              <w:top w:w="40" w:type="dxa"/>
              <w:left w:w="80" w:type="dxa"/>
              <w:bottom w:w="40" w:type="dxa"/>
              <w:right w:w="80" w:type="dxa"/>
            </w:tcMar>
          </w:tcPr>
          <w:p w14:paraId="4AFA4BAF">
            <w:pPr>
              <w:jc w:val="right"/>
            </w:pPr>
            <w:r>
              <w:rPr>
                <w:rFonts w:ascii="Times New Roman" w:hAnsi="Times New Roman" w:eastAsia="Times New Roman" w:cs="Times New Roman"/>
                <w:b w:val="0"/>
                <w:bCs w:val="0"/>
                <w:color w:val="1F2933"/>
                <w:sz w:val="18"/>
                <w:szCs w:val="18"/>
              </w:rPr>
              <w:t>0.764</w:t>
            </w:r>
          </w:p>
        </w:tc>
        <w:tc>
          <w:tcPr>
            <w:tcW w:w="740" w:type="dxa"/>
            <w:tcMar>
              <w:top w:w="40" w:type="dxa"/>
              <w:left w:w="80" w:type="dxa"/>
              <w:bottom w:w="40" w:type="dxa"/>
              <w:right w:w="80" w:type="dxa"/>
            </w:tcMar>
          </w:tcPr>
          <w:p w14:paraId="35064AB6">
            <w:pPr>
              <w:jc w:val="right"/>
            </w:pPr>
            <w:r>
              <w:rPr>
                <w:rFonts w:ascii="Times New Roman" w:hAnsi="Times New Roman" w:eastAsia="Times New Roman" w:cs="Times New Roman"/>
                <w:b w:val="0"/>
                <w:bCs w:val="0"/>
                <w:color w:val="1F2933"/>
                <w:sz w:val="18"/>
                <w:szCs w:val="18"/>
              </w:rPr>
              <w:t>0.554</w:t>
            </w:r>
          </w:p>
        </w:tc>
        <w:tc>
          <w:tcPr>
            <w:tcW w:w="1280" w:type="dxa"/>
            <w:tcMar>
              <w:top w:w="40" w:type="dxa"/>
              <w:left w:w="80" w:type="dxa"/>
              <w:bottom w:w="40" w:type="dxa"/>
              <w:right w:w="80" w:type="dxa"/>
            </w:tcMar>
          </w:tcPr>
          <w:p w14:paraId="4D749C7A">
            <w:pPr>
              <w:jc w:val="right"/>
            </w:pPr>
            <w:r>
              <w:rPr>
                <w:rFonts w:ascii="Times New Roman" w:hAnsi="Times New Roman" w:eastAsia="Times New Roman" w:cs="Times New Roman"/>
                <w:b w:val="0"/>
                <w:bCs w:val="0"/>
                <w:color w:val="1F2933"/>
                <w:sz w:val="18"/>
                <w:szCs w:val="18"/>
              </w:rPr>
              <w:t>0.659</w:t>
            </w:r>
          </w:p>
        </w:tc>
      </w:tr>
      <w:tr w14:paraId="3D7C23D8">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shd w:val="clear" w:color="auto" w:fill="F1F5F9"/>
            <w:tcMar>
              <w:top w:w="40" w:type="dxa"/>
              <w:left w:w="80" w:type="dxa"/>
              <w:bottom w:w="40" w:type="dxa"/>
              <w:right w:w="80" w:type="dxa"/>
            </w:tcMar>
          </w:tcPr>
          <w:p w14:paraId="259A8A37">
            <w:pPr>
              <w:jc w:val="left"/>
            </w:pPr>
            <w:r>
              <w:rPr>
                <w:rFonts w:ascii="Times New Roman" w:hAnsi="Times New Roman" w:eastAsia="Times New Roman" w:cs="Times New Roman"/>
                <w:b w:val="0"/>
                <w:bCs w:val="0"/>
                <w:color w:val="1F2933"/>
                <w:sz w:val="18"/>
                <w:szCs w:val="18"/>
              </w:rPr>
              <w:t>High Mean Pitch</w:t>
            </w:r>
          </w:p>
        </w:tc>
        <w:tc>
          <w:tcPr>
            <w:tcW w:w="1120" w:type="dxa"/>
            <w:shd w:val="clear" w:color="auto" w:fill="F1F5F9"/>
            <w:tcMar>
              <w:top w:w="40" w:type="dxa"/>
              <w:left w:w="80" w:type="dxa"/>
              <w:bottom w:w="40" w:type="dxa"/>
              <w:right w:w="80" w:type="dxa"/>
            </w:tcMar>
          </w:tcPr>
          <w:p w14:paraId="6C1A1E57">
            <w:pPr>
              <w:jc w:val="left"/>
            </w:pPr>
            <w:r>
              <w:rPr>
                <w:rFonts w:ascii="Times New Roman" w:hAnsi="Times New Roman" w:eastAsia="Times New Roman" w:cs="Times New Roman"/>
                <w:b w:val="0"/>
                <w:bCs w:val="0"/>
                <w:color w:val="1F2933"/>
                <w:sz w:val="18"/>
                <w:szCs w:val="18"/>
              </w:rPr>
              <w:t>pitch_mean</w:t>
            </w:r>
          </w:p>
        </w:tc>
        <w:tc>
          <w:tcPr>
            <w:tcW w:w="640" w:type="dxa"/>
            <w:shd w:val="clear" w:color="auto" w:fill="F1F5F9"/>
            <w:tcMar>
              <w:top w:w="40" w:type="dxa"/>
              <w:left w:w="80" w:type="dxa"/>
              <w:bottom w:w="40" w:type="dxa"/>
              <w:right w:w="80" w:type="dxa"/>
            </w:tcMar>
          </w:tcPr>
          <w:p w14:paraId="33EC6B25">
            <w:pPr>
              <w:jc w:val="right"/>
            </w:pPr>
            <w:r>
              <w:rPr>
                <w:rFonts w:ascii="Times New Roman" w:hAnsi="Times New Roman" w:eastAsia="Times New Roman" w:cs="Times New Roman"/>
                <w:b w:val="0"/>
                <w:bCs w:val="0"/>
                <w:color w:val="1F2933"/>
                <w:sz w:val="18"/>
                <w:szCs w:val="18"/>
              </w:rPr>
              <w:t>high</w:t>
            </w:r>
          </w:p>
        </w:tc>
        <w:tc>
          <w:tcPr>
            <w:tcW w:w="1160" w:type="dxa"/>
            <w:shd w:val="clear" w:color="auto" w:fill="F1F5F9"/>
            <w:tcMar>
              <w:top w:w="40" w:type="dxa"/>
              <w:left w:w="80" w:type="dxa"/>
              <w:bottom w:w="40" w:type="dxa"/>
              <w:right w:w="80" w:type="dxa"/>
            </w:tcMar>
          </w:tcPr>
          <w:p w14:paraId="7542B1A8">
            <w:pPr>
              <w:jc w:val="right"/>
            </w:pPr>
            <w:r>
              <w:rPr>
                <w:rFonts w:ascii="Times New Roman" w:hAnsi="Times New Roman" w:eastAsia="Times New Roman" w:cs="Times New Roman"/>
                <w:b w:val="0"/>
                <w:bCs w:val="0"/>
                <w:color w:val="1F2933"/>
                <w:sz w:val="18"/>
                <w:szCs w:val="18"/>
              </w:rPr>
              <w:t>147.442277</w:t>
            </w:r>
          </w:p>
        </w:tc>
        <w:tc>
          <w:tcPr>
            <w:tcW w:w="520" w:type="dxa"/>
            <w:shd w:val="clear" w:color="auto" w:fill="F1F5F9"/>
            <w:tcMar>
              <w:top w:w="40" w:type="dxa"/>
              <w:left w:w="80" w:type="dxa"/>
              <w:bottom w:w="40" w:type="dxa"/>
              <w:right w:w="80" w:type="dxa"/>
            </w:tcMar>
          </w:tcPr>
          <w:p w14:paraId="5AD3CDD5">
            <w:pPr>
              <w:jc w:val="right"/>
            </w:pPr>
            <w:r>
              <w:rPr>
                <w:rFonts w:ascii="Times New Roman" w:hAnsi="Times New Roman" w:eastAsia="Times New Roman" w:cs="Times New Roman"/>
                <w:b w:val="0"/>
                <w:bCs w:val="0"/>
                <w:color w:val="1F2933"/>
                <w:sz w:val="18"/>
                <w:szCs w:val="18"/>
              </w:rPr>
              <w:t>111</w:t>
            </w:r>
          </w:p>
        </w:tc>
        <w:tc>
          <w:tcPr>
            <w:tcW w:w="740" w:type="dxa"/>
            <w:shd w:val="clear" w:color="auto" w:fill="F1F5F9"/>
            <w:tcMar>
              <w:top w:w="40" w:type="dxa"/>
              <w:left w:w="80" w:type="dxa"/>
              <w:bottom w:w="40" w:type="dxa"/>
              <w:right w:w="80" w:type="dxa"/>
            </w:tcMar>
          </w:tcPr>
          <w:p w14:paraId="2813A32D">
            <w:pPr>
              <w:jc w:val="right"/>
            </w:pPr>
            <w:r>
              <w:rPr>
                <w:rFonts w:ascii="Times New Roman" w:hAnsi="Times New Roman" w:eastAsia="Times New Roman" w:cs="Times New Roman"/>
                <w:b w:val="0"/>
                <w:bCs w:val="0"/>
                <w:color w:val="1F2933"/>
                <w:sz w:val="18"/>
                <w:szCs w:val="18"/>
              </w:rPr>
              <w:t>0.727</w:t>
            </w:r>
          </w:p>
        </w:tc>
        <w:tc>
          <w:tcPr>
            <w:tcW w:w="740" w:type="dxa"/>
            <w:shd w:val="clear" w:color="auto" w:fill="F1F5F9"/>
            <w:tcMar>
              <w:top w:w="40" w:type="dxa"/>
              <w:left w:w="80" w:type="dxa"/>
              <w:bottom w:w="40" w:type="dxa"/>
              <w:right w:w="80" w:type="dxa"/>
            </w:tcMar>
          </w:tcPr>
          <w:p w14:paraId="1C2C6643">
            <w:pPr>
              <w:jc w:val="right"/>
            </w:pPr>
            <w:r>
              <w:rPr>
                <w:rFonts w:ascii="Times New Roman" w:hAnsi="Times New Roman" w:eastAsia="Times New Roman" w:cs="Times New Roman"/>
                <w:b w:val="0"/>
                <w:bCs w:val="0"/>
                <w:color w:val="1F2933"/>
                <w:sz w:val="18"/>
                <w:szCs w:val="18"/>
              </w:rPr>
              <w:t>0.571</w:t>
            </w:r>
          </w:p>
        </w:tc>
        <w:tc>
          <w:tcPr>
            <w:tcW w:w="1280" w:type="dxa"/>
            <w:shd w:val="clear" w:color="auto" w:fill="F1F5F9"/>
            <w:tcMar>
              <w:top w:w="40" w:type="dxa"/>
              <w:left w:w="80" w:type="dxa"/>
              <w:bottom w:w="40" w:type="dxa"/>
              <w:right w:w="80" w:type="dxa"/>
            </w:tcMar>
          </w:tcPr>
          <w:p w14:paraId="6C58CC36">
            <w:pPr>
              <w:jc w:val="right"/>
            </w:pPr>
            <w:r>
              <w:rPr>
                <w:rFonts w:ascii="Times New Roman" w:hAnsi="Times New Roman" w:eastAsia="Times New Roman" w:cs="Times New Roman"/>
                <w:b w:val="0"/>
                <w:bCs w:val="0"/>
                <w:color w:val="1F2933"/>
                <w:sz w:val="18"/>
                <w:szCs w:val="18"/>
              </w:rPr>
              <w:t>0.649</w:t>
            </w:r>
          </w:p>
        </w:tc>
      </w:tr>
      <w:tr w14:paraId="78B56C9A">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3CA69D14">
            <w:pPr>
              <w:jc w:val="left"/>
            </w:pPr>
            <w:r>
              <w:rPr>
                <w:rFonts w:ascii="Times New Roman" w:hAnsi="Times New Roman" w:eastAsia="Times New Roman" w:cs="Times New Roman"/>
                <w:b w:val="0"/>
                <w:bCs w:val="0"/>
                <w:color w:val="1F2933"/>
                <w:sz w:val="18"/>
                <w:szCs w:val="18"/>
              </w:rPr>
              <w:t>Low Mean Pitch</w:t>
            </w:r>
          </w:p>
        </w:tc>
        <w:tc>
          <w:tcPr>
            <w:tcW w:w="1120" w:type="dxa"/>
            <w:tcMar>
              <w:top w:w="40" w:type="dxa"/>
              <w:left w:w="80" w:type="dxa"/>
              <w:bottom w:w="40" w:type="dxa"/>
              <w:right w:w="80" w:type="dxa"/>
            </w:tcMar>
          </w:tcPr>
          <w:p w14:paraId="15A1BAEF">
            <w:pPr>
              <w:jc w:val="left"/>
            </w:pPr>
            <w:r>
              <w:rPr>
                <w:rFonts w:ascii="Times New Roman" w:hAnsi="Times New Roman" w:eastAsia="Times New Roman" w:cs="Times New Roman"/>
                <w:b w:val="0"/>
                <w:bCs w:val="0"/>
                <w:color w:val="1F2933"/>
                <w:sz w:val="18"/>
                <w:szCs w:val="18"/>
              </w:rPr>
              <w:t>pitch_mean</w:t>
            </w:r>
          </w:p>
        </w:tc>
        <w:tc>
          <w:tcPr>
            <w:tcW w:w="640" w:type="dxa"/>
            <w:tcMar>
              <w:top w:w="40" w:type="dxa"/>
              <w:left w:w="80" w:type="dxa"/>
              <w:bottom w:w="40" w:type="dxa"/>
              <w:right w:w="80" w:type="dxa"/>
            </w:tcMar>
          </w:tcPr>
          <w:p w14:paraId="0F266FF0">
            <w:pPr>
              <w:jc w:val="right"/>
            </w:pPr>
            <w:r>
              <w:rPr>
                <w:rFonts w:ascii="Times New Roman" w:hAnsi="Times New Roman" w:eastAsia="Times New Roman" w:cs="Times New Roman"/>
                <w:b w:val="0"/>
                <w:bCs w:val="0"/>
                <w:color w:val="1F2933"/>
                <w:sz w:val="18"/>
                <w:szCs w:val="18"/>
              </w:rPr>
              <w:t>low</w:t>
            </w:r>
          </w:p>
        </w:tc>
        <w:tc>
          <w:tcPr>
            <w:tcW w:w="1160" w:type="dxa"/>
            <w:tcMar>
              <w:top w:w="40" w:type="dxa"/>
              <w:left w:w="80" w:type="dxa"/>
              <w:bottom w:w="40" w:type="dxa"/>
              <w:right w:w="80" w:type="dxa"/>
            </w:tcMar>
          </w:tcPr>
          <w:p w14:paraId="01AB181B">
            <w:pPr>
              <w:jc w:val="right"/>
            </w:pPr>
            <w:r>
              <w:rPr>
                <w:rFonts w:ascii="Times New Roman" w:hAnsi="Times New Roman" w:eastAsia="Times New Roman" w:cs="Times New Roman"/>
                <w:b w:val="0"/>
                <w:bCs w:val="0"/>
                <w:color w:val="1F2933"/>
                <w:sz w:val="18"/>
                <w:szCs w:val="18"/>
              </w:rPr>
              <w:t>122.941355</w:t>
            </w:r>
          </w:p>
        </w:tc>
        <w:tc>
          <w:tcPr>
            <w:tcW w:w="520" w:type="dxa"/>
            <w:tcMar>
              <w:top w:w="40" w:type="dxa"/>
              <w:left w:w="80" w:type="dxa"/>
              <w:bottom w:w="40" w:type="dxa"/>
              <w:right w:w="80" w:type="dxa"/>
            </w:tcMar>
          </w:tcPr>
          <w:p w14:paraId="7251EF2A">
            <w:pPr>
              <w:jc w:val="right"/>
            </w:pPr>
            <w:r>
              <w:rPr>
                <w:rFonts w:ascii="Times New Roman" w:hAnsi="Times New Roman" w:eastAsia="Times New Roman" w:cs="Times New Roman"/>
                <w:b w:val="0"/>
                <w:bCs w:val="0"/>
                <w:color w:val="1F2933"/>
                <w:sz w:val="18"/>
                <w:szCs w:val="18"/>
              </w:rPr>
              <w:t>111</w:t>
            </w:r>
          </w:p>
        </w:tc>
        <w:tc>
          <w:tcPr>
            <w:tcW w:w="740" w:type="dxa"/>
            <w:tcMar>
              <w:top w:w="40" w:type="dxa"/>
              <w:left w:w="80" w:type="dxa"/>
              <w:bottom w:w="40" w:type="dxa"/>
              <w:right w:w="80" w:type="dxa"/>
            </w:tcMar>
          </w:tcPr>
          <w:p w14:paraId="219DFA6B">
            <w:pPr>
              <w:jc w:val="right"/>
            </w:pPr>
            <w:r>
              <w:rPr>
                <w:rFonts w:ascii="Times New Roman" w:hAnsi="Times New Roman" w:eastAsia="Times New Roman" w:cs="Times New Roman"/>
                <w:b w:val="0"/>
                <w:bCs w:val="0"/>
                <w:color w:val="1F2933"/>
                <w:sz w:val="18"/>
                <w:szCs w:val="18"/>
              </w:rPr>
              <w:t>0.145</w:t>
            </w:r>
          </w:p>
        </w:tc>
        <w:tc>
          <w:tcPr>
            <w:tcW w:w="740" w:type="dxa"/>
            <w:tcMar>
              <w:top w:w="40" w:type="dxa"/>
              <w:left w:w="80" w:type="dxa"/>
              <w:bottom w:w="40" w:type="dxa"/>
              <w:right w:w="80" w:type="dxa"/>
            </w:tcMar>
          </w:tcPr>
          <w:p w14:paraId="1C299DCD">
            <w:pPr>
              <w:jc w:val="right"/>
            </w:pPr>
            <w:r>
              <w:rPr>
                <w:rFonts w:ascii="Times New Roman" w:hAnsi="Times New Roman" w:eastAsia="Times New Roman" w:cs="Times New Roman"/>
                <w:b w:val="0"/>
                <w:bCs w:val="0"/>
                <w:color w:val="1F2933"/>
                <w:sz w:val="18"/>
                <w:szCs w:val="18"/>
              </w:rPr>
              <w:t>0.929</w:t>
            </w:r>
          </w:p>
        </w:tc>
        <w:tc>
          <w:tcPr>
            <w:tcW w:w="1280" w:type="dxa"/>
            <w:tcMar>
              <w:top w:w="40" w:type="dxa"/>
              <w:left w:w="80" w:type="dxa"/>
              <w:bottom w:w="40" w:type="dxa"/>
              <w:right w:w="80" w:type="dxa"/>
            </w:tcMar>
          </w:tcPr>
          <w:p w14:paraId="7CC9ECC0">
            <w:pPr>
              <w:jc w:val="right"/>
            </w:pPr>
            <w:r>
              <w:rPr>
                <w:rFonts w:ascii="Times New Roman" w:hAnsi="Times New Roman" w:eastAsia="Times New Roman" w:cs="Times New Roman"/>
                <w:b w:val="0"/>
                <w:bCs w:val="0"/>
                <w:color w:val="1F2933"/>
                <w:sz w:val="18"/>
                <w:szCs w:val="18"/>
              </w:rPr>
              <w:t>0.537</w:t>
            </w:r>
          </w:p>
        </w:tc>
      </w:tr>
      <w:tr w14:paraId="33519CED">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shd w:val="clear" w:color="auto" w:fill="F1F5F9"/>
            <w:tcMar>
              <w:top w:w="40" w:type="dxa"/>
              <w:left w:w="80" w:type="dxa"/>
              <w:bottom w:w="40" w:type="dxa"/>
              <w:right w:w="80" w:type="dxa"/>
            </w:tcMar>
          </w:tcPr>
          <w:p w14:paraId="746F3008">
            <w:pPr>
              <w:jc w:val="left"/>
            </w:pPr>
            <w:r>
              <w:rPr>
                <w:rFonts w:ascii="Times New Roman" w:hAnsi="Times New Roman" w:eastAsia="Times New Roman" w:cs="Times New Roman"/>
                <w:b w:val="0"/>
                <w:bCs w:val="0"/>
                <w:color w:val="1F2933"/>
                <w:sz w:val="18"/>
                <w:szCs w:val="18"/>
              </w:rPr>
              <w:t>High MFCC 1 Mean</w:t>
            </w:r>
          </w:p>
        </w:tc>
        <w:tc>
          <w:tcPr>
            <w:tcW w:w="1120" w:type="dxa"/>
            <w:shd w:val="clear" w:color="auto" w:fill="F1F5F9"/>
            <w:tcMar>
              <w:top w:w="40" w:type="dxa"/>
              <w:left w:w="80" w:type="dxa"/>
              <w:bottom w:w="40" w:type="dxa"/>
              <w:right w:w="80" w:type="dxa"/>
            </w:tcMar>
          </w:tcPr>
          <w:p w14:paraId="5A93D6E4">
            <w:pPr>
              <w:jc w:val="left"/>
            </w:pPr>
            <w:r>
              <w:rPr>
                <w:rFonts w:ascii="Times New Roman" w:hAnsi="Times New Roman" w:eastAsia="Times New Roman" w:cs="Times New Roman"/>
                <w:b w:val="0"/>
                <w:bCs w:val="0"/>
                <w:color w:val="1F2933"/>
                <w:sz w:val="18"/>
                <w:szCs w:val="18"/>
              </w:rPr>
              <w:t>mfcc_mean_0</w:t>
            </w:r>
          </w:p>
        </w:tc>
        <w:tc>
          <w:tcPr>
            <w:tcW w:w="640" w:type="dxa"/>
            <w:shd w:val="clear" w:color="auto" w:fill="F1F5F9"/>
            <w:tcMar>
              <w:top w:w="40" w:type="dxa"/>
              <w:left w:w="80" w:type="dxa"/>
              <w:bottom w:w="40" w:type="dxa"/>
              <w:right w:w="80" w:type="dxa"/>
            </w:tcMar>
          </w:tcPr>
          <w:p w14:paraId="71007638">
            <w:pPr>
              <w:jc w:val="right"/>
            </w:pPr>
            <w:r>
              <w:rPr>
                <w:rFonts w:ascii="Times New Roman" w:hAnsi="Times New Roman" w:eastAsia="Times New Roman" w:cs="Times New Roman"/>
                <w:b w:val="0"/>
                <w:bCs w:val="0"/>
                <w:color w:val="1F2933"/>
                <w:sz w:val="18"/>
                <w:szCs w:val="18"/>
              </w:rPr>
              <w:t>high</w:t>
            </w:r>
          </w:p>
        </w:tc>
        <w:tc>
          <w:tcPr>
            <w:tcW w:w="1160" w:type="dxa"/>
            <w:shd w:val="clear" w:color="auto" w:fill="F1F5F9"/>
            <w:tcMar>
              <w:top w:w="40" w:type="dxa"/>
              <w:left w:w="80" w:type="dxa"/>
              <w:bottom w:w="40" w:type="dxa"/>
              <w:right w:w="80" w:type="dxa"/>
            </w:tcMar>
          </w:tcPr>
          <w:p w14:paraId="77762FED">
            <w:pPr>
              <w:jc w:val="right"/>
            </w:pPr>
            <w:r>
              <w:rPr>
                <w:rFonts w:ascii="Times New Roman" w:hAnsi="Times New Roman" w:eastAsia="Times New Roman" w:cs="Times New Roman"/>
                <w:b w:val="0"/>
                <w:bCs w:val="0"/>
                <w:color w:val="1F2933"/>
                <w:sz w:val="18"/>
                <w:szCs w:val="18"/>
              </w:rPr>
              <w:t>−85.899466</w:t>
            </w:r>
          </w:p>
        </w:tc>
        <w:tc>
          <w:tcPr>
            <w:tcW w:w="520" w:type="dxa"/>
            <w:shd w:val="clear" w:color="auto" w:fill="F1F5F9"/>
            <w:tcMar>
              <w:top w:w="40" w:type="dxa"/>
              <w:left w:w="80" w:type="dxa"/>
              <w:bottom w:w="40" w:type="dxa"/>
              <w:right w:w="80" w:type="dxa"/>
            </w:tcMar>
          </w:tcPr>
          <w:p w14:paraId="7D5A057E">
            <w:pPr>
              <w:jc w:val="right"/>
            </w:pPr>
            <w:r>
              <w:rPr>
                <w:rFonts w:ascii="Times New Roman" w:hAnsi="Times New Roman" w:eastAsia="Times New Roman" w:cs="Times New Roman"/>
                <w:b w:val="0"/>
                <w:bCs w:val="0"/>
                <w:color w:val="1F2933"/>
                <w:sz w:val="18"/>
                <w:szCs w:val="18"/>
              </w:rPr>
              <w:t>111</w:t>
            </w:r>
          </w:p>
        </w:tc>
        <w:tc>
          <w:tcPr>
            <w:tcW w:w="740" w:type="dxa"/>
            <w:shd w:val="clear" w:color="auto" w:fill="F1F5F9"/>
            <w:tcMar>
              <w:top w:w="40" w:type="dxa"/>
              <w:left w:w="80" w:type="dxa"/>
              <w:bottom w:w="40" w:type="dxa"/>
              <w:right w:w="80" w:type="dxa"/>
            </w:tcMar>
          </w:tcPr>
          <w:p w14:paraId="230803C3">
            <w:pPr>
              <w:jc w:val="right"/>
            </w:pPr>
            <w:r>
              <w:rPr>
                <w:rFonts w:ascii="Times New Roman" w:hAnsi="Times New Roman" w:eastAsia="Times New Roman" w:cs="Times New Roman"/>
                <w:b w:val="0"/>
                <w:bCs w:val="0"/>
                <w:color w:val="1F2933"/>
                <w:sz w:val="18"/>
                <w:szCs w:val="18"/>
              </w:rPr>
              <w:t>0.582</w:t>
            </w:r>
          </w:p>
        </w:tc>
        <w:tc>
          <w:tcPr>
            <w:tcW w:w="740" w:type="dxa"/>
            <w:shd w:val="clear" w:color="auto" w:fill="F1F5F9"/>
            <w:tcMar>
              <w:top w:w="40" w:type="dxa"/>
              <w:left w:w="80" w:type="dxa"/>
              <w:bottom w:w="40" w:type="dxa"/>
              <w:right w:w="80" w:type="dxa"/>
            </w:tcMar>
          </w:tcPr>
          <w:p w14:paraId="2EA8AAAC">
            <w:pPr>
              <w:jc w:val="right"/>
            </w:pPr>
            <w:r>
              <w:rPr>
                <w:rFonts w:ascii="Times New Roman" w:hAnsi="Times New Roman" w:eastAsia="Times New Roman" w:cs="Times New Roman"/>
                <w:b w:val="0"/>
                <w:bCs w:val="0"/>
                <w:color w:val="1F2933"/>
                <w:sz w:val="18"/>
                <w:szCs w:val="18"/>
              </w:rPr>
              <w:t>0.464</w:t>
            </w:r>
          </w:p>
        </w:tc>
        <w:tc>
          <w:tcPr>
            <w:tcW w:w="1280" w:type="dxa"/>
            <w:shd w:val="clear" w:color="auto" w:fill="F1F5F9"/>
            <w:tcMar>
              <w:top w:w="40" w:type="dxa"/>
              <w:left w:w="80" w:type="dxa"/>
              <w:bottom w:w="40" w:type="dxa"/>
              <w:right w:w="80" w:type="dxa"/>
            </w:tcMar>
          </w:tcPr>
          <w:p w14:paraId="246462A8">
            <w:pPr>
              <w:jc w:val="right"/>
            </w:pPr>
            <w:r>
              <w:rPr>
                <w:rFonts w:ascii="Times New Roman" w:hAnsi="Times New Roman" w:eastAsia="Times New Roman" w:cs="Times New Roman"/>
                <w:b w:val="0"/>
                <w:bCs w:val="0"/>
                <w:color w:val="1F2933"/>
                <w:sz w:val="18"/>
                <w:szCs w:val="18"/>
              </w:rPr>
              <w:t>0.523</w:t>
            </w:r>
          </w:p>
        </w:tc>
      </w:tr>
      <w:tr w14:paraId="61B0E991">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4DBBE1EB">
            <w:pPr>
              <w:jc w:val="left"/>
            </w:pPr>
            <w:r>
              <w:rPr>
                <w:rFonts w:ascii="Times New Roman" w:hAnsi="Times New Roman" w:eastAsia="Times New Roman" w:cs="Times New Roman"/>
                <w:b w:val="0"/>
                <w:bCs w:val="0"/>
                <w:color w:val="1F2933"/>
                <w:sz w:val="18"/>
                <w:szCs w:val="18"/>
              </w:rPr>
              <w:t>High MFCC 2 Variability</w:t>
            </w:r>
          </w:p>
        </w:tc>
        <w:tc>
          <w:tcPr>
            <w:tcW w:w="1120" w:type="dxa"/>
            <w:tcMar>
              <w:top w:w="40" w:type="dxa"/>
              <w:left w:w="80" w:type="dxa"/>
              <w:bottom w:w="40" w:type="dxa"/>
              <w:right w:w="80" w:type="dxa"/>
            </w:tcMar>
          </w:tcPr>
          <w:p w14:paraId="24B7262E">
            <w:pPr>
              <w:jc w:val="left"/>
            </w:pPr>
            <w:r>
              <w:rPr>
                <w:rFonts w:ascii="Times New Roman" w:hAnsi="Times New Roman" w:eastAsia="Times New Roman" w:cs="Times New Roman"/>
                <w:b w:val="0"/>
                <w:bCs w:val="0"/>
                <w:color w:val="1F2933"/>
                <w:sz w:val="18"/>
                <w:szCs w:val="18"/>
              </w:rPr>
              <w:t>mfcc_std_1</w:t>
            </w:r>
          </w:p>
        </w:tc>
        <w:tc>
          <w:tcPr>
            <w:tcW w:w="640" w:type="dxa"/>
            <w:tcMar>
              <w:top w:w="40" w:type="dxa"/>
              <w:left w:w="80" w:type="dxa"/>
              <w:bottom w:w="40" w:type="dxa"/>
              <w:right w:w="80" w:type="dxa"/>
            </w:tcMar>
          </w:tcPr>
          <w:p w14:paraId="09EFF469">
            <w:pPr>
              <w:jc w:val="right"/>
            </w:pPr>
            <w:r>
              <w:rPr>
                <w:rFonts w:ascii="Times New Roman" w:hAnsi="Times New Roman" w:eastAsia="Times New Roman" w:cs="Times New Roman"/>
                <w:b w:val="0"/>
                <w:bCs w:val="0"/>
                <w:color w:val="1F2933"/>
                <w:sz w:val="18"/>
                <w:szCs w:val="18"/>
              </w:rPr>
              <w:t>high</w:t>
            </w:r>
          </w:p>
        </w:tc>
        <w:tc>
          <w:tcPr>
            <w:tcW w:w="1160" w:type="dxa"/>
            <w:tcMar>
              <w:top w:w="40" w:type="dxa"/>
              <w:left w:w="80" w:type="dxa"/>
              <w:bottom w:w="40" w:type="dxa"/>
              <w:right w:w="80" w:type="dxa"/>
            </w:tcMar>
          </w:tcPr>
          <w:p w14:paraId="06418C63">
            <w:pPr>
              <w:jc w:val="right"/>
            </w:pPr>
            <w:r>
              <w:rPr>
                <w:rFonts w:ascii="Times New Roman" w:hAnsi="Times New Roman" w:eastAsia="Times New Roman" w:cs="Times New Roman"/>
                <w:b w:val="0"/>
                <w:bCs w:val="0"/>
                <w:color w:val="1F2933"/>
                <w:sz w:val="18"/>
                <w:szCs w:val="18"/>
              </w:rPr>
              <w:t>4.798455</w:t>
            </w:r>
          </w:p>
        </w:tc>
        <w:tc>
          <w:tcPr>
            <w:tcW w:w="520" w:type="dxa"/>
            <w:tcMar>
              <w:top w:w="40" w:type="dxa"/>
              <w:left w:w="80" w:type="dxa"/>
              <w:bottom w:w="40" w:type="dxa"/>
              <w:right w:w="80" w:type="dxa"/>
            </w:tcMar>
          </w:tcPr>
          <w:p w14:paraId="536C5299">
            <w:pPr>
              <w:jc w:val="right"/>
            </w:pPr>
            <w:r>
              <w:rPr>
                <w:rFonts w:ascii="Times New Roman" w:hAnsi="Times New Roman" w:eastAsia="Times New Roman" w:cs="Times New Roman"/>
                <w:b w:val="0"/>
                <w:bCs w:val="0"/>
                <w:color w:val="1F2933"/>
                <w:sz w:val="18"/>
                <w:szCs w:val="18"/>
              </w:rPr>
              <w:t>111</w:t>
            </w:r>
          </w:p>
        </w:tc>
        <w:tc>
          <w:tcPr>
            <w:tcW w:w="740" w:type="dxa"/>
            <w:tcMar>
              <w:top w:w="40" w:type="dxa"/>
              <w:left w:w="80" w:type="dxa"/>
              <w:bottom w:w="40" w:type="dxa"/>
              <w:right w:w="80" w:type="dxa"/>
            </w:tcMar>
          </w:tcPr>
          <w:p w14:paraId="276E7E28">
            <w:pPr>
              <w:jc w:val="right"/>
            </w:pPr>
            <w:r>
              <w:rPr>
                <w:rFonts w:ascii="Times New Roman" w:hAnsi="Times New Roman" w:eastAsia="Times New Roman" w:cs="Times New Roman"/>
                <w:b w:val="0"/>
                <w:bCs w:val="0"/>
                <w:color w:val="1F2933"/>
                <w:sz w:val="18"/>
                <w:szCs w:val="18"/>
              </w:rPr>
              <w:t>0.691</w:t>
            </w:r>
          </w:p>
        </w:tc>
        <w:tc>
          <w:tcPr>
            <w:tcW w:w="740" w:type="dxa"/>
            <w:tcMar>
              <w:top w:w="40" w:type="dxa"/>
              <w:left w:w="80" w:type="dxa"/>
              <w:bottom w:w="40" w:type="dxa"/>
              <w:right w:w="80" w:type="dxa"/>
            </w:tcMar>
          </w:tcPr>
          <w:p w14:paraId="0BE14436">
            <w:pPr>
              <w:jc w:val="right"/>
            </w:pPr>
            <w:r>
              <w:rPr>
                <w:rFonts w:ascii="Times New Roman" w:hAnsi="Times New Roman" w:eastAsia="Times New Roman" w:cs="Times New Roman"/>
                <w:b w:val="0"/>
                <w:bCs w:val="0"/>
                <w:color w:val="1F2933"/>
                <w:sz w:val="18"/>
                <w:szCs w:val="18"/>
              </w:rPr>
              <w:t>0.446</w:t>
            </w:r>
          </w:p>
        </w:tc>
        <w:tc>
          <w:tcPr>
            <w:tcW w:w="1280" w:type="dxa"/>
            <w:tcMar>
              <w:top w:w="40" w:type="dxa"/>
              <w:left w:w="80" w:type="dxa"/>
              <w:bottom w:w="40" w:type="dxa"/>
              <w:right w:w="80" w:type="dxa"/>
            </w:tcMar>
          </w:tcPr>
          <w:p w14:paraId="19CE9AEF">
            <w:pPr>
              <w:jc w:val="right"/>
            </w:pPr>
            <w:r>
              <w:rPr>
                <w:rFonts w:ascii="Times New Roman" w:hAnsi="Times New Roman" w:eastAsia="Times New Roman" w:cs="Times New Roman"/>
                <w:b w:val="0"/>
                <w:bCs w:val="0"/>
                <w:color w:val="1F2933"/>
                <w:sz w:val="18"/>
                <w:szCs w:val="18"/>
              </w:rPr>
              <w:t>0.569</w:t>
            </w:r>
          </w:p>
        </w:tc>
      </w:tr>
      <w:tr w14:paraId="19300C2B">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shd w:val="clear" w:color="auto" w:fill="F1F5F9"/>
            <w:tcMar>
              <w:top w:w="40" w:type="dxa"/>
              <w:left w:w="80" w:type="dxa"/>
              <w:bottom w:w="40" w:type="dxa"/>
              <w:right w:w="80" w:type="dxa"/>
            </w:tcMar>
          </w:tcPr>
          <w:p w14:paraId="1F70FCA8">
            <w:pPr>
              <w:jc w:val="left"/>
            </w:pPr>
            <w:r>
              <w:rPr>
                <w:rFonts w:ascii="Times New Roman" w:hAnsi="Times New Roman" w:eastAsia="Times New Roman" w:cs="Times New Roman"/>
                <w:b w:val="0"/>
                <w:bCs w:val="0"/>
                <w:color w:val="1F2933"/>
                <w:sz w:val="18"/>
                <w:szCs w:val="18"/>
              </w:rPr>
              <w:t>Low MFCC 3 Mean</w:t>
            </w:r>
          </w:p>
        </w:tc>
        <w:tc>
          <w:tcPr>
            <w:tcW w:w="1120" w:type="dxa"/>
            <w:shd w:val="clear" w:color="auto" w:fill="F1F5F9"/>
            <w:tcMar>
              <w:top w:w="40" w:type="dxa"/>
              <w:left w:w="80" w:type="dxa"/>
              <w:bottom w:w="40" w:type="dxa"/>
              <w:right w:w="80" w:type="dxa"/>
            </w:tcMar>
          </w:tcPr>
          <w:p w14:paraId="2904C5D4">
            <w:pPr>
              <w:jc w:val="left"/>
            </w:pPr>
            <w:r>
              <w:rPr>
                <w:rFonts w:ascii="Times New Roman" w:hAnsi="Times New Roman" w:eastAsia="Times New Roman" w:cs="Times New Roman"/>
                <w:b w:val="0"/>
                <w:bCs w:val="0"/>
                <w:color w:val="1F2933"/>
                <w:sz w:val="18"/>
                <w:szCs w:val="18"/>
              </w:rPr>
              <w:t>mfcc_mean_2</w:t>
            </w:r>
          </w:p>
        </w:tc>
        <w:tc>
          <w:tcPr>
            <w:tcW w:w="640" w:type="dxa"/>
            <w:shd w:val="clear" w:color="auto" w:fill="F1F5F9"/>
            <w:tcMar>
              <w:top w:w="40" w:type="dxa"/>
              <w:left w:w="80" w:type="dxa"/>
              <w:bottom w:w="40" w:type="dxa"/>
              <w:right w:w="80" w:type="dxa"/>
            </w:tcMar>
          </w:tcPr>
          <w:p w14:paraId="16849F82">
            <w:pPr>
              <w:jc w:val="right"/>
            </w:pPr>
            <w:r>
              <w:rPr>
                <w:rFonts w:ascii="Times New Roman" w:hAnsi="Times New Roman" w:eastAsia="Times New Roman" w:cs="Times New Roman"/>
                <w:b w:val="0"/>
                <w:bCs w:val="0"/>
                <w:color w:val="1F2933"/>
                <w:sz w:val="18"/>
                <w:szCs w:val="18"/>
              </w:rPr>
              <w:t>low</w:t>
            </w:r>
          </w:p>
        </w:tc>
        <w:tc>
          <w:tcPr>
            <w:tcW w:w="1160" w:type="dxa"/>
            <w:shd w:val="clear" w:color="auto" w:fill="F1F5F9"/>
            <w:tcMar>
              <w:top w:w="40" w:type="dxa"/>
              <w:left w:w="80" w:type="dxa"/>
              <w:bottom w:w="40" w:type="dxa"/>
              <w:right w:w="80" w:type="dxa"/>
            </w:tcMar>
          </w:tcPr>
          <w:p w14:paraId="4A95D12E">
            <w:pPr>
              <w:jc w:val="right"/>
            </w:pPr>
            <w:r>
              <w:rPr>
                <w:rFonts w:ascii="Times New Roman" w:hAnsi="Times New Roman" w:eastAsia="Times New Roman" w:cs="Times New Roman"/>
                <w:b w:val="0"/>
                <w:bCs w:val="0"/>
                <w:color w:val="1F2933"/>
                <w:sz w:val="18"/>
                <w:szCs w:val="18"/>
              </w:rPr>
              <w:t>−0.375294</w:t>
            </w:r>
          </w:p>
        </w:tc>
        <w:tc>
          <w:tcPr>
            <w:tcW w:w="520" w:type="dxa"/>
            <w:shd w:val="clear" w:color="auto" w:fill="F1F5F9"/>
            <w:tcMar>
              <w:top w:w="40" w:type="dxa"/>
              <w:left w:w="80" w:type="dxa"/>
              <w:bottom w:w="40" w:type="dxa"/>
              <w:right w:w="80" w:type="dxa"/>
            </w:tcMar>
          </w:tcPr>
          <w:p w14:paraId="3C87BF63">
            <w:pPr>
              <w:jc w:val="right"/>
            </w:pPr>
            <w:r>
              <w:rPr>
                <w:rFonts w:ascii="Times New Roman" w:hAnsi="Times New Roman" w:eastAsia="Times New Roman" w:cs="Times New Roman"/>
                <w:b w:val="0"/>
                <w:bCs w:val="0"/>
                <w:color w:val="1F2933"/>
                <w:sz w:val="18"/>
                <w:szCs w:val="18"/>
              </w:rPr>
              <w:t>111</w:t>
            </w:r>
          </w:p>
        </w:tc>
        <w:tc>
          <w:tcPr>
            <w:tcW w:w="740" w:type="dxa"/>
            <w:shd w:val="clear" w:color="auto" w:fill="F1F5F9"/>
            <w:tcMar>
              <w:top w:w="40" w:type="dxa"/>
              <w:left w:w="80" w:type="dxa"/>
              <w:bottom w:w="40" w:type="dxa"/>
              <w:right w:w="80" w:type="dxa"/>
            </w:tcMar>
          </w:tcPr>
          <w:p w14:paraId="45C9300E">
            <w:pPr>
              <w:jc w:val="right"/>
            </w:pPr>
            <w:r>
              <w:rPr>
                <w:rFonts w:ascii="Times New Roman" w:hAnsi="Times New Roman" w:eastAsia="Times New Roman" w:cs="Times New Roman"/>
                <w:b w:val="0"/>
                <w:bCs w:val="0"/>
                <w:color w:val="1F2933"/>
                <w:sz w:val="18"/>
                <w:szCs w:val="18"/>
              </w:rPr>
              <w:t>0.800</w:t>
            </w:r>
          </w:p>
        </w:tc>
        <w:tc>
          <w:tcPr>
            <w:tcW w:w="740" w:type="dxa"/>
            <w:shd w:val="clear" w:color="auto" w:fill="F1F5F9"/>
            <w:tcMar>
              <w:top w:w="40" w:type="dxa"/>
              <w:left w:w="80" w:type="dxa"/>
              <w:bottom w:w="40" w:type="dxa"/>
              <w:right w:w="80" w:type="dxa"/>
            </w:tcMar>
          </w:tcPr>
          <w:p w14:paraId="3D6E6CBB">
            <w:pPr>
              <w:jc w:val="right"/>
            </w:pPr>
            <w:r>
              <w:rPr>
                <w:rFonts w:ascii="Times New Roman" w:hAnsi="Times New Roman" w:eastAsia="Times New Roman" w:cs="Times New Roman"/>
                <w:b w:val="0"/>
                <w:bCs w:val="0"/>
                <w:color w:val="1F2933"/>
                <w:sz w:val="18"/>
                <w:szCs w:val="18"/>
              </w:rPr>
              <w:t>0.339</w:t>
            </w:r>
          </w:p>
        </w:tc>
        <w:tc>
          <w:tcPr>
            <w:tcW w:w="1280" w:type="dxa"/>
            <w:shd w:val="clear" w:color="auto" w:fill="F1F5F9"/>
            <w:tcMar>
              <w:top w:w="40" w:type="dxa"/>
              <w:left w:w="80" w:type="dxa"/>
              <w:bottom w:w="40" w:type="dxa"/>
              <w:right w:w="80" w:type="dxa"/>
            </w:tcMar>
          </w:tcPr>
          <w:p w14:paraId="2606FF8F">
            <w:pPr>
              <w:jc w:val="right"/>
            </w:pPr>
            <w:r>
              <w:rPr>
                <w:rFonts w:ascii="Times New Roman" w:hAnsi="Times New Roman" w:eastAsia="Times New Roman" w:cs="Times New Roman"/>
                <w:b w:val="0"/>
                <w:bCs w:val="0"/>
                <w:color w:val="1F2933"/>
                <w:sz w:val="18"/>
                <w:szCs w:val="18"/>
              </w:rPr>
              <w:t>0.570</w:t>
            </w:r>
          </w:p>
        </w:tc>
      </w:tr>
      <w:tr w14:paraId="55E82BC1">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3459DF60">
            <w:pPr>
              <w:jc w:val="left"/>
            </w:pPr>
            <w:r>
              <w:rPr>
                <w:rFonts w:ascii="Times New Roman" w:hAnsi="Times New Roman" w:eastAsia="Times New Roman" w:cs="Times New Roman"/>
                <w:b w:val="0"/>
                <w:bCs w:val="0"/>
                <w:color w:val="1F2933"/>
                <w:sz w:val="18"/>
                <w:szCs w:val="18"/>
              </w:rPr>
              <w:t>High MFCC 4 Variability</w:t>
            </w:r>
          </w:p>
        </w:tc>
        <w:tc>
          <w:tcPr>
            <w:tcW w:w="1120" w:type="dxa"/>
            <w:tcMar>
              <w:top w:w="40" w:type="dxa"/>
              <w:left w:w="80" w:type="dxa"/>
              <w:bottom w:w="40" w:type="dxa"/>
              <w:right w:w="80" w:type="dxa"/>
            </w:tcMar>
          </w:tcPr>
          <w:p w14:paraId="45711150">
            <w:pPr>
              <w:jc w:val="left"/>
            </w:pPr>
            <w:r>
              <w:rPr>
                <w:rFonts w:ascii="Times New Roman" w:hAnsi="Times New Roman" w:eastAsia="Times New Roman" w:cs="Times New Roman"/>
                <w:b w:val="0"/>
                <w:bCs w:val="0"/>
                <w:color w:val="1F2933"/>
                <w:sz w:val="18"/>
                <w:szCs w:val="18"/>
              </w:rPr>
              <w:t>mfcc_std_3</w:t>
            </w:r>
          </w:p>
        </w:tc>
        <w:tc>
          <w:tcPr>
            <w:tcW w:w="640" w:type="dxa"/>
            <w:tcMar>
              <w:top w:w="40" w:type="dxa"/>
              <w:left w:w="80" w:type="dxa"/>
              <w:bottom w:w="40" w:type="dxa"/>
              <w:right w:w="80" w:type="dxa"/>
            </w:tcMar>
          </w:tcPr>
          <w:p w14:paraId="32732CFA">
            <w:pPr>
              <w:jc w:val="right"/>
            </w:pPr>
            <w:r>
              <w:rPr>
                <w:rFonts w:ascii="Times New Roman" w:hAnsi="Times New Roman" w:eastAsia="Times New Roman" w:cs="Times New Roman"/>
                <w:b w:val="0"/>
                <w:bCs w:val="0"/>
                <w:color w:val="1F2933"/>
                <w:sz w:val="18"/>
                <w:szCs w:val="18"/>
              </w:rPr>
              <w:t>high</w:t>
            </w:r>
          </w:p>
        </w:tc>
        <w:tc>
          <w:tcPr>
            <w:tcW w:w="1160" w:type="dxa"/>
            <w:tcMar>
              <w:top w:w="40" w:type="dxa"/>
              <w:left w:w="80" w:type="dxa"/>
              <w:bottom w:w="40" w:type="dxa"/>
              <w:right w:w="80" w:type="dxa"/>
            </w:tcMar>
          </w:tcPr>
          <w:p w14:paraId="1547BF7C">
            <w:pPr>
              <w:jc w:val="right"/>
            </w:pPr>
            <w:r>
              <w:rPr>
                <w:rFonts w:ascii="Times New Roman" w:hAnsi="Times New Roman" w:eastAsia="Times New Roman" w:cs="Times New Roman"/>
                <w:b w:val="0"/>
                <w:bCs w:val="0"/>
                <w:color w:val="1F2933"/>
                <w:sz w:val="18"/>
                <w:szCs w:val="18"/>
              </w:rPr>
              <w:t>2.556283</w:t>
            </w:r>
          </w:p>
        </w:tc>
        <w:tc>
          <w:tcPr>
            <w:tcW w:w="520" w:type="dxa"/>
            <w:tcMar>
              <w:top w:w="40" w:type="dxa"/>
              <w:left w:w="80" w:type="dxa"/>
              <w:bottom w:w="40" w:type="dxa"/>
              <w:right w:w="80" w:type="dxa"/>
            </w:tcMar>
          </w:tcPr>
          <w:p w14:paraId="3F990BC4">
            <w:pPr>
              <w:jc w:val="right"/>
            </w:pPr>
            <w:r>
              <w:rPr>
                <w:rFonts w:ascii="Times New Roman" w:hAnsi="Times New Roman" w:eastAsia="Times New Roman" w:cs="Times New Roman"/>
                <w:b w:val="0"/>
                <w:bCs w:val="0"/>
                <w:color w:val="1F2933"/>
                <w:sz w:val="18"/>
                <w:szCs w:val="18"/>
              </w:rPr>
              <w:t>111</w:t>
            </w:r>
          </w:p>
        </w:tc>
        <w:tc>
          <w:tcPr>
            <w:tcW w:w="740" w:type="dxa"/>
            <w:tcMar>
              <w:top w:w="40" w:type="dxa"/>
              <w:left w:w="80" w:type="dxa"/>
              <w:bottom w:w="40" w:type="dxa"/>
              <w:right w:w="80" w:type="dxa"/>
            </w:tcMar>
          </w:tcPr>
          <w:p w14:paraId="6AEFF7B9">
            <w:pPr>
              <w:jc w:val="right"/>
            </w:pPr>
            <w:r>
              <w:rPr>
                <w:rFonts w:ascii="Times New Roman" w:hAnsi="Times New Roman" w:eastAsia="Times New Roman" w:cs="Times New Roman"/>
                <w:b w:val="0"/>
                <w:bCs w:val="0"/>
                <w:color w:val="1F2933"/>
                <w:sz w:val="18"/>
                <w:szCs w:val="18"/>
              </w:rPr>
              <w:t>0.164</w:t>
            </w:r>
          </w:p>
        </w:tc>
        <w:tc>
          <w:tcPr>
            <w:tcW w:w="740" w:type="dxa"/>
            <w:tcMar>
              <w:top w:w="40" w:type="dxa"/>
              <w:left w:w="80" w:type="dxa"/>
              <w:bottom w:w="40" w:type="dxa"/>
              <w:right w:w="80" w:type="dxa"/>
            </w:tcMar>
          </w:tcPr>
          <w:p w14:paraId="5AF8842D">
            <w:pPr>
              <w:jc w:val="right"/>
            </w:pPr>
            <w:r>
              <w:rPr>
                <w:rFonts w:ascii="Times New Roman" w:hAnsi="Times New Roman" w:eastAsia="Times New Roman" w:cs="Times New Roman"/>
                <w:b w:val="0"/>
                <w:bCs w:val="0"/>
                <w:color w:val="1F2933"/>
                <w:sz w:val="18"/>
                <w:szCs w:val="18"/>
              </w:rPr>
              <w:t>0.929</w:t>
            </w:r>
          </w:p>
        </w:tc>
        <w:tc>
          <w:tcPr>
            <w:tcW w:w="1280" w:type="dxa"/>
            <w:tcMar>
              <w:top w:w="40" w:type="dxa"/>
              <w:left w:w="80" w:type="dxa"/>
              <w:bottom w:w="40" w:type="dxa"/>
              <w:right w:w="80" w:type="dxa"/>
            </w:tcMar>
          </w:tcPr>
          <w:p w14:paraId="42B69A80">
            <w:pPr>
              <w:jc w:val="right"/>
            </w:pPr>
            <w:r>
              <w:rPr>
                <w:rFonts w:ascii="Times New Roman" w:hAnsi="Times New Roman" w:eastAsia="Times New Roman" w:cs="Times New Roman"/>
                <w:b w:val="0"/>
                <w:bCs w:val="0"/>
                <w:color w:val="1F2933"/>
                <w:sz w:val="18"/>
                <w:szCs w:val="18"/>
              </w:rPr>
              <w:t>0.546</w:t>
            </w:r>
          </w:p>
        </w:tc>
      </w:tr>
    </w:tbl>
    <w:p w14:paraId="68F2249C">
      <w:pPr>
        <w:spacing w:before="80" w:after="220"/>
        <w:jc w:val="left"/>
      </w:pPr>
      <w:r>
        <w:rPr>
          <w:rFonts w:ascii="Times New Roman" w:hAnsi="Times New Roman" w:eastAsia="Times New Roman" w:cs="Times New Roman"/>
          <w:i/>
          <w:iCs/>
          <w:color w:val="475569"/>
          <w:sz w:val="20"/>
          <w:szCs w:val="20"/>
        </w:rPr>
        <w:t>Table 1. Calibrated acoustic operating thresholds derived from DAIC-WOZ using PHQ-8 ≥ 10 as the screening reference.</w:t>
      </w:r>
    </w:p>
    <w:p w14:paraId="7DA8F555">
      <w:pPr>
        <w:spacing w:after="120" w:line="480" w:lineRule="auto"/>
        <w:jc w:val="both"/>
      </w:pPr>
      <w:r>
        <w:rPr>
          <w:rFonts w:ascii="Times New Roman" w:hAnsi="Times New Roman" w:eastAsia="Times New Roman" w:cs="Times New Roman"/>
          <w:sz w:val="24"/>
          <w:szCs w:val="24"/>
        </w:rPr>
        <w:t>The table reveals a scientifically important point. The balanced accuracies are modest, generally only a little above chance, and the features display sharply different sensitivity–specificity trade-offs. High pause ratio and low speech rate are highly sensitive but poorly specific, flagging most positive cases at the cost of many false positives; high jitter and several MFCC-based markers are highly specific but poorly sensitive, rarely firing but doing so mostly on positive cases. This pattern is not a failure of the thesis; it corroborates a central lesson from the literature, that individual acoustic features are weak and context-dependent when used alone. The appropriate conclusion is that these features should not be used as standalone diagnostic rules but as interpretable evidence for graph-based explanation. Figures 5 and 6 visualise these results.</w:t>
      </w:r>
    </w:p>
    <w:p w14:paraId="4EB4F57B">
      <w:pPr>
        <w:keepNext/>
        <w:spacing w:before="160" w:after="80"/>
        <w:jc w:val="center"/>
      </w:pPr>
      <w:r>
        <w:drawing>
          <wp:inline distT="0" distB="0" distL="0" distR="0">
            <wp:extent cx="5120640" cy="2705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rcRect/>
                    <a:stretch>
                      <a:fillRect/>
                    </a:stretch>
                  </pic:blipFill>
                  <pic:spPr>
                    <a:xfrm>
                      <a:off x="0" y="0"/>
                      <a:ext cx="5120640" cy="2705100"/>
                    </a:xfrm>
                    <a:prstGeom prst="rect">
                      <a:avLst/>
                    </a:prstGeom>
                  </pic:spPr>
                </pic:pic>
              </a:graphicData>
            </a:graphic>
          </wp:inline>
        </w:drawing>
      </w:r>
    </w:p>
    <w:p w14:paraId="34C033A2">
      <w:pPr>
        <w:spacing w:after="220"/>
        <w:jc w:val="center"/>
      </w:pPr>
      <w:r>
        <w:rPr>
          <w:rFonts w:ascii="Times New Roman" w:hAnsi="Times New Roman" w:eastAsia="Times New Roman" w:cs="Times New Roman"/>
          <w:i/>
          <w:iCs/>
          <w:color w:val="475569"/>
          <w:sz w:val="20"/>
          <w:szCs w:val="20"/>
        </w:rPr>
        <w:t>Figure 5. Single-feature balanced accuracy for each calibrated biomarker. All values lie close to the 0.50 chance level, confirming that no individual feature is a strong standalone classifier.</w:t>
      </w:r>
    </w:p>
    <w:p w14:paraId="43A7A650">
      <w:pPr>
        <w:keepNext/>
        <w:spacing w:before="160" w:after="80"/>
        <w:jc w:val="center"/>
      </w:pPr>
      <w:r>
        <w:drawing>
          <wp:inline distT="0" distB="0" distL="0" distR="0">
            <wp:extent cx="5852160" cy="2600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rcRect/>
                    <a:stretch>
                      <a:fillRect/>
                    </a:stretch>
                  </pic:blipFill>
                  <pic:spPr>
                    <a:xfrm>
                      <a:off x="0" y="0"/>
                      <a:ext cx="5852160" cy="2600325"/>
                    </a:xfrm>
                    <a:prstGeom prst="rect">
                      <a:avLst/>
                    </a:prstGeom>
                  </pic:spPr>
                </pic:pic>
              </a:graphicData>
            </a:graphic>
          </wp:inline>
        </w:drawing>
      </w:r>
    </w:p>
    <w:p w14:paraId="452F88A2">
      <w:pPr>
        <w:spacing w:after="220"/>
        <w:jc w:val="center"/>
      </w:pPr>
      <w:r>
        <w:rPr>
          <w:rFonts w:ascii="Times New Roman" w:hAnsi="Times New Roman" w:eastAsia="Times New Roman" w:cs="Times New Roman"/>
          <w:i/>
          <w:iCs/>
          <w:color w:val="475569"/>
          <w:sz w:val="20"/>
          <w:szCs w:val="20"/>
        </w:rPr>
        <w:t>Figure 6. Sensitivity and specificity for each calibrated biomarker, showing the pronounced and complementary trade-offs that motivate combining features within a structured explanation.</w:t>
      </w:r>
    </w:p>
    <w:p w14:paraId="5BF536B2">
      <w:pPr>
        <w:pStyle w:val="3"/>
        <w:keepNext/>
        <w:spacing w:before="280" w:after="140"/>
      </w:pPr>
      <w:r>
        <w:t>4.5  Knowledge Graph Construction</w:t>
      </w:r>
    </w:p>
    <w:p w14:paraId="101BD1C6">
      <w:pPr>
        <w:spacing w:after="120" w:line="480" w:lineRule="auto"/>
        <w:jc w:val="both"/>
      </w:pPr>
      <w:r>
        <w:rPr>
          <w:rFonts w:ascii="Times New Roman" w:hAnsi="Times New Roman" w:eastAsia="Times New Roman" w:cs="Times New Roman"/>
          <w:sz w:val="24"/>
          <w:szCs w:val="24"/>
        </w:rPr>
        <w:t>The Clinical Knowledge Graph is implemented in JSON-LD and loaded into NetworkX. It contains nodes of six types: Biomarker, ClinicalConcept, Symptom, ScreeningConstruct, Risk, and Intervention. The current calibrated graph contains 24 nodes and 27 edges and includes 11 active biomarker rules. The graph is intentionally small and inspectable, which is appropriate at this stage because the goal is not to build a complete medical ontology but to create a focused reasoning structure for explainable audio biomarkers.</w:t>
      </w:r>
    </w:p>
    <w:p w14:paraId="4BEC6747">
      <w:pPr>
        <w:spacing w:after="120" w:line="480" w:lineRule="auto"/>
        <w:jc w:val="both"/>
      </w:pPr>
      <w:r>
        <w:rPr>
          <w:rFonts w:ascii="Times New Roman" w:hAnsi="Times New Roman" w:eastAsia="Times New Roman" w:cs="Times New Roman"/>
          <w:sz w:val="24"/>
          <w:szCs w:val="24"/>
        </w:rPr>
        <w:t>The edges use deliberately cautious relationship labels, such as indicates, may_support, contributes_to, estimates, recommends, and may_benefit_from. This conservative language is a design safeguard. The graph does not assert, for example, that "high pause ratio causes depression." It states that high pause ratio indicates speech disruption, which may support concepts such as difficulty concentrating or the need for clinical review. Encoding caution directly into the edge vocabulary protects the system from making unsupported clinical claims, because even a maximally literal reading of a retrieved path remains hedged and non-diagnostic.</w:t>
      </w:r>
    </w:p>
    <w:p w14:paraId="7AF5731F">
      <w:pPr>
        <w:pStyle w:val="3"/>
        <w:keepNext/>
        <w:spacing w:before="280" w:after="140"/>
      </w:pPr>
      <w:r>
        <w:t>4.6  Graph-RAG Retrieval</w:t>
      </w:r>
    </w:p>
    <w:p w14:paraId="20E86797">
      <w:pPr>
        <w:spacing w:after="120" w:line="480" w:lineRule="auto"/>
        <w:jc w:val="both"/>
      </w:pPr>
      <w:r>
        <w:rPr>
          <w:rFonts w:ascii="Times New Roman" w:hAnsi="Times New Roman" w:eastAsia="Times New Roman" w:cs="Times New Roman"/>
          <w:sz w:val="24"/>
          <w:szCs w:val="24"/>
        </w:rPr>
        <w:t>Once a biomarker threshold is crossed for a participant, the system uses graph traversal to retrieve explanation paths. A path begins at the detected biomarker node and ends at a target node such as the depression-screening risk node, clinical review, PHQ-8 follow-up, supportive follow-up, or the PHQ-8 depression-severity screening construct. The current implementation uses shortest-path logic in NetworkX to retrieve these paths. For example, if a participant crosses the high-pause-ratio threshold, a retrieved path might be:</w:t>
      </w:r>
    </w:p>
    <w:p w14:paraId="267AF7A1">
      <w:pPr>
        <w:pBdr>
          <w:left w:val="single" w:color="2B6CB0" w:sz="18" w:space="12"/>
        </w:pBdr>
        <w:spacing w:before="80" w:after="200" w:line="360" w:lineRule="auto"/>
        <w:ind w:left="720" w:right="720"/>
        <w:jc w:val="left"/>
      </w:pPr>
      <w:r>
        <w:rPr>
          <w:rFonts w:ascii="Times New Roman" w:hAnsi="Times New Roman" w:eastAsia="Times New Roman" w:cs="Times New Roman"/>
          <w:i/>
          <w:iCs/>
          <w:color w:val="334155"/>
          <w:sz w:val="23"/>
          <w:szCs w:val="23"/>
        </w:rPr>
        <w:t>High Pause Ratio → Speech Disruption → Difficulty Concentrating → Screening Context</w:t>
      </w:r>
    </w:p>
    <w:p w14:paraId="10E39C30">
      <w:pPr>
        <w:spacing w:after="120" w:line="480" w:lineRule="auto"/>
        <w:jc w:val="both"/>
      </w:pPr>
      <w:r>
        <w:rPr>
          <w:rFonts w:ascii="Times New Roman" w:hAnsi="Times New Roman" w:eastAsia="Times New Roman" w:cs="Times New Roman"/>
          <w:sz w:val="24"/>
          <w:szCs w:val="24"/>
        </w:rPr>
        <w:t>This path gives the Reporter Agent structured evidence to work from. Instead of generating an explanation from its own parametric memory, the model is prompted with explicit graph context, so that its narrative is anchored to a path that was selected deterministically by the retriever.</w:t>
      </w:r>
    </w:p>
    <w:p w14:paraId="55E9D5B6">
      <w:pPr>
        <w:pStyle w:val="3"/>
        <w:keepNext/>
        <w:spacing w:before="280" w:after="140"/>
      </w:pPr>
      <w:r>
        <w:t>4.7  Local LLM Reporter Agent</w:t>
      </w:r>
    </w:p>
    <w:p w14:paraId="1BB4AF2B">
      <w:pPr>
        <w:spacing w:after="120" w:line="480" w:lineRule="auto"/>
        <w:jc w:val="both"/>
      </w:pPr>
      <w:r>
        <w:rPr>
          <w:rFonts w:ascii="Times New Roman" w:hAnsi="Times New Roman" w:eastAsia="Times New Roman" w:cs="Times New Roman"/>
          <w:sz w:val="24"/>
          <w:szCs w:val="24"/>
        </w:rPr>
        <w:t>The Month 3 implementation adds a local-LLM-based Reporter Agent. The agent receives the extracted biomarkers, the matched calibrated rules, and the retrieved graph paths, and it builds a prompt for a specified audience. The psychologist persona uses concise clinical language and preserves technical terms such as biomarker, threshold, and graph path. The patient persona uses simpler language, avoids alarming phrasing, and states clearly that the result is not a diagnosis.</w:t>
      </w:r>
    </w:p>
    <w:p w14:paraId="1412F6F2">
      <w:pPr>
        <w:spacing w:after="120" w:line="480" w:lineRule="auto"/>
        <w:jc w:val="both"/>
      </w:pPr>
      <w:r>
        <w:rPr>
          <w:rFonts w:ascii="Times New Roman" w:hAnsi="Times New Roman" w:eastAsia="Times New Roman" w:cs="Times New Roman"/>
          <w:sz w:val="24"/>
          <w:szCs w:val="24"/>
        </w:rPr>
        <w:t>Gemma is accessed locally through Ollama: the code posts a prompt to Ollama's local HTTP endpoint and receives a generated narrative. The design is fault-tolerant by intention. If Ollama is not running, if the model is not installed, or if the request times out, the system does not fail; it records the condition in an llm_status field and still returns a deterministic, graph-grounded report. This fallback matters both for demonstration reliability and for clinical safety, because the core evidence must not depend on the availability of a generative model. The evidence chain therefore remains:</w:t>
      </w:r>
    </w:p>
    <w:p w14:paraId="04FD3418">
      <w:pPr>
        <w:pBdr>
          <w:left w:val="single" w:color="2B6CB0" w:sz="18" w:space="12"/>
        </w:pBdr>
        <w:spacing w:before="80" w:after="200" w:line="360" w:lineRule="auto"/>
        <w:ind w:left="720" w:right="720"/>
        <w:jc w:val="left"/>
      </w:pPr>
      <w:r>
        <w:rPr>
          <w:rFonts w:ascii="Times New Roman" w:hAnsi="Times New Roman" w:eastAsia="Times New Roman" w:cs="Times New Roman"/>
          <w:i/>
          <w:iCs/>
          <w:color w:val="334155"/>
          <w:sz w:val="23"/>
          <w:szCs w:val="23"/>
        </w:rPr>
        <w:t>Audio feature → calibrated threshold rule → biomarker node → graph path → cautious report</w:t>
      </w:r>
    </w:p>
    <w:p w14:paraId="6E36BBE4">
      <w:pPr>
        <w:spacing w:after="120" w:line="480" w:lineRule="auto"/>
        <w:jc w:val="both"/>
      </w:pPr>
      <w:r>
        <w:rPr>
          <w:rFonts w:ascii="Times New Roman" w:hAnsi="Times New Roman" w:eastAsia="Times New Roman" w:cs="Times New Roman"/>
          <w:sz w:val="24"/>
          <w:szCs w:val="24"/>
        </w:rPr>
        <w:t>The language model is used only for narrative generation after the graph has already selected the evidence. It is not the diagnostic engine, and in the fallback mode it is absent altogether while the report remains complete and faithful to the retrieved paths.</w:t>
      </w:r>
    </w:p>
    <w:p w14:paraId="1DC0FB48">
      <w:pPr>
        <w:pStyle w:val="3"/>
        <w:keepNext/>
        <w:spacing w:before="280" w:after="140"/>
      </w:pPr>
      <w:r>
        <w:t>4.8  Worked Example: Calibrating a Single Biomarker</w:t>
      </w:r>
    </w:p>
    <w:p w14:paraId="67C4617D">
      <w:pPr>
        <w:spacing w:after="120" w:line="480" w:lineRule="auto"/>
        <w:jc w:val="both"/>
      </w:pPr>
      <w:r>
        <w:rPr>
          <w:rFonts w:ascii="Times New Roman" w:hAnsi="Times New Roman" w:eastAsia="Times New Roman" w:cs="Times New Roman"/>
          <w:sz w:val="24"/>
          <w:szCs w:val="24"/>
        </w:rPr>
        <w:t>To make the calibration procedure concrete, it is helpful to follow it through for one biomarker. Consider High Pitch Variability, which uses the pitch standard deviation feature in the high direction. The calibration script first assembles, for all 111 participants with a valid pitch_std value, the pair (feature value, PHQ-8 class), where the class is positive when PHQ-8 ≥ 10 and negative otherwise. It then considers a series of candidate thresholds drawn from the observed distribution of pitch_std. For each candidate value t, a participant is predicted positive when pitch_std &gt; t. Comparing these predictions with the true PHQ-8 classes yields the four counts of a confusion matrix — true positives, false positives, true negatives, and false negatives — from which sensitivity and specificity are computed.</w:t>
      </w:r>
    </w:p>
    <w:p w14:paraId="31B450F3">
      <w:pPr>
        <w:spacing w:after="120" w:line="480" w:lineRule="auto"/>
        <w:jc w:val="both"/>
      </w:pPr>
      <w:r>
        <w:rPr>
          <w:rFonts w:ascii="Times New Roman" w:hAnsi="Times New Roman" w:eastAsia="Times New Roman" w:cs="Times New Roman"/>
          <w:sz w:val="24"/>
          <w:szCs w:val="24"/>
        </w:rPr>
        <w:t>Youden's J is then calculated as sensitivity + specificity − 1, and sweeping t across the distribution produces a curve of J values from which the script selects the maximising threshold. For this feature the selected threshold is 42.658337, at which the sensitivity is 0.764 and the specificity is 0.554. The corresponding Youden's J is 0.764 + 0.554 − 1 = 0.318, and the balanced accuracy is (0.764 + 0.554) / 2 = 0.659. This is the strongest single-feature operating point in the current calibration, and yet a balanced accuracy of 0.659 still leaves a large margin of error. That margin is exactly why the feature is used as graph evidence rather than as a decision rule: it is informative enough to be worth including, but far too weak to act on alone. The identical procedure is repeated independently for every biomarker, including both directions of pitch_mean, so that each node in the graph carries its own calibrated, traceable operating point together with the statistics that justify it.</w:t>
      </w:r>
    </w:p>
    <w:p w14:paraId="0794E1FD">
      <w:pPr>
        <w:pStyle w:val="3"/>
        <w:keepNext/>
        <w:spacing w:before="280" w:after="140"/>
      </w:pPr>
      <w:r>
        <w:t>4.9  Algorithmic Summary</w:t>
      </w:r>
    </w:p>
    <w:p w14:paraId="1FD78E80">
      <w:pPr>
        <w:spacing w:after="120" w:line="480" w:lineRule="auto"/>
        <w:jc w:val="both"/>
      </w:pPr>
      <w:r>
        <w:rPr>
          <w:rFonts w:ascii="Times New Roman" w:hAnsi="Times New Roman" w:eastAsia="Times New Roman" w:cs="Times New Roman"/>
          <w:sz w:val="24"/>
          <w:szCs w:val="24"/>
        </w:rPr>
        <w:t>The calibration of a single biomarker can be summarised as the following procedure, which is applied once per biomarker and direction and whose outputs are written into the calibrated graph:</w:t>
      </w:r>
    </w:p>
    <w:p w14:paraId="7A9AC816">
      <w:pPr>
        <w:shd w:val="clear" w:fill="F1F5F9"/>
        <w:spacing w:before="60" w:after="0" w:line="240" w:lineRule="auto"/>
        <w:ind w:left="180" w:right="180"/>
      </w:pPr>
      <w:r>
        <w:rPr>
          <w:rFonts w:ascii="Courier New" w:hAnsi="Courier New" w:eastAsia="Courier New" w:cs="Courier New"/>
          <w:color w:val="1E293B"/>
          <w:sz w:val="19"/>
          <w:szCs w:val="19"/>
        </w:rPr>
        <w:t>function calibrate(feature, direction, data, phq8):</w:t>
      </w:r>
    </w:p>
    <w:p w14:paraId="3BBBB5AC">
      <w:pPr>
        <w:shd w:val="clear" w:fill="F1F5F9"/>
        <w:spacing w:before="0" w:after="0" w:line="240" w:lineRule="auto"/>
        <w:ind w:left="180" w:right="180"/>
      </w:pPr>
      <w:r>
        <w:rPr>
          <w:rFonts w:ascii="Courier New" w:hAnsi="Courier New" w:eastAsia="Courier New" w:cs="Courier New"/>
          <w:color w:val="1E293B"/>
          <w:sz w:val="19"/>
          <w:szCs w:val="19"/>
        </w:rPr>
        <w:t xml:space="preserve">    pairs = [(x[feature], 1 if phq8[i] &gt;= 10 else 0)</w:t>
      </w:r>
    </w:p>
    <w:p w14:paraId="7CA930D4">
      <w:pPr>
        <w:shd w:val="clear" w:fill="F1F5F9"/>
        <w:spacing w:before="0" w:after="0" w:line="240" w:lineRule="auto"/>
        <w:ind w:left="180" w:right="180"/>
      </w:pPr>
      <w:r>
        <w:rPr>
          <w:rFonts w:ascii="Courier New" w:hAnsi="Courier New" w:eastAsia="Courier New" w:cs="Courier New"/>
          <w:color w:val="1E293B"/>
          <w:sz w:val="19"/>
          <w:szCs w:val="19"/>
        </w:rPr>
        <w:t xml:space="preserve">             for i, x in enumerate(data) if x[feature] is valid]</w:t>
      </w:r>
    </w:p>
    <w:p w14:paraId="2C51793C">
      <w:pPr>
        <w:shd w:val="clear" w:fill="F1F5F9"/>
        <w:spacing w:before="0" w:after="0" w:line="240" w:lineRule="auto"/>
        <w:ind w:left="180" w:right="180"/>
      </w:pPr>
      <w:r>
        <w:rPr>
          <w:rFonts w:ascii="Courier New" w:hAnsi="Courier New" w:eastAsia="Courier New" w:cs="Courier New"/>
          <w:color w:val="1E293B"/>
          <w:sz w:val="19"/>
          <w:szCs w:val="19"/>
        </w:rPr>
        <w:t xml:space="preserve">    best = {J: -1, threshold: None}</w:t>
      </w:r>
    </w:p>
    <w:p w14:paraId="751AFDD6">
      <w:pPr>
        <w:shd w:val="clear" w:fill="F1F5F9"/>
        <w:spacing w:before="0" w:after="0" w:line="240" w:lineRule="auto"/>
        <w:ind w:left="180" w:right="180"/>
      </w:pPr>
      <w:r>
        <w:rPr>
          <w:rFonts w:ascii="Courier New" w:hAnsi="Courier New" w:eastAsia="Courier New" w:cs="Courier New"/>
          <w:color w:val="1E293B"/>
          <w:sz w:val="19"/>
          <w:szCs w:val="19"/>
        </w:rPr>
        <w:t xml:space="preserve">    for t in sorted(unique(values in pairs)):</w:t>
      </w:r>
    </w:p>
    <w:p w14:paraId="44341DD1">
      <w:pPr>
        <w:shd w:val="clear" w:fill="F1F5F9"/>
        <w:spacing w:before="0" w:after="0" w:line="240" w:lineRule="auto"/>
        <w:ind w:left="180" w:right="180"/>
      </w:pPr>
      <w:r>
        <w:rPr>
          <w:rFonts w:ascii="Courier New" w:hAnsi="Courier New" w:eastAsia="Courier New" w:cs="Courier New"/>
          <w:color w:val="1E293B"/>
          <w:sz w:val="19"/>
          <w:szCs w:val="19"/>
        </w:rPr>
        <w:t xml:space="preserve">        if direction == 'high':  pred = (value &gt; t)</w:t>
      </w:r>
    </w:p>
    <w:p w14:paraId="7B5DC56A">
      <w:pPr>
        <w:shd w:val="clear" w:fill="F1F5F9"/>
        <w:spacing w:before="0" w:after="0" w:line="240" w:lineRule="auto"/>
        <w:ind w:left="180" w:right="180"/>
      </w:pPr>
      <w:r>
        <w:rPr>
          <w:rFonts w:ascii="Courier New" w:hAnsi="Courier New" w:eastAsia="Courier New" w:cs="Courier New"/>
          <w:color w:val="1E293B"/>
          <w:sz w:val="19"/>
          <w:szCs w:val="19"/>
        </w:rPr>
        <w:t xml:space="preserve">        else:                    pred = (value &lt; t)</w:t>
      </w:r>
    </w:p>
    <w:p w14:paraId="7E6E6FD1">
      <w:pPr>
        <w:shd w:val="clear" w:fill="F1F5F9"/>
        <w:spacing w:before="0" w:after="0" w:line="240" w:lineRule="auto"/>
        <w:ind w:left="180" w:right="180"/>
      </w:pPr>
      <w:r>
        <w:rPr>
          <w:rFonts w:ascii="Courier New" w:hAnsi="Courier New" w:eastAsia="Courier New" w:cs="Courier New"/>
          <w:color w:val="1E293B"/>
          <w:sz w:val="19"/>
          <w:szCs w:val="19"/>
        </w:rPr>
        <w:t xml:space="preserve">        TP, FP, TN, FN = confusion_counts(pred, label in pairs)</w:t>
      </w:r>
    </w:p>
    <w:p w14:paraId="389C26B8">
      <w:pPr>
        <w:shd w:val="clear" w:fill="F1F5F9"/>
        <w:spacing w:before="0" w:after="0" w:line="240" w:lineRule="auto"/>
        <w:ind w:left="180" w:right="180"/>
      </w:pPr>
      <w:r>
        <w:rPr>
          <w:rFonts w:ascii="Courier New" w:hAnsi="Courier New" w:eastAsia="Courier New" w:cs="Courier New"/>
          <w:color w:val="1E293B"/>
          <w:sz w:val="19"/>
          <w:szCs w:val="19"/>
        </w:rPr>
        <w:t xml:space="preserve">        sens = TP / (TP + FN);  spec = TN / (TN + FP)</w:t>
      </w:r>
    </w:p>
    <w:p w14:paraId="2E691F00">
      <w:pPr>
        <w:shd w:val="clear" w:fill="F1F5F9"/>
        <w:spacing w:before="0" w:after="0" w:line="240" w:lineRule="auto"/>
        <w:ind w:left="180" w:right="180"/>
      </w:pPr>
      <w:r>
        <w:rPr>
          <w:rFonts w:ascii="Courier New" w:hAnsi="Courier New" w:eastAsia="Courier New" w:cs="Courier New"/>
          <w:color w:val="1E293B"/>
          <w:sz w:val="19"/>
          <w:szCs w:val="19"/>
        </w:rPr>
        <w:t xml:space="preserve">        J = sens + spec - 1</w:t>
      </w:r>
    </w:p>
    <w:p w14:paraId="62443603">
      <w:pPr>
        <w:shd w:val="clear" w:fill="F1F5F9"/>
        <w:spacing w:before="0" w:after="0" w:line="240" w:lineRule="auto"/>
        <w:ind w:left="180" w:right="180"/>
      </w:pPr>
      <w:r>
        <w:rPr>
          <w:rFonts w:ascii="Courier New" w:hAnsi="Courier New" w:eastAsia="Courier New" w:cs="Courier New"/>
          <w:color w:val="1E293B"/>
          <w:sz w:val="19"/>
          <w:szCs w:val="19"/>
        </w:rPr>
        <w:t xml:space="preserve">        if J &gt; best.J:</w:t>
      </w:r>
    </w:p>
    <w:p w14:paraId="4552B971">
      <w:pPr>
        <w:shd w:val="clear" w:fill="F1F5F9"/>
        <w:spacing w:before="0" w:after="0" w:line="240" w:lineRule="auto"/>
        <w:ind w:left="180" w:right="180"/>
      </w:pPr>
      <w:r>
        <w:rPr>
          <w:rFonts w:ascii="Courier New" w:hAnsi="Courier New" w:eastAsia="Courier New" w:cs="Courier New"/>
          <w:color w:val="1E293B"/>
          <w:sz w:val="19"/>
          <w:szCs w:val="19"/>
        </w:rPr>
        <w:t xml:space="preserve">            best = {J, threshold: t, sens, spec,</w:t>
      </w:r>
    </w:p>
    <w:p w14:paraId="7D05D196">
      <w:pPr>
        <w:shd w:val="clear" w:fill="F1F5F9"/>
        <w:spacing w:before="0" w:after="0" w:line="240" w:lineRule="auto"/>
        <w:ind w:left="180" w:right="180"/>
      </w:pPr>
      <w:r>
        <w:rPr>
          <w:rFonts w:ascii="Courier New" w:hAnsi="Courier New" w:eastAsia="Courier New" w:cs="Courier New"/>
          <w:color w:val="1E293B"/>
          <w:sz w:val="19"/>
          <w:szCs w:val="19"/>
        </w:rPr>
        <w:t xml:space="preserve">                    bal_acc: (sens + spec) / 2, N: len(pairs)}</w:t>
      </w:r>
    </w:p>
    <w:p w14:paraId="2B102A35">
      <w:pPr>
        <w:shd w:val="clear" w:fill="F1F5F9"/>
        <w:spacing w:before="0" w:after="180" w:line="240" w:lineRule="auto"/>
        <w:ind w:left="180" w:right="180"/>
      </w:pPr>
      <w:r>
        <w:rPr>
          <w:rFonts w:ascii="Courier New" w:hAnsi="Courier New" w:eastAsia="Courier New" w:cs="Courier New"/>
          <w:color w:val="1E293B"/>
          <w:sz w:val="19"/>
          <w:szCs w:val="19"/>
        </w:rPr>
        <w:t xml:space="preserve">    return best   # stored on the biomarker node as calibration metadata</w:t>
      </w:r>
    </w:p>
    <w:p w14:paraId="72408087">
      <w:pPr>
        <w:spacing w:after="120" w:line="480" w:lineRule="auto"/>
        <w:jc w:val="both"/>
      </w:pPr>
      <w:r>
        <w:rPr>
          <w:rFonts w:ascii="Times New Roman" w:hAnsi="Times New Roman" w:eastAsia="Times New Roman" w:cs="Times New Roman"/>
          <w:sz w:val="24"/>
          <w:szCs w:val="24"/>
        </w:rPr>
        <w:t>The procedure is deterministic and fully reproducible from the participant-level feature matrix, which is itself saved to disk. A supervisor can therefore re-run the calibration, inspect the intermediate feature matrix, and confirm that every threshold in the graph was derived from data rather than chosen by hand.</w:t>
      </w:r>
    </w:p>
    <w:p w14:paraId="5F6F7F46">
      <w:pPr>
        <w:pStyle w:val="3"/>
        <w:keepNext/>
        <w:spacing w:before="280" w:after="140"/>
      </w:pPr>
      <w:r>
        <w:t>4.10  Rationale for the Lightweight Technology Choices</w:t>
      </w:r>
    </w:p>
    <w:p w14:paraId="2FF7F26D">
      <w:pPr>
        <w:spacing w:after="120" w:line="480" w:lineRule="auto"/>
        <w:jc w:val="both"/>
      </w:pPr>
      <w:r>
        <w:rPr>
          <w:rFonts w:ascii="Times New Roman" w:hAnsi="Times New Roman" w:eastAsia="Times New Roman" w:cs="Times New Roman"/>
          <w:sz w:val="24"/>
          <w:szCs w:val="24"/>
        </w:rPr>
        <w:t>Several deliberately lightweight technologies were chosen over heavier alternatives, and the reasons are worth stating because they follow from the aims of the project rather than from convenience alone. The knowledge graph is serialised in JSON-LD and traversed with NetworkX rather than stored in a dedicated graph database such as Neo4j. For a graph of 24 nodes and 27 edges, a database would add operational complexity, a running service, and a query language to learn, without any benefit at this scale; a plain-text JSON-LD file, by contrast, can be opened, read, and version-controlled directly, which serves the inspectability goal. The feature matrix and calibration outputs are stored as CSV and JSON for the same reason: they can be examined with ordinary tools and checked by hand.</w:t>
      </w:r>
    </w:p>
    <w:p w14:paraId="1A3E0FD4">
      <w:pPr>
        <w:spacing w:after="120" w:line="480" w:lineRule="auto"/>
        <w:jc w:val="both"/>
      </w:pPr>
      <w:r>
        <w:rPr>
          <w:rFonts w:ascii="Times New Roman" w:hAnsi="Times New Roman" w:eastAsia="Times New Roman" w:cs="Times New Roman"/>
          <w:sz w:val="24"/>
          <w:szCs w:val="24"/>
        </w:rPr>
        <w:t>The language model is a small Gemma model run locally through Ollama rather than a large cloud-hosted model accessed by API. The clinical sensitivity of the data makes local processing valuable, and a small model is sufficient because the model's task is narrow — expressing already-selected graph evidence in readable language, not performing open-ended reasoning. Running on a laptop also keeps the whole pipeline reproducible on modest hardware, which matters for a thesis that must be demonstrable in a defence. In each case the guiding principle is the same: prefer the simplest technology that meets the requirement, so that the system remains feasible for one researcher to build, inspect, and defend.</w:t>
      </w:r>
    </w:p>
    <w:p w14:paraId="693156F9">
      <w:pPr>
        <w:pStyle w:val="3"/>
        <w:keepNext/>
        <w:spacing w:before="280" w:after="140"/>
      </w:pPr>
      <w:r>
        <w:t>4.11  Mapping of Acoustic Features to Clinical Concepts</w:t>
      </w:r>
    </w:p>
    <w:p w14:paraId="6B50845F">
      <w:pPr>
        <w:spacing w:after="120" w:line="480" w:lineRule="auto"/>
        <w:jc w:val="both"/>
      </w:pPr>
      <w:r>
        <w:rPr>
          <w:rFonts w:ascii="Times New Roman" w:hAnsi="Times New Roman" w:eastAsia="Times New Roman" w:cs="Times New Roman"/>
          <w:sz w:val="24"/>
          <w:szCs w:val="24"/>
        </w:rPr>
        <w:t>The feature-to-concept mapping is the bridge between measurement and interpretation, and it is summarised in Table 2. Each acoustic feature is associated with a calibrated biomarker, which is mapped in turn to an interpretable clinical concept and, through the graph, toward a symptom-level interpretation or screening construct. Features that are directly interpretable, such as pause ratio and speech rate, map to specific concepts; features that are not directly interpretable, such as the MFCCs, map only to the broad concept of spectral shift, reflecting the honesty principle that the system should not pretend to a clinical meaning it cannot support.</w:t>
      </w:r>
    </w:p>
    <w:p w14:paraId="564829AE">
      <w:pPr>
        <w:keepNext/>
        <w:spacing w:before="120"/>
      </w:pPr>
    </w:p>
    <w:tbl>
      <w:tblPr>
        <w:tblStyle w:val="9"/>
        <w:tblW w:w="8300" w:type="dxa"/>
        <w:tblInd w:w="0" w:type="dxa"/>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Layout w:type="autofit"/>
        <w:tblCellMar>
          <w:top w:w="0" w:type="dxa"/>
          <w:left w:w="10" w:type="dxa"/>
          <w:bottom w:w="0" w:type="dxa"/>
          <w:right w:w="10" w:type="dxa"/>
        </w:tblCellMar>
      </w:tblPr>
      <w:tblGrid>
        <w:gridCol w:w="2490"/>
        <w:gridCol w:w="1936"/>
        <w:gridCol w:w="1936"/>
        <w:gridCol w:w="1938"/>
      </w:tblGrid>
      <w:tr w14:paraId="6318978A">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rPr>
          <w:tblHeader/>
        </w:trPr>
        <w:tc>
          <w:tcPr>
            <w:tcW w:w="2490" w:type="dxa"/>
            <w:shd w:val="clear" w:color="auto" w:fill="2B6CB0"/>
            <w:tcMar>
              <w:top w:w="40" w:type="dxa"/>
              <w:left w:w="80" w:type="dxa"/>
              <w:bottom w:w="40" w:type="dxa"/>
              <w:right w:w="80" w:type="dxa"/>
            </w:tcMar>
          </w:tcPr>
          <w:p w14:paraId="77C62FA0">
            <w:pPr>
              <w:jc w:val="center"/>
            </w:pPr>
            <w:r>
              <w:rPr>
                <w:rFonts w:ascii="Times New Roman" w:hAnsi="Times New Roman" w:eastAsia="Times New Roman" w:cs="Times New Roman"/>
                <w:b/>
                <w:bCs/>
                <w:color w:val="FFFFFF"/>
                <w:sz w:val="18"/>
                <w:szCs w:val="18"/>
              </w:rPr>
              <w:t>Acoustic feature</w:t>
            </w:r>
          </w:p>
        </w:tc>
        <w:tc>
          <w:tcPr>
            <w:tcW w:w="1936" w:type="dxa"/>
            <w:shd w:val="clear" w:color="auto" w:fill="2B6CB0"/>
            <w:tcMar>
              <w:top w:w="40" w:type="dxa"/>
              <w:left w:w="80" w:type="dxa"/>
              <w:bottom w:w="40" w:type="dxa"/>
              <w:right w:w="80" w:type="dxa"/>
            </w:tcMar>
          </w:tcPr>
          <w:p w14:paraId="67891999">
            <w:pPr>
              <w:jc w:val="center"/>
            </w:pPr>
            <w:r>
              <w:rPr>
                <w:rFonts w:ascii="Times New Roman" w:hAnsi="Times New Roman" w:eastAsia="Times New Roman" w:cs="Times New Roman"/>
                <w:b/>
                <w:bCs/>
                <w:color w:val="FFFFFF"/>
                <w:sz w:val="18"/>
                <w:szCs w:val="18"/>
              </w:rPr>
              <w:t>Calibrated biomarker</w:t>
            </w:r>
          </w:p>
        </w:tc>
        <w:tc>
          <w:tcPr>
            <w:tcW w:w="1936" w:type="dxa"/>
            <w:shd w:val="clear" w:color="auto" w:fill="2B6CB0"/>
            <w:tcMar>
              <w:top w:w="40" w:type="dxa"/>
              <w:left w:w="80" w:type="dxa"/>
              <w:bottom w:w="40" w:type="dxa"/>
              <w:right w:w="80" w:type="dxa"/>
            </w:tcMar>
          </w:tcPr>
          <w:p w14:paraId="7CF9B76B">
            <w:pPr>
              <w:jc w:val="center"/>
            </w:pPr>
            <w:r>
              <w:rPr>
                <w:rFonts w:ascii="Times New Roman" w:hAnsi="Times New Roman" w:eastAsia="Times New Roman" w:cs="Times New Roman"/>
                <w:b/>
                <w:bCs/>
                <w:color w:val="FFFFFF"/>
                <w:sz w:val="18"/>
                <w:szCs w:val="18"/>
              </w:rPr>
              <w:t>Clinical concept</w:t>
            </w:r>
          </w:p>
        </w:tc>
        <w:tc>
          <w:tcPr>
            <w:tcW w:w="1938" w:type="dxa"/>
            <w:shd w:val="clear" w:color="auto" w:fill="2B6CB0"/>
            <w:tcMar>
              <w:top w:w="40" w:type="dxa"/>
              <w:left w:w="80" w:type="dxa"/>
              <w:bottom w:w="40" w:type="dxa"/>
              <w:right w:w="80" w:type="dxa"/>
            </w:tcMar>
          </w:tcPr>
          <w:p w14:paraId="0BA9BF8A">
            <w:pPr>
              <w:jc w:val="center"/>
            </w:pPr>
            <w:r>
              <w:rPr>
                <w:rFonts w:ascii="Times New Roman" w:hAnsi="Times New Roman" w:eastAsia="Times New Roman" w:cs="Times New Roman"/>
                <w:b/>
                <w:bCs/>
                <w:color w:val="FFFFFF"/>
                <w:sz w:val="18"/>
                <w:szCs w:val="18"/>
              </w:rPr>
              <w:t>Links toward</w:t>
            </w:r>
          </w:p>
        </w:tc>
      </w:tr>
      <w:tr w14:paraId="1B47C51F">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490" w:type="dxa"/>
            <w:tcMar>
              <w:top w:w="40" w:type="dxa"/>
              <w:left w:w="80" w:type="dxa"/>
              <w:bottom w:w="40" w:type="dxa"/>
              <w:right w:w="80" w:type="dxa"/>
            </w:tcMar>
          </w:tcPr>
          <w:p w14:paraId="398E1006">
            <w:pPr>
              <w:jc w:val="left"/>
            </w:pPr>
            <w:r>
              <w:rPr>
                <w:rFonts w:ascii="Times New Roman" w:hAnsi="Times New Roman" w:eastAsia="Times New Roman" w:cs="Times New Roman"/>
                <w:b w:val="0"/>
                <w:bCs w:val="0"/>
                <w:color w:val="1F2933"/>
                <w:sz w:val="18"/>
                <w:szCs w:val="18"/>
              </w:rPr>
              <w:t>pause_ratio (high)</w:t>
            </w:r>
          </w:p>
        </w:tc>
        <w:tc>
          <w:tcPr>
            <w:tcW w:w="1936" w:type="dxa"/>
            <w:tcMar>
              <w:top w:w="40" w:type="dxa"/>
              <w:left w:w="80" w:type="dxa"/>
              <w:bottom w:w="40" w:type="dxa"/>
              <w:right w:w="80" w:type="dxa"/>
            </w:tcMar>
          </w:tcPr>
          <w:p w14:paraId="09F779E5">
            <w:pPr>
              <w:jc w:val="left"/>
            </w:pPr>
            <w:r>
              <w:rPr>
                <w:rFonts w:ascii="Times New Roman" w:hAnsi="Times New Roman" w:eastAsia="Times New Roman" w:cs="Times New Roman"/>
                <w:b w:val="0"/>
                <w:bCs w:val="0"/>
                <w:color w:val="1F2933"/>
                <w:sz w:val="18"/>
                <w:szCs w:val="18"/>
              </w:rPr>
              <w:t>High Pause Ratio</w:t>
            </w:r>
          </w:p>
        </w:tc>
        <w:tc>
          <w:tcPr>
            <w:tcW w:w="1936" w:type="dxa"/>
            <w:tcMar>
              <w:top w:w="40" w:type="dxa"/>
              <w:left w:w="80" w:type="dxa"/>
              <w:bottom w:w="40" w:type="dxa"/>
              <w:right w:w="80" w:type="dxa"/>
            </w:tcMar>
          </w:tcPr>
          <w:p w14:paraId="608C939C">
            <w:pPr>
              <w:jc w:val="left"/>
            </w:pPr>
            <w:r>
              <w:rPr>
                <w:rFonts w:ascii="Times New Roman" w:hAnsi="Times New Roman" w:eastAsia="Times New Roman" w:cs="Times New Roman"/>
                <w:b w:val="0"/>
                <w:bCs w:val="0"/>
                <w:color w:val="1F2933"/>
                <w:sz w:val="18"/>
                <w:szCs w:val="18"/>
              </w:rPr>
              <w:t>Speech Disruption</w:t>
            </w:r>
          </w:p>
        </w:tc>
        <w:tc>
          <w:tcPr>
            <w:tcW w:w="1938" w:type="dxa"/>
            <w:tcMar>
              <w:top w:w="40" w:type="dxa"/>
              <w:left w:w="80" w:type="dxa"/>
              <w:bottom w:w="40" w:type="dxa"/>
              <w:right w:w="80" w:type="dxa"/>
            </w:tcMar>
          </w:tcPr>
          <w:p w14:paraId="0CD22121">
            <w:pPr>
              <w:jc w:val="left"/>
            </w:pPr>
            <w:r>
              <w:rPr>
                <w:rFonts w:ascii="Times New Roman" w:hAnsi="Times New Roman" w:eastAsia="Times New Roman" w:cs="Times New Roman"/>
                <w:b w:val="0"/>
                <w:bCs w:val="0"/>
                <w:color w:val="1F2933"/>
                <w:sz w:val="18"/>
                <w:szCs w:val="18"/>
              </w:rPr>
              <w:t>Difficulty concentrating</w:t>
            </w:r>
          </w:p>
        </w:tc>
      </w:tr>
      <w:tr w14:paraId="6A806326">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490" w:type="dxa"/>
            <w:shd w:val="clear" w:color="auto" w:fill="F1F5F9"/>
            <w:tcMar>
              <w:top w:w="40" w:type="dxa"/>
              <w:left w:w="80" w:type="dxa"/>
              <w:bottom w:w="40" w:type="dxa"/>
              <w:right w:w="80" w:type="dxa"/>
            </w:tcMar>
          </w:tcPr>
          <w:p w14:paraId="49A99510">
            <w:pPr>
              <w:jc w:val="left"/>
            </w:pPr>
            <w:r>
              <w:rPr>
                <w:rFonts w:ascii="Times New Roman" w:hAnsi="Times New Roman" w:eastAsia="Times New Roman" w:cs="Times New Roman"/>
                <w:b w:val="0"/>
                <w:bCs w:val="0"/>
                <w:color w:val="1F2933"/>
                <w:sz w:val="18"/>
                <w:szCs w:val="18"/>
              </w:rPr>
              <w:t>speech_rate (low)</w:t>
            </w:r>
          </w:p>
        </w:tc>
        <w:tc>
          <w:tcPr>
            <w:tcW w:w="1936" w:type="dxa"/>
            <w:shd w:val="clear" w:color="auto" w:fill="F1F5F9"/>
            <w:tcMar>
              <w:top w:w="40" w:type="dxa"/>
              <w:left w:w="80" w:type="dxa"/>
              <w:bottom w:w="40" w:type="dxa"/>
              <w:right w:w="80" w:type="dxa"/>
            </w:tcMar>
          </w:tcPr>
          <w:p w14:paraId="03B8B695">
            <w:pPr>
              <w:jc w:val="left"/>
            </w:pPr>
            <w:r>
              <w:rPr>
                <w:rFonts w:ascii="Times New Roman" w:hAnsi="Times New Roman" w:eastAsia="Times New Roman" w:cs="Times New Roman"/>
                <w:b w:val="0"/>
                <w:bCs w:val="0"/>
                <w:color w:val="1F2933"/>
                <w:sz w:val="18"/>
                <w:szCs w:val="18"/>
              </w:rPr>
              <w:t>Low Speech Rate</w:t>
            </w:r>
          </w:p>
        </w:tc>
        <w:tc>
          <w:tcPr>
            <w:tcW w:w="1936" w:type="dxa"/>
            <w:shd w:val="clear" w:color="auto" w:fill="F1F5F9"/>
            <w:tcMar>
              <w:top w:w="40" w:type="dxa"/>
              <w:left w:w="80" w:type="dxa"/>
              <w:bottom w:w="40" w:type="dxa"/>
              <w:right w:w="80" w:type="dxa"/>
            </w:tcMar>
          </w:tcPr>
          <w:p w14:paraId="741BAC20">
            <w:pPr>
              <w:jc w:val="left"/>
            </w:pPr>
            <w:r>
              <w:rPr>
                <w:rFonts w:ascii="Times New Roman" w:hAnsi="Times New Roman" w:eastAsia="Times New Roman" w:cs="Times New Roman"/>
                <w:b w:val="0"/>
                <w:bCs w:val="0"/>
                <w:color w:val="1F2933"/>
                <w:sz w:val="18"/>
                <w:szCs w:val="18"/>
              </w:rPr>
              <w:t>Speech Disruption</w:t>
            </w:r>
          </w:p>
        </w:tc>
        <w:tc>
          <w:tcPr>
            <w:tcW w:w="1938" w:type="dxa"/>
            <w:shd w:val="clear" w:color="auto" w:fill="F1F5F9"/>
            <w:tcMar>
              <w:top w:w="40" w:type="dxa"/>
              <w:left w:w="80" w:type="dxa"/>
              <w:bottom w:w="40" w:type="dxa"/>
              <w:right w:w="80" w:type="dxa"/>
            </w:tcMar>
          </w:tcPr>
          <w:p w14:paraId="7AE833F6">
            <w:pPr>
              <w:jc w:val="left"/>
            </w:pPr>
            <w:r>
              <w:rPr>
                <w:rFonts w:ascii="Times New Roman" w:hAnsi="Times New Roman" w:eastAsia="Times New Roman" w:cs="Times New Roman"/>
                <w:b w:val="0"/>
                <w:bCs w:val="0"/>
                <w:color w:val="1F2933"/>
                <w:sz w:val="18"/>
                <w:szCs w:val="18"/>
              </w:rPr>
              <w:t>Psychomotor slowing</w:t>
            </w:r>
          </w:p>
        </w:tc>
      </w:tr>
      <w:tr w14:paraId="39630DBF">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490" w:type="dxa"/>
            <w:tcMar>
              <w:top w:w="40" w:type="dxa"/>
              <w:left w:w="80" w:type="dxa"/>
              <w:bottom w:w="40" w:type="dxa"/>
              <w:right w:w="80" w:type="dxa"/>
            </w:tcMar>
          </w:tcPr>
          <w:p w14:paraId="0325E976">
            <w:pPr>
              <w:jc w:val="left"/>
            </w:pPr>
            <w:r>
              <w:rPr>
                <w:rFonts w:ascii="Times New Roman" w:hAnsi="Times New Roman" w:eastAsia="Times New Roman" w:cs="Times New Roman"/>
                <w:b w:val="0"/>
                <w:bCs w:val="0"/>
                <w:color w:val="1F2933"/>
                <w:sz w:val="18"/>
                <w:szCs w:val="18"/>
              </w:rPr>
              <w:t>energy (low)</w:t>
            </w:r>
          </w:p>
        </w:tc>
        <w:tc>
          <w:tcPr>
            <w:tcW w:w="1936" w:type="dxa"/>
            <w:tcMar>
              <w:top w:w="40" w:type="dxa"/>
              <w:left w:w="80" w:type="dxa"/>
              <w:bottom w:w="40" w:type="dxa"/>
              <w:right w:w="80" w:type="dxa"/>
            </w:tcMar>
          </w:tcPr>
          <w:p w14:paraId="7924BD33">
            <w:pPr>
              <w:jc w:val="left"/>
            </w:pPr>
            <w:r>
              <w:rPr>
                <w:rFonts w:ascii="Times New Roman" w:hAnsi="Times New Roman" w:eastAsia="Times New Roman" w:cs="Times New Roman"/>
                <w:b w:val="0"/>
                <w:bCs w:val="0"/>
                <w:color w:val="1F2933"/>
                <w:sz w:val="18"/>
                <w:szCs w:val="18"/>
              </w:rPr>
              <w:t>Low Vocal Energy</w:t>
            </w:r>
          </w:p>
        </w:tc>
        <w:tc>
          <w:tcPr>
            <w:tcW w:w="1936" w:type="dxa"/>
            <w:tcMar>
              <w:top w:w="40" w:type="dxa"/>
              <w:left w:w="80" w:type="dxa"/>
              <w:bottom w:w="40" w:type="dxa"/>
              <w:right w:w="80" w:type="dxa"/>
            </w:tcMar>
          </w:tcPr>
          <w:p w14:paraId="6286D79C">
            <w:pPr>
              <w:jc w:val="left"/>
            </w:pPr>
            <w:r>
              <w:rPr>
                <w:rFonts w:ascii="Times New Roman" w:hAnsi="Times New Roman" w:eastAsia="Times New Roman" w:cs="Times New Roman"/>
                <w:b w:val="0"/>
                <w:bCs w:val="0"/>
                <w:color w:val="1F2933"/>
                <w:sz w:val="18"/>
                <w:szCs w:val="18"/>
              </w:rPr>
              <w:t>Reduced Expressivity</w:t>
            </w:r>
          </w:p>
        </w:tc>
        <w:tc>
          <w:tcPr>
            <w:tcW w:w="1938" w:type="dxa"/>
            <w:tcMar>
              <w:top w:w="40" w:type="dxa"/>
              <w:left w:w="80" w:type="dxa"/>
              <w:bottom w:w="40" w:type="dxa"/>
              <w:right w:w="80" w:type="dxa"/>
            </w:tcMar>
          </w:tcPr>
          <w:p w14:paraId="2B0B5870">
            <w:pPr>
              <w:jc w:val="left"/>
            </w:pPr>
            <w:r>
              <w:rPr>
                <w:rFonts w:ascii="Times New Roman" w:hAnsi="Times New Roman" w:eastAsia="Times New Roman" w:cs="Times New Roman"/>
                <w:b w:val="0"/>
                <w:bCs w:val="0"/>
                <w:color w:val="1F2933"/>
                <w:sz w:val="18"/>
                <w:szCs w:val="18"/>
              </w:rPr>
              <w:t>Psychomotor slowing</w:t>
            </w:r>
          </w:p>
        </w:tc>
      </w:tr>
      <w:tr w14:paraId="12229C3E">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490" w:type="dxa"/>
            <w:shd w:val="clear" w:color="auto" w:fill="F1F5F9"/>
            <w:tcMar>
              <w:top w:w="40" w:type="dxa"/>
              <w:left w:w="80" w:type="dxa"/>
              <w:bottom w:w="40" w:type="dxa"/>
              <w:right w:w="80" w:type="dxa"/>
            </w:tcMar>
          </w:tcPr>
          <w:p w14:paraId="6864940E">
            <w:pPr>
              <w:jc w:val="left"/>
            </w:pPr>
            <w:r>
              <w:rPr>
                <w:rFonts w:ascii="Times New Roman" w:hAnsi="Times New Roman" w:eastAsia="Times New Roman" w:cs="Times New Roman"/>
                <w:b w:val="0"/>
                <w:bCs w:val="0"/>
                <w:color w:val="1F2933"/>
                <w:sz w:val="18"/>
                <w:szCs w:val="18"/>
              </w:rPr>
              <w:t>pitch_std (high)</w:t>
            </w:r>
          </w:p>
        </w:tc>
        <w:tc>
          <w:tcPr>
            <w:tcW w:w="1936" w:type="dxa"/>
            <w:shd w:val="clear" w:color="auto" w:fill="F1F5F9"/>
            <w:tcMar>
              <w:top w:w="40" w:type="dxa"/>
              <w:left w:w="80" w:type="dxa"/>
              <w:bottom w:w="40" w:type="dxa"/>
              <w:right w:w="80" w:type="dxa"/>
            </w:tcMar>
          </w:tcPr>
          <w:p w14:paraId="1912ED99">
            <w:pPr>
              <w:jc w:val="left"/>
            </w:pPr>
            <w:r>
              <w:rPr>
                <w:rFonts w:ascii="Times New Roman" w:hAnsi="Times New Roman" w:eastAsia="Times New Roman" w:cs="Times New Roman"/>
                <w:b w:val="0"/>
                <w:bCs w:val="0"/>
                <w:color w:val="1F2933"/>
                <w:sz w:val="18"/>
                <w:szCs w:val="18"/>
              </w:rPr>
              <w:t>High Pitch Variability</w:t>
            </w:r>
          </w:p>
        </w:tc>
        <w:tc>
          <w:tcPr>
            <w:tcW w:w="1936" w:type="dxa"/>
            <w:shd w:val="clear" w:color="auto" w:fill="F1F5F9"/>
            <w:tcMar>
              <w:top w:w="40" w:type="dxa"/>
              <w:left w:w="80" w:type="dxa"/>
              <w:bottom w:w="40" w:type="dxa"/>
              <w:right w:w="80" w:type="dxa"/>
            </w:tcMar>
          </w:tcPr>
          <w:p w14:paraId="29F15BF7">
            <w:pPr>
              <w:jc w:val="left"/>
            </w:pPr>
            <w:r>
              <w:rPr>
                <w:rFonts w:ascii="Times New Roman" w:hAnsi="Times New Roman" w:eastAsia="Times New Roman" w:cs="Times New Roman"/>
                <w:b w:val="0"/>
                <w:bCs w:val="0"/>
                <w:color w:val="1F2933"/>
                <w:sz w:val="18"/>
                <w:szCs w:val="18"/>
              </w:rPr>
              <w:t>Vocal Instability</w:t>
            </w:r>
          </w:p>
        </w:tc>
        <w:tc>
          <w:tcPr>
            <w:tcW w:w="1938" w:type="dxa"/>
            <w:shd w:val="clear" w:color="auto" w:fill="F1F5F9"/>
            <w:tcMar>
              <w:top w:w="40" w:type="dxa"/>
              <w:left w:w="80" w:type="dxa"/>
              <w:bottom w:w="40" w:type="dxa"/>
              <w:right w:w="80" w:type="dxa"/>
            </w:tcMar>
          </w:tcPr>
          <w:p w14:paraId="7261D024">
            <w:pPr>
              <w:jc w:val="left"/>
            </w:pPr>
            <w:r>
              <w:rPr>
                <w:rFonts w:ascii="Times New Roman" w:hAnsi="Times New Roman" w:eastAsia="Times New Roman" w:cs="Times New Roman"/>
                <w:b w:val="0"/>
                <w:bCs w:val="0"/>
                <w:color w:val="1F2933"/>
                <w:sz w:val="18"/>
                <w:szCs w:val="18"/>
              </w:rPr>
              <w:t>Psychomotor slowing</w:t>
            </w:r>
          </w:p>
        </w:tc>
      </w:tr>
      <w:tr w14:paraId="5A66E8A7">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490" w:type="dxa"/>
            <w:tcMar>
              <w:top w:w="40" w:type="dxa"/>
              <w:left w:w="80" w:type="dxa"/>
              <w:bottom w:w="40" w:type="dxa"/>
              <w:right w:w="80" w:type="dxa"/>
            </w:tcMar>
          </w:tcPr>
          <w:p w14:paraId="7D0F04C0">
            <w:pPr>
              <w:jc w:val="left"/>
            </w:pPr>
            <w:r>
              <w:rPr>
                <w:rFonts w:ascii="Times New Roman" w:hAnsi="Times New Roman" w:eastAsia="Times New Roman" w:cs="Times New Roman"/>
                <w:b w:val="0"/>
                <w:bCs w:val="0"/>
                <w:color w:val="1F2933"/>
                <w:sz w:val="18"/>
                <w:szCs w:val="18"/>
              </w:rPr>
              <w:t>pitch_mean (high/low)</w:t>
            </w:r>
          </w:p>
        </w:tc>
        <w:tc>
          <w:tcPr>
            <w:tcW w:w="1936" w:type="dxa"/>
            <w:tcMar>
              <w:top w:w="40" w:type="dxa"/>
              <w:left w:w="80" w:type="dxa"/>
              <w:bottom w:w="40" w:type="dxa"/>
              <w:right w:w="80" w:type="dxa"/>
            </w:tcMar>
          </w:tcPr>
          <w:p w14:paraId="434C1BFC">
            <w:pPr>
              <w:jc w:val="left"/>
            </w:pPr>
            <w:r>
              <w:rPr>
                <w:rFonts w:ascii="Times New Roman" w:hAnsi="Times New Roman" w:eastAsia="Times New Roman" w:cs="Times New Roman"/>
                <w:b w:val="0"/>
                <w:bCs w:val="0"/>
                <w:color w:val="1F2933"/>
                <w:sz w:val="18"/>
                <w:szCs w:val="18"/>
              </w:rPr>
              <w:t>High / Low Mean Pitch</w:t>
            </w:r>
          </w:p>
        </w:tc>
        <w:tc>
          <w:tcPr>
            <w:tcW w:w="1936" w:type="dxa"/>
            <w:tcMar>
              <w:top w:w="40" w:type="dxa"/>
              <w:left w:w="80" w:type="dxa"/>
              <w:bottom w:w="40" w:type="dxa"/>
              <w:right w:w="80" w:type="dxa"/>
            </w:tcMar>
          </w:tcPr>
          <w:p w14:paraId="513DF109">
            <w:pPr>
              <w:jc w:val="left"/>
            </w:pPr>
            <w:r>
              <w:rPr>
                <w:rFonts w:ascii="Times New Roman" w:hAnsi="Times New Roman" w:eastAsia="Times New Roman" w:cs="Times New Roman"/>
                <w:b w:val="0"/>
                <w:bCs w:val="0"/>
                <w:color w:val="1F2933"/>
                <w:sz w:val="18"/>
                <w:szCs w:val="18"/>
              </w:rPr>
              <w:t>Vocal Instability</w:t>
            </w:r>
          </w:p>
        </w:tc>
        <w:tc>
          <w:tcPr>
            <w:tcW w:w="1938" w:type="dxa"/>
            <w:tcMar>
              <w:top w:w="40" w:type="dxa"/>
              <w:left w:w="80" w:type="dxa"/>
              <w:bottom w:w="40" w:type="dxa"/>
              <w:right w:w="80" w:type="dxa"/>
            </w:tcMar>
          </w:tcPr>
          <w:p w14:paraId="0FE514EF">
            <w:pPr>
              <w:jc w:val="left"/>
            </w:pPr>
            <w:r>
              <w:rPr>
                <w:rFonts w:ascii="Times New Roman" w:hAnsi="Times New Roman" w:eastAsia="Times New Roman" w:cs="Times New Roman"/>
                <w:b w:val="0"/>
                <w:bCs w:val="0"/>
                <w:color w:val="1F2933"/>
                <w:sz w:val="18"/>
                <w:szCs w:val="18"/>
              </w:rPr>
              <w:t>PHQ-8 screening construct</w:t>
            </w:r>
          </w:p>
        </w:tc>
      </w:tr>
      <w:tr w14:paraId="7D1F970D">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490" w:type="dxa"/>
            <w:shd w:val="clear" w:color="auto" w:fill="F1F5F9"/>
            <w:tcMar>
              <w:top w:w="40" w:type="dxa"/>
              <w:left w:w="80" w:type="dxa"/>
              <w:bottom w:w="40" w:type="dxa"/>
              <w:right w:w="80" w:type="dxa"/>
            </w:tcMar>
          </w:tcPr>
          <w:p w14:paraId="3CD79F8B">
            <w:pPr>
              <w:jc w:val="left"/>
            </w:pPr>
            <w:r>
              <w:rPr>
                <w:rFonts w:ascii="Times New Roman" w:hAnsi="Times New Roman" w:eastAsia="Times New Roman" w:cs="Times New Roman"/>
                <w:b w:val="0"/>
                <w:bCs w:val="0"/>
                <w:color w:val="1F2933"/>
                <w:sz w:val="18"/>
                <w:szCs w:val="18"/>
              </w:rPr>
              <w:t>jitter (high)</w:t>
            </w:r>
          </w:p>
        </w:tc>
        <w:tc>
          <w:tcPr>
            <w:tcW w:w="1936" w:type="dxa"/>
            <w:shd w:val="clear" w:color="auto" w:fill="F1F5F9"/>
            <w:tcMar>
              <w:top w:w="40" w:type="dxa"/>
              <w:left w:w="80" w:type="dxa"/>
              <w:bottom w:w="40" w:type="dxa"/>
              <w:right w:w="80" w:type="dxa"/>
            </w:tcMar>
          </w:tcPr>
          <w:p w14:paraId="6FF56C49">
            <w:pPr>
              <w:jc w:val="left"/>
            </w:pPr>
            <w:r>
              <w:rPr>
                <w:rFonts w:ascii="Times New Roman" w:hAnsi="Times New Roman" w:eastAsia="Times New Roman" w:cs="Times New Roman"/>
                <w:b w:val="0"/>
                <w:bCs w:val="0"/>
                <w:color w:val="1F2933"/>
                <w:sz w:val="18"/>
                <w:szCs w:val="18"/>
              </w:rPr>
              <w:t>High Jitter</w:t>
            </w:r>
          </w:p>
        </w:tc>
        <w:tc>
          <w:tcPr>
            <w:tcW w:w="1936" w:type="dxa"/>
            <w:shd w:val="clear" w:color="auto" w:fill="F1F5F9"/>
            <w:tcMar>
              <w:top w:w="40" w:type="dxa"/>
              <w:left w:w="80" w:type="dxa"/>
              <w:bottom w:w="40" w:type="dxa"/>
              <w:right w:w="80" w:type="dxa"/>
            </w:tcMar>
          </w:tcPr>
          <w:p w14:paraId="19C0E08F">
            <w:pPr>
              <w:jc w:val="left"/>
            </w:pPr>
            <w:r>
              <w:rPr>
                <w:rFonts w:ascii="Times New Roman" w:hAnsi="Times New Roman" w:eastAsia="Times New Roman" w:cs="Times New Roman"/>
                <w:b w:val="0"/>
                <w:bCs w:val="0"/>
                <w:color w:val="1F2933"/>
                <w:sz w:val="18"/>
                <w:szCs w:val="18"/>
              </w:rPr>
              <w:t>Vocal Instability</w:t>
            </w:r>
          </w:p>
        </w:tc>
        <w:tc>
          <w:tcPr>
            <w:tcW w:w="1938" w:type="dxa"/>
            <w:shd w:val="clear" w:color="auto" w:fill="F1F5F9"/>
            <w:tcMar>
              <w:top w:w="40" w:type="dxa"/>
              <w:left w:w="80" w:type="dxa"/>
              <w:bottom w:w="40" w:type="dxa"/>
              <w:right w:w="80" w:type="dxa"/>
            </w:tcMar>
          </w:tcPr>
          <w:p w14:paraId="657326F2">
            <w:pPr>
              <w:jc w:val="left"/>
            </w:pPr>
            <w:r>
              <w:rPr>
                <w:rFonts w:ascii="Times New Roman" w:hAnsi="Times New Roman" w:eastAsia="Times New Roman" w:cs="Times New Roman"/>
                <w:b w:val="0"/>
                <w:bCs w:val="0"/>
                <w:color w:val="1F2933"/>
                <w:sz w:val="18"/>
                <w:szCs w:val="18"/>
              </w:rPr>
              <w:t>PHQ-8 screening construct</w:t>
            </w:r>
          </w:p>
        </w:tc>
      </w:tr>
      <w:tr w14:paraId="29E7F81F">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490" w:type="dxa"/>
            <w:tcMar>
              <w:top w:w="40" w:type="dxa"/>
              <w:left w:w="80" w:type="dxa"/>
              <w:bottom w:w="40" w:type="dxa"/>
              <w:right w:w="80" w:type="dxa"/>
            </w:tcMar>
          </w:tcPr>
          <w:p w14:paraId="732892C7">
            <w:pPr>
              <w:jc w:val="left"/>
            </w:pPr>
            <w:r>
              <w:rPr>
                <w:rFonts w:ascii="Times New Roman" w:hAnsi="Times New Roman" w:eastAsia="Times New Roman" w:cs="Times New Roman"/>
                <w:b w:val="0"/>
                <w:bCs w:val="0"/>
                <w:color w:val="1F2933"/>
                <w:sz w:val="18"/>
                <w:szCs w:val="18"/>
              </w:rPr>
              <w:t>mfcc_* (various)</w:t>
            </w:r>
          </w:p>
        </w:tc>
        <w:tc>
          <w:tcPr>
            <w:tcW w:w="1936" w:type="dxa"/>
            <w:tcMar>
              <w:top w:w="40" w:type="dxa"/>
              <w:left w:w="80" w:type="dxa"/>
              <w:bottom w:w="40" w:type="dxa"/>
              <w:right w:w="80" w:type="dxa"/>
            </w:tcMar>
          </w:tcPr>
          <w:p w14:paraId="73CEB7D2">
            <w:pPr>
              <w:jc w:val="left"/>
            </w:pPr>
            <w:r>
              <w:rPr>
                <w:rFonts w:ascii="Times New Roman" w:hAnsi="Times New Roman" w:eastAsia="Times New Roman" w:cs="Times New Roman"/>
                <w:b w:val="0"/>
                <w:bCs w:val="0"/>
                <w:color w:val="1F2933"/>
                <w:sz w:val="18"/>
                <w:szCs w:val="18"/>
              </w:rPr>
              <w:t>MFCC-based markers</w:t>
            </w:r>
          </w:p>
        </w:tc>
        <w:tc>
          <w:tcPr>
            <w:tcW w:w="1936" w:type="dxa"/>
            <w:tcMar>
              <w:top w:w="40" w:type="dxa"/>
              <w:left w:w="80" w:type="dxa"/>
              <w:bottom w:w="40" w:type="dxa"/>
              <w:right w:w="80" w:type="dxa"/>
            </w:tcMar>
          </w:tcPr>
          <w:p w14:paraId="0898B81D">
            <w:pPr>
              <w:jc w:val="left"/>
            </w:pPr>
            <w:r>
              <w:rPr>
                <w:rFonts w:ascii="Times New Roman" w:hAnsi="Times New Roman" w:eastAsia="Times New Roman" w:cs="Times New Roman"/>
                <w:b w:val="0"/>
                <w:bCs w:val="0"/>
                <w:color w:val="1F2933"/>
                <w:sz w:val="18"/>
                <w:szCs w:val="18"/>
              </w:rPr>
              <w:t>Spectral Shift</w:t>
            </w:r>
          </w:p>
        </w:tc>
        <w:tc>
          <w:tcPr>
            <w:tcW w:w="1938" w:type="dxa"/>
            <w:tcMar>
              <w:top w:w="40" w:type="dxa"/>
              <w:left w:w="80" w:type="dxa"/>
              <w:bottom w:w="40" w:type="dxa"/>
              <w:right w:w="80" w:type="dxa"/>
            </w:tcMar>
          </w:tcPr>
          <w:p w14:paraId="4113BC09">
            <w:pPr>
              <w:jc w:val="left"/>
            </w:pPr>
            <w:r>
              <w:rPr>
                <w:rFonts w:ascii="Times New Roman" w:hAnsi="Times New Roman" w:eastAsia="Times New Roman" w:cs="Times New Roman"/>
                <w:b w:val="0"/>
                <w:bCs w:val="0"/>
                <w:color w:val="1F2933"/>
                <w:sz w:val="18"/>
                <w:szCs w:val="18"/>
              </w:rPr>
              <w:t>PHQ-8 screening construct</w:t>
            </w:r>
          </w:p>
        </w:tc>
      </w:tr>
    </w:tbl>
    <w:p w14:paraId="0D96ACE1">
      <w:pPr>
        <w:spacing w:before="80" w:after="220"/>
        <w:jc w:val="left"/>
      </w:pPr>
      <w:r>
        <w:rPr>
          <w:rFonts w:ascii="Times New Roman" w:hAnsi="Times New Roman" w:eastAsia="Times New Roman" w:cs="Times New Roman"/>
          <w:i/>
          <w:iCs/>
          <w:color w:val="475569"/>
          <w:sz w:val="20"/>
          <w:szCs w:val="20"/>
        </w:rPr>
        <w:t>Table 2. Mapping from acoustic features to calibrated biomarkers, interpretable clinical concepts, and the symptoms or constructs they link toward in the graph.</w:t>
      </w:r>
    </w:p>
    <w:p w14:paraId="3762E9AA">
      <w:pPr>
        <w:spacing w:after="120" w:line="480" w:lineRule="auto"/>
        <w:jc w:val="both"/>
      </w:pPr>
      <w:r>
        <w:rPr>
          <w:rFonts w:ascii="Times New Roman" w:hAnsi="Times New Roman" w:eastAsia="Times New Roman" w:cs="Times New Roman"/>
          <w:sz w:val="24"/>
          <w:szCs w:val="24"/>
        </w:rPr>
        <w:t>This mapping is not a set of diagnostic rules. It is the structure that allows a numerical measurement to be expressed as a hedged clinical concept and then connected, through the graph, to a screening context. The direction of each marker (high or low) is carried alongside it, so that, for example, both an unusually high and an unusually low mean pitch can be represented as distinct biomarkers with their own calibrated thresholds.</w:t>
      </w:r>
    </w:p>
    <w:p w14:paraId="2F3EDCF8">
      <w:r>
        <w:br w:type="page"/>
      </w:r>
    </w:p>
    <w:p w14:paraId="60B7F88D">
      <w:pPr>
        <w:pStyle w:val="2"/>
        <w:keepNext/>
        <w:spacing w:before="360" w:after="200"/>
      </w:pPr>
      <w:r>
        <w:t>5  System Design and Architecture</w:t>
      </w:r>
    </w:p>
    <w:p w14:paraId="066A3392">
      <w:pPr>
        <w:spacing w:after="120" w:line="480" w:lineRule="auto"/>
        <w:jc w:val="both"/>
      </w:pPr>
      <w:r>
        <w:rPr>
          <w:rFonts w:ascii="Times New Roman" w:hAnsi="Times New Roman" w:eastAsia="Times New Roman" w:cs="Times New Roman"/>
          <w:sz w:val="24"/>
          <w:szCs w:val="24"/>
        </w:rPr>
        <w:t>This chapter describes the architecture of the system, explaining how the methodological stages of Chapter 4 are realised as cooperating software components. The guiding design principle is separation of concerns: measurement, calibration, representation, retrieval, and generation are implemented as distinct modules so that each can be inspected, tested, and replaced independently.</w:t>
      </w:r>
    </w:p>
    <w:p w14:paraId="2B52798E">
      <w:pPr>
        <w:pStyle w:val="3"/>
        <w:keepNext/>
        <w:spacing w:before="280" w:after="140"/>
      </w:pPr>
      <w:r>
        <w:t>5.1  Architectural Principles</w:t>
      </w:r>
    </w:p>
    <w:p w14:paraId="22322C1D">
      <w:pPr>
        <w:spacing w:after="120" w:line="480" w:lineRule="auto"/>
        <w:jc w:val="both"/>
      </w:pPr>
      <w:r>
        <w:rPr>
          <w:rFonts w:ascii="Times New Roman" w:hAnsi="Times New Roman" w:eastAsia="Times New Roman" w:cs="Times New Roman"/>
          <w:sz w:val="24"/>
          <w:szCs w:val="24"/>
        </w:rPr>
        <w:t>Three principles govern the architecture. The first is inspectability: at every stage the intermediate artefacts — feature values, calibrated thresholds, matched rules, retrieved paths, and generated text — are explicit and can be examined by a supervisor. The second is evidence–generation separation: the clinical content of a report is determined by deterministic components (feature extraction, threshold matching, and graph retrieval), and the language model is confined to expressing that content in readable form. The third is graceful degradation: the system is designed so that the failure or absence of the language model reduces the fluency of the report but never removes its evidential content.</w:t>
      </w:r>
    </w:p>
    <w:p w14:paraId="22FED424">
      <w:pPr>
        <w:pStyle w:val="3"/>
        <w:keepNext/>
        <w:spacing w:before="280" w:after="140"/>
      </w:pPr>
      <w:r>
        <w:t>5.2  Component Responsibilities</w:t>
      </w:r>
    </w:p>
    <w:p w14:paraId="45965CC5">
      <w:pPr>
        <w:spacing w:after="120" w:line="480" w:lineRule="auto"/>
        <w:jc w:val="both"/>
      </w:pPr>
      <w:r>
        <w:rPr>
          <w:rFonts w:ascii="Times New Roman" w:hAnsi="Times New Roman" w:eastAsia="Times New Roman" w:cs="Times New Roman"/>
          <w:sz w:val="24"/>
          <w:szCs w:val="24"/>
        </w:rPr>
        <w:t>The Analyzer is responsible for turning a recording and its associated transcript and COVAREP data into a structured set of participant-level feature values. The mapping and rule-assessment layer compares those values against the calibrated thresholds stored in the graph and marks each biomarker as detected or not, in the appropriate direction. The Retriever performs graph traversal from each detected biomarker node to the relevant target nodes, returning explanation paths. The Reporter Agent assembles the detected biomarkers, matched rules, and retrieved paths into a structured report, generating a deterministic summary and, when available, an LLM-generated narrative for the requested persona.</w:t>
      </w:r>
    </w:p>
    <w:p w14:paraId="7340A378">
      <w:pPr>
        <w:keepNext/>
        <w:spacing w:before="160" w:after="80"/>
        <w:jc w:val="center"/>
      </w:pPr>
      <w:r>
        <w:drawing>
          <wp:inline distT="0" distB="0" distL="0" distR="0">
            <wp:extent cx="5577840" cy="1514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7"/>
                    <a:srcRect/>
                    <a:stretch>
                      <a:fillRect/>
                    </a:stretch>
                  </pic:blipFill>
                  <pic:spPr>
                    <a:xfrm>
                      <a:off x="0" y="0"/>
                      <a:ext cx="5577840" cy="1514475"/>
                    </a:xfrm>
                    <a:prstGeom prst="rect">
                      <a:avLst/>
                    </a:prstGeom>
                  </pic:spPr>
                </pic:pic>
              </a:graphicData>
            </a:graphic>
          </wp:inline>
        </w:drawing>
      </w:r>
    </w:p>
    <w:p w14:paraId="06FB4BFA">
      <w:pPr>
        <w:spacing w:after="220"/>
        <w:jc w:val="center"/>
      </w:pPr>
      <w:r>
        <w:rPr>
          <w:rFonts w:ascii="Times New Roman" w:hAnsi="Times New Roman" w:eastAsia="Times New Roman" w:cs="Times New Roman"/>
          <w:i/>
          <w:iCs/>
          <w:color w:val="475569"/>
          <w:sz w:val="20"/>
          <w:szCs w:val="20"/>
        </w:rPr>
        <w:t>Figure 7. Component view of the pipeline. Deterministic components (Analyzer, mapping/thresholds, Retriever) establish the evidence; the Reporter Agent expresses it, with a deterministic fallback.</w:t>
      </w:r>
    </w:p>
    <w:p w14:paraId="3323AB25">
      <w:pPr>
        <w:pStyle w:val="3"/>
        <w:keepNext/>
        <w:spacing w:before="280" w:after="140"/>
      </w:pPr>
      <w:r>
        <w:t>5.3  The Clinical Knowledge Graph as a Shared Artefact</w:t>
      </w:r>
    </w:p>
    <w:p w14:paraId="5903ACBC">
      <w:pPr>
        <w:spacing w:after="120" w:line="480" w:lineRule="auto"/>
        <w:jc w:val="both"/>
      </w:pPr>
      <w:r>
        <w:rPr>
          <w:rFonts w:ascii="Times New Roman" w:hAnsi="Times New Roman" w:eastAsia="Times New Roman" w:cs="Times New Roman"/>
          <w:sz w:val="24"/>
          <w:szCs w:val="24"/>
        </w:rPr>
        <w:t>The knowledge graph occupies a central position in the architecture because it is simultaneously a store of calibrated thresholds, a representation of clinical relationships, and the substrate for retrieval. Two serialised graphs exist: a seed graph that functions as the ontology template, and a calibrated graph that shares the same structure but additionally stores dataset-calibrated thresholds and calibration metadata. The graph loader automatically prefers the calibrated graph when it is present. This arrangement means that calibration is performed only when the dataset or feature extraction changes, while ordinary report generation simply reads the saved calibrated thresholds, keeping normal operation fast and deterministic.</w:t>
      </w:r>
    </w:p>
    <w:p w14:paraId="4C2E3632">
      <w:pPr>
        <w:pStyle w:val="3"/>
        <w:keepNext/>
        <w:spacing w:before="280" w:after="140"/>
      </w:pPr>
      <w:r>
        <w:t>5.4  Data Flow</w:t>
      </w:r>
    </w:p>
    <w:p w14:paraId="3B5A9902">
      <w:pPr>
        <w:spacing w:after="120" w:line="480" w:lineRule="auto"/>
        <w:jc w:val="both"/>
      </w:pPr>
      <w:r>
        <w:rPr>
          <w:rFonts w:ascii="Times New Roman" w:hAnsi="Times New Roman" w:eastAsia="Times New Roman" w:cs="Times New Roman"/>
          <w:sz w:val="24"/>
          <w:szCs w:val="24"/>
        </w:rPr>
        <w:t>A single analysis proceeds as follows. The Analyzer extracts features from the recording, transcript, and COVAREP data. The rule-assessment layer reads the biomarker rules from the calibrated graph and marks each biomarker whose feature value crosses its threshold in the required direction, producing structured findings that record the feature name, value, threshold, direction, graph node, label, and a clinical summary. The Retriever traverses the graph from each detected biomarker node to the target nodes, returning explanation paths. The Reporter Agent then composes the final report, combining a deterministic summary of the findings and paths with an optional LLM narrative for the chosen persona, and records the LLM status metadata. The result is a single structured JSON report containing all intermediate artefacts, which makes the entire chain auditable after the fact.</w:t>
      </w:r>
    </w:p>
    <w:p w14:paraId="573AB75A">
      <w:pPr>
        <w:pStyle w:val="3"/>
        <w:keepNext/>
        <w:spacing w:before="280" w:after="140"/>
      </w:pPr>
      <w:r>
        <w:t>5.5  Audience-Specific Reporting</w:t>
      </w:r>
    </w:p>
    <w:p w14:paraId="7F9FF34E">
      <w:pPr>
        <w:spacing w:after="120" w:line="480" w:lineRule="auto"/>
        <w:jc w:val="both"/>
      </w:pPr>
      <w:r>
        <w:rPr>
          <w:rFonts w:ascii="Times New Roman" w:hAnsi="Times New Roman" w:eastAsia="Times New Roman" w:cs="Times New Roman"/>
          <w:sz w:val="24"/>
          <w:szCs w:val="24"/>
        </w:rPr>
        <w:t>The architecture supports multiple personas because different audiences require different language from the same evidence. A psychologist-facing report retains technical vocabulary and quantitative detail, supporting expert scrutiny. A patient-facing report uses plainer language, avoids alarming phrasing, and foregrounds the non-diagnostic nature of the output. Because both personas are generated from the same retrieved paths, the underlying evidence is identical across audiences; only its expression differs. This separation of evidence from expression is what allows the system to be both technically informative and ethically careful at the same time.</w:t>
      </w:r>
    </w:p>
    <w:p w14:paraId="47B7F8E0">
      <w:pPr>
        <w:pStyle w:val="3"/>
        <w:keepNext/>
        <w:spacing w:before="280" w:after="140"/>
      </w:pPr>
      <w:r>
        <w:t>5.6  Error Handling and Graceful Degradation</w:t>
      </w:r>
    </w:p>
    <w:p w14:paraId="034809A0">
      <w:pPr>
        <w:spacing w:after="120" w:line="480" w:lineRule="auto"/>
        <w:jc w:val="both"/>
      </w:pPr>
      <w:r>
        <w:rPr>
          <w:rFonts w:ascii="Times New Roman" w:hAnsi="Times New Roman" w:eastAsia="Times New Roman" w:cs="Times New Roman"/>
          <w:sz w:val="24"/>
          <w:szCs w:val="24"/>
        </w:rPr>
        <w:t>Robustness is treated as an architectural property rather than an afterthought, because a mental-health support tool that fails unpredictably is worse than one with modest but reliable behaviour. The most consequential failure mode is the unavailability of the local language model, and the architecture is designed so that this failure is non-fatal. If the Ollama endpoint is unreachable, the model is not installed, or generation exceeds the configured timeout, the Reporter Agent records the condition in a dedicated llm_status field and returns the deterministic, graph-grounded report. The clinical content of the report is thereby preserved, because that content is produced by the deterministic components upstream of the language model.</w:t>
      </w:r>
    </w:p>
    <w:p w14:paraId="4CCF2AAB">
      <w:pPr>
        <w:spacing w:after="120" w:line="480" w:lineRule="auto"/>
        <w:jc w:val="both"/>
      </w:pPr>
      <w:r>
        <w:rPr>
          <w:rFonts w:ascii="Times New Roman" w:hAnsi="Times New Roman" w:eastAsia="Times New Roman" w:cs="Times New Roman"/>
          <w:sz w:val="24"/>
          <w:szCs w:val="24"/>
        </w:rPr>
        <w:t>Other failure modes are handled at the stage where they arise. Missing or malformed input streams — for example a participant with a transcript but no COVAREP file — result in the affected features being marked unavailable rather than being imputed with misleading values, and a biomarker whose feature is unavailable simply does not fire. The graph loader falls back from the calibrated graph to the seed graph if the calibrated file is absent, so the pipeline remains runnable even before calibration has been performed. In each case the principle is the same: a component should degrade to a clearly-labelled reduced capability rather than fail silently or fabricate a result.</w:t>
      </w:r>
    </w:p>
    <w:p w14:paraId="3711057B">
      <w:pPr>
        <w:pStyle w:val="3"/>
        <w:keepNext/>
        <w:spacing w:before="280" w:after="140"/>
      </w:pPr>
      <w:r>
        <w:t>5.7  Extensibility and the Path to Orchestration</w:t>
      </w:r>
    </w:p>
    <w:p w14:paraId="6427B9FA">
      <w:pPr>
        <w:spacing w:after="120" w:line="480" w:lineRule="auto"/>
        <w:jc w:val="both"/>
      </w:pPr>
      <w:r>
        <w:rPr>
          <w:rFonts w:ascii="Times New Roman" w:hAnsi="Times New Roman" w:eastAsia="Times New Roman" w:cs="Times New Roman"/>
          <w:sz w:val="24"/>
          <w:szCs w:val="24"/>
        </w:rPr>
        <w:t>The modular design is also motivated by extensibility. Because the stages communicate through explicit, inspectable artefacts, a stage can be replaced or augmented without disturbing the others. The lightweight MFCC implementation could be swapped for an established toolkit, the shortest-path retrieval could be extended to return ranked multi-path evidence, and the single-session Analyzer could be augmented with temporal summaries, each as a local change. The clearest planned extension is to make the control flow between components explicit through an orchestrator, so that the Analyzer → Retriever → Reporter sequence becomes a managed graph of operations rather than a linear script. This is discussed as future work in Chapter 10; the present architecture is deliberately shaped so that such an orchestrator can be introduced without redesigning the components it coordinates.</w:t>
      </w:r>
    </w:p>
    <w:p w14:paraId="53F5F2E6">
      <w:r>
        <w:br w:type="page"/>
      </w:r>
    </w:p>
    <w:p w14:paraId="4E7CF915">
      <w:pPr>
        <w:pStyle w:val="2"/>
        <w:keepNext/>
        <w:spacing w:before="360" w:after="200"/>
      </w:pPr>
      <w:r>
        <w:t>6  Implementation</w:t>
      </w:r>
    </w:p>
    <w:p w14:paraId="4759DFA2">
      <w:pPr>
        <w:spacing w:after="120" w:line="480" w:lineRule="auto"/>
        <w:jc w:val="both"/>
      </w:pPr>
      <w:r>
        <w:rPr>
          <w:rFonts w:ascii="Times New Roman" w:hAnsi="Times New Roman" w:eastAsia="Times New Roman" w:cs="Times New Roman"/>
          <w:sz w:val="24"/>
          <w:szCs w:val="24"/>
        </w:rPr>
        <w:t>This chapter documents the concrete implementation of the system, including the project structure, the feature-matrix builder, the calibration script, graph loading and rule assessment, and the Month 3 Graph-RAG Reporter Agent. The intention is to provide enough detail for the work to be reproduced and for an examiner to verify that the described behaviour is realised in code.</w:t>
      </w:r>
    </w:p>
    <w:p w14:paraId="6FC894D3">
      <w:pPr>
        <w:pStyle w:val="3"/>
        <w:keepNext/>
        <w:spacing w:before="280" w:after="140"/>
      </w:pPr>
      <w:r>
        <w:t>6.1  Project Structure</w:t>
      </w:r>
    </w:p>
    <w:p w14:paraId="3FED0FF9">
      <w:pPr>
        <w:spacing w:after="120" w:line="480" w:lineRule="auto"/>
        <w:jc w:val="both"/>
      </w:pPr>
      <w:r>
        <w:rPr>
          <w:rFonts w:ascii="Times New Roman" w:hAnsi="Times New Roman" w:eastAsia="Times New Roman" w:cs="Times New Roman"/>
          <w:sz w:val="24"/>
          <w:szCs w:val="24"/>
        </w:rPr>
        <w:t>The implementation is organised into four main areas, each corresponding to a stage of the methodology:</w:t>
      </w:r>
    </w:p>
    <w:p w14:paraId="2492A735">
      <w:pPr>
        <w:pStyle w:val="16"/>
        <w:numPr>
          <w:ilvl w:val="0"/>
          <w:numId w:val="1"/>
        </w:numPr>
        <w:spacing w:after="120" w:line="480" w:lineRule="auto"/>
        <w:jc w:val="both"/>
      </w:pPr>
      <w:r>
        <w:rPr>
          <w:rFonts w:ascii="Times New Roman" w:hAnsi="Times New Roman" w:eastAsia="Times New Roman" w:cs="Times New Roman"/>
          <w:sz w:val="24"/>
          <w:szCs w:val="24"/>
        </w:rPr>
        <w:t>src/feature_extraction.py — WAV loading and audio feature extraction for single-file reporting.</w:t>
      </w:r>
    </w:p>
    <w:p w14:paraId="45313B89">
      <w:pPr>
        <w:pStyle w:val="16"/>
        <w:numPr>
          <w:ilvl w:val="0"/>
          <w:numId w:val="1"/>
        </w:numPr>
        <w:spacing w:after="120" w:line="480" w:lineRule="auto"/>
        <w:jc w:val="both"/>
      </w:pPr>
      <w:r>
        <w:rPr>
          <w:rFonts w:ascii="Times New Roman" w:hAnsi="Times New Roman" w:eastAsia="Times New Roman" w:cs="Times New Roman"/>
          <w:sz w:val="24"/>
          <w:szCs w:val="24"/>
        </w:rPr>
        <w:t>src/graph — knowledge-graph loading, validation, feature mapping, and inspection utilities.</w:t>
      </w:r>
    </w:p>
    <w:p w14:paraId="6E99675D">
      <w:pPr>
        <w:pStyle w:val="16"/>
        <w:numPr>
          <w:ilvl w:val="0"/>
          <w:numId w:val="1"/>
        </w:numPr>
        <w:spacing w:after="120" w:line="480" w:lineRule="auto"/>
        <w:jc w:val="both"/>
      </w:pPr>
      <w:r>
        <w:rPr>
          <w:rFonts w:ascii="Times New Roman" w:hAnsi="Times New Roman" w:eastAsia="Times New Roman" w:cs="Times New Roman"/>
          <w:sz w:val="24"/>
          <w:szCs w:val="24"/>
        </w:rPr>
        <w:t>src/rag — graph retrieval, the local LLM client, and Reporter Agent generation.</w:t>
      </w:r>
    </w:p>
    <w:p w14:paraId="5FA40DF6">
      <w:pPr>
        <w:pStyle w:val="16"/>
        <w:numPr>
          <w:ilvl w:val="0"/>
          <w:numId w:val="1"/>
        </w:numPr>
        <w:spacing w:after="120" w:line="480" w:lineRule="auto"/>
        <w:jc w:val="both"/>
      </w:pPr>
      <w:r>
        <w:rPr>
          <w:rFonts w:ascii="Times New Roman" w:hAnsi="Times New Roman" w:eastAsia="Times New Roman" w:cs="Times New Roman"/>
          <w:sz w:val="24"/>
          <w:szCs w:val="24"/>
        </w:rPr>
        <w:t>src/calibration — dataset feature extraction and threshold calibration.</w:t>
      </w:r>
    </w:p>
    <w:p w14:paraId="44A5F30C">
      <w:pPr>
        <w:spacing w:after="120" w:line="480" w:lineRule="auto"/>
        <w:jc w:val="both"/>
      </w:pPr>
      <w:r>
        <w:rPr>
          <w:rFonts w:ascii="Times New Roman" w:hAnsi="Times New Roman" w:eastAsia="Times New Roman" w:cs="Times New Roman"/>
          <w:sz w:val="24"/>
          <w:szCs w:val="24"/>
        </w:rPr>
        <w:t>The principal graph files are stored under the knowledge-graph data directory:</w:t>
      </w:r>
    </w:p>
    <w:p w14:paraId="008AB00C">
      <w:pPr>
        <w:pStyle w:val="16"/>
        <w:numPr>
          <w:ilvl w:val="0"/>
          <w:numId w:val="1"/>
        </w:numPr>
        <w:spacing w:after="120" w:line="480" w:lineRule="auto"/>
        <w:jc w:val="both"/>
      </w:pPr>
      <w:r>
        <w:rPr>
          <w:rFonts w:ascii="Times New Roman" w:hAnsi="Times New Roman" w:eastAsia="Times New Roman" w:cs="Times New Roman"/>
          <w:sz w:val="24"/>
          <w:szCs w:val="24"/>
        </w:rPr>
        <w:t>data/knowledge_graph/siegen_audio_depression_kg.jsonld — the seed (ontology-template) graph.</w:t>
      </w:r>
    </w:p>
    <w:p w14:paraId="651F1D34">
      <w:pPr>
        <w:pStyle w:val="16"/>
        <w:numPr>
          <w:ilvl w:val="0"/>
          <w:numId w:val="1"/>
        </w:numPr>
        <w:spacing w:after="120" w:line="480" w:lineRule="auto"/>
        <w:jc w:val="both"/>
      </w:pPr>
      <w:r>
        <w:rPr>
          <w:rFonts w:ascii="Times New Roman" w:hAnsi="Times New Roman" w:eastAsia="Times New Roman" w:cs="Times New Roman"/>
          <w:sz w:val="24"/>
          <w:szCs w:val="24"/>
        </w:rPr>
        <w:t>data/knowledge_graph/siegen_audio_depression_kg.calibrated.jsonld — the calibrated graph, with dataset-calibrated thresholds and calibration metadata.</w:t>
      </w:r>
    </w:p>
    <w:p w14:paraId="26A4CBFF">
      <w:pPr>
        <w:spacing w:after="120" w:line="480" w:lineRule="auto"/>
        <w:jc w:val="both"/>
      </w:pPr>
      <w:r>
        <w:rPr>
          <w:rFonts w:ascii="Times New Roman" w:hAnsi="Times New Roman" w:eastAsia="Times New Roman" w:cs="Times New Roman"/>
          <w:sz w:val="24"/>
          <w:szCs w:val="24"/>
        </w:rPr>
        <w:t>The seed graph is the ontology template; the calibrated graph shares its structure but adds the calibrated thresholds and metadata. The graph loader uses the calibrated graph automatically whenever it exists, so that the normal analysis pipeline does not recalibrate on every run.</w:t>
      </w:r>
    </w:p>
    <w:p w14:paraId="240875D5">
      <w:pPr>
        <w:pStyle w:val="3"/>
        <w:keepNext/>
        <w:spacing w:before="280" w:after="140"/>
      </w:pPr>
      <w:r>
        <w:t>6.2  Feature Matrix Builder</w:t>
      </w:r>
    </w:p>
    <w:p w14:paraId="206B99C9">
      <w:pPr>
        <w:spacing w:after="120" w:line="480" w:lineRule="auto"/>
        <w:jc w:val="both"/>
      </w:pPr>
      <w:r>
        <w:rPr>
          <w:rFonts w:ascii="Times New Roman" w:hAnsi="Times New Roman" w:eastAsia="Times New Roman" w:cs="Times New Roman"/>
          <w:sz w:val="24"/>
          <w:szCs w:val="24"/>
        </w:rPr>
        <w:t>The feature-matrix builder constructs a participant-level table. It reads the PHQ-8 labels, identifies the participants for whom audio files are available, extracts the features for each, and writes a CSV file to the calibration directory (acoustic_feature_matrix.csv). This file is important for reproducibility and defensibility: it allows a supervisor to inspect the participant-level feature values directly and to confirm that the thresholds were derived from data rather than guessed.</w:t>
      </w:r>
    </w:p>
    <w:p w14:paraId="7D89677D">
      <w:pPr>
        <w:pStyle w:val="3"/>
        <w:keepNext/>
        <w:spacing w:before="280" w:after="140"/>
      </w:pPr>
      <w:r>
        <w:t>6.3  Calibration Script</w:t>
      </w:r>
    </w:p>
    <w:p w14:paraId="3FC8BA08">
      <w:pPr>
        <w:spacing w:after="120" w:line="480" w:lineRule="auto"/>
        <w:jc w:val="both"/>
      </w:pPr>
      <w:r>
        <w:rPr>
          <w:rFonts w:ascii="Times New Roman" w:hAnsi="Times New Roman" w:eastAsia="Times New Roman" w:cs="Times New Roman"/>
          <w:sz w:val="24"/>
          <w:szCs w:val="24"/>
        </w:rPr>
        <w:t>The calibration script reads the participant-level feature matrix and the PHQ-8 label files and calibrates each graph biomarker separately. Per-biomarker calibration is necessary because the same raw feature can appear in more than one clinical direction. Pitch mean, for instance, supports both a high-pitch and a low-pitch biomarker node, each with its own direction and threshold. The script produces several outputs: calibrated_thresholds.csv, calibration_summary.json, participant_feature_matrix.csv, and the calibrated JSON-LD graph. The calibrated graph stores threshold metadata including the calibration source, the reference label, the sample size, and the sensitivity, specificity, and Youden's J for each threshold, which makes the graph transparent and straightforward to defend.</w:t>
      </w:r>
    </w:p>
    <w:p w14:paraId="032E6485">
      <w:pPr>
        <w:pStyle w:val="3"/>
        <w:keepNext/>
        <w:spacing w:before="280" w:after="140"/>
      </w:pPr>
      <w:r>
        <w:t>6.4  Graph Loading and Rule Assessment</w:t>
      </w:r>
    </w:p>
    <w:p w14:paraId="42E4D47B">
      <w:pPr>
        <w:spacing w:after="120" w:line="480" w:lineRule="auto"/>
        <w:jc w:val="both"/>
      </w:pPr>
      <w:r>
        <w:rPr>
          <w:rFonts w:ascii="Times New Roman" w:hAnsi="Times New Roman" w:eastAsia="Times New Roman" w:cs="Times New Roman"/>
          <w:sz w:val="24"/>
          <w:szCs w:val="24"/>
        </w:rPr>
        <w:t>The graph loader first checks whether a calibrated graph exists; if so, it loads that version, and otherwise it falls back to the seed graph. Consequently the normal analysis pipeline does not recalibrate thresholds on every run — calibration is performed only when the dataset or the feature extraction changes, and ordinary report generation simply uses the saved calibrated thresholds. Rule assessment reads the biomarker rules from the graph and, for each feature that crosses its threshold in the required direction, marks the corresponding biomarker node as detected. This produces structured findings containing the feature name, value, threshold, direction, graph node, label, and clinical summary.</w:t>
      </w:r>
    </w:p>
    <w:p w14:paraId="19314E0D">
      <w:pPr>
        <w:pStyle w:val="3"/>
        <w:keepNext/>
        <w:spacing w:before="280" w:after="140"/>
      </w:pPr>
      <w:r>
        <w:t>6.5  Month 3 Graph-RAG Reporter Agent</w:t>
      </w:r>
    </w:p>
    <w:p w14:paraId="4DB0E305">
      <w:pPr>
        <w:spacing w:after="120" w:line="480" w:lineRule="auto"/>
        <w:jc w:val="both"/>
      </w:pPr>
      <w:r>
        <w:rPr>
          <w:rFonts w:ascii="Times New Roman" w:hAnsi="Times New Roman" w:eastAsia="Times New Roman" w:cs="Times New Roman"/>
          <w:sz w:val="24"/>
          <w:szCs w:val="24"/>
        </w:rPr>
        <w:t>The Reporter Agent is a working Graph-RAG component. It creates structured JSON reports containing the detected biomarkers, the rule findings, the graph explanation paths, deterministic clinical summaries, the LLM status metadata, and an optional local-LLM report. The deterministic summary is always available, even when the LLM is disabled, which makes the system robust for live demonstrations and ensures that the clinical explanation does not depend on a generative model.</w:t>
      </w:r>
    </w:p>
    <w:p w14:paraId="1B89A5D3">
      <w:pPr>
        <w:spacing w:after="120" w:line="480" w:lineRule="auto"/>
        <w:jc w:val="both"/>
      </w:pPr>
      <w:r>
        <w:rPr>
          <w:rFonts w:ascii="Times New Roman" w:hAnsi="Times New Roman" w:eastAsia="Times New Roman" w:cs="Times New Roman"/>
          <w:sz w:val="24"/>
          <w:szCs w:val="24"/>
        </w:rPr>
        <w:t>The local-LLM connection is implemented through an Ollama client. The client posts the graph-grounded prompt to the local generation endpoint at http://localhost:11434/api/generate, with streaming disabled so that the Python pipeline receives a single complete JSON response. The current tested model is gemma3:1b, which is small enough to run on a laptop. The pipeline exposes command-line controls for the model name, timeout, temperature, persona, and whether the LLM should be disabled. The command used for the Month 3 test was:</w:t>
      </w:r>
    </w:p>
    <w:p w14:paraId="6B2A7160">
      <w:pPr>
        <w:shd w:val="clear" w:fill="F1F5F9"/>
        <w:spacing w:before="60" w:after="0" w:line="240" w:lineRule="auto"/>
        <w:ind w:left="180" w:right="180"/>
      </w:pPr>
      <w:r>
        <w:rPr>
          <w:rFonts w:ascii="Courier New" w:hAnsi="Courier New" w:eastAsia="Courier New" w:cs="Courier New"/>
          <w:color w:val="1E293B"/>
          <w:sz w:val="19"/>
          <w:szCs w:val="19"/>
        </w:rPr>
        <w:t>python -m src.pipeline.run_pipeline Dataset\300_AUDIO.wav \</w:t>
      </w:r>
    </w:p>
    <w:p w14:paraId="2605AE22">
      <w:pPr>
        <w:shd w:val="clear" w:fill="F1F5F9"/>
        <w:spacing w:before="0" w:after="0" w:line="240" w:lineRule="auto"/>
        <w:ind w:left="180" w:right="180"/>
      </w:pPr>
      <w:r>
        <w:rPr>
          <w:rFonts w:ascii="Courier New" w:hAnsi="Courier New" w:eastAsia="Courier New" w:cs="Courier New"/>
          <w:color w:val="1E293B"/>
          <w:sz w:val="19"/>
          <w:szCs w:val="19"/>
        </w:rPr>
        <w:t xml:space="preserve">  --max-duration-seconds 30 --llm-provider ollama --llm-model gemma3:1b \</w:t>
      </w:r>
    </w:p>
    <w:p w14:paraId="58B56356">
      <w:pPr>
        <w:shd w:val="clear" w:fill="F1F5F9"/>
        <w:spacing w:before="0" w:after="0" w:line="240" w:lineRule="auto"/>
        <w:ind w:left="180" w:right="180"/>
      </w:pPr>
      <w:r>
        <w:rPr>
          <w:rFonts w:ascii="Courier New" w:hAnsi="Courier New" w:eastAsia="Courier New" w:cs="Courier New"/>
          <w:color w:val="1E293B"/>
          <w:sz w:val="19"/>
          <w:szCs w:val="19"/>
        </w:rPr>
        <w:t xml:space="preserve">  --llm-timeout 180 --persona psychologist --quiet \</w:t>
      </w:r>
    </w:p>
    <w:p w14:paraId="48FB9BE8">
      <w:pPr>
        <w:shd w:val="clear" w:fill="F1F5F9"/>
        <w:spacing w:before="0" w:after="180" w:line="240" w:lineRule="auto"/>
        <w:ind w:left="180" w:right="180"/>
      </w:pPr>
      <w:r>
        <w:rPr>
          <w:rFonts w:ascii="Courier New" w:hAnsi="Courier New" w:eastAsia="Courier New" w:cs="Courier New"/>
          <w:color w:val="1E293B"/>
          <w:sz w:val="19"/>
          <w:szCs w:val="19"/>
        </w:rPr>
        <w:t xml:space="preserve">  --output data\month_03_graph_rag\300_gemma_report.json</w:t>
      </w:r>
    </w:p>
    <w:p w14:paraId="7E17ADCB">
      <w:pPr>
        <w:spacing w:after="120" w:line="480" w:lineRule="auto"/>
        <w:jc w:val="both"/>
      </w:pPr>
      <w:r>
        <w:rPr>
          <w:rFonts w:ascii="Times New Roman" w:hAnsi="Times New Roman" w:eastAsia="Times New Roman" w:cs="Times New Roman"/>
          <w:sz w:val="24"/>
          <w:szCs w:val="24"/>
        </w:rPr>
        <w:t>The --max-duration-seconds flag was added for practical demonstration, because the long DAIC-WOZ recordings can make live meetings slow; omitting the flag restores full-audio analysis. The combination of configurable controls and a deterministic fallback makes the implementation suitable both for careful offline analysis and for responsive live demonstration.</w:t>
      </w:r>
    </w:p>
    <w:p w14:paraId="24729B4A">
      <w:pPr>
        <w:pStyle w:val="3"/>
        <w:keepNext/>
        <w:spacing w:before="280" w:after="140"/>
      </w:pPr>
      <w:r>
        <w:t>6.6  Reproducibility</w:t>
      </w:r>
    </w:p>
    <w:p w14:paraId="1B7FEFD8">
      <w:pPr>
        <w:spacing w:after="120" w:line="480" w:lineRule="auto"/>
        <w:jc w:val="both"/>
      </w:pPr>
      <w:r>
        <w:rPr>
          <w:rFonts w:ascii="Times New Roman" w:hAnsi="Times New Roman" w:eastAsia="Times New Roman" w:cs="Times New Roman"/>
          <w:sz w:val="24"/>
          <w:szCs w:val="24"/>
        </w:rPr>
        <w:t>Reproducibility is a first-class requirement of the implementation, both because the work must be defensible to an examiner and because reproducibility is itself a component of trustworthy clinical software. Three measures support it. First, the participant-level feature matrix is written to disk as a CSV file, so that the exact inputs to calibration are preserved and can be inspected independently of the code that produced them. Second, the calibration outputs — the thresholds table, the calibration summary, and the calibrated graph — are serialised to disk, and the calibrated graph embeds the metadata (source, reference label, sample size, and discriminative statistics) needed to understand how each threshold was obtained. Third, the analysis pipeline reads saved calibrated thresholds rather than recalibrating on every run, so that a given recording produces the same findings on repeated execution. Together these measures mean that the chain from raw data to report can be re-executed and checked at each stage.</w:t>
      </w:r>
    </w:p>
    <w:p w14:paraId="67736088">
      <w:pPr>
        <w:pStyle w:val="3"/>
        <w:keepNext/>
        <w:spacing w:before="280" w:after="140"/>
      </w:pPr>
      <w:r>
        <w:t>6.7  Verification of Component Behaviour</w:t>
      </w:r>
    </w:p>
    <w:p w14:paraId="25460F17">
      <w:pPr>
        <w:spacing w:after="120" w:line="480" w:lineRule="auto"/>
        <w:jc w:val="both"/>
      </w:pPr>
      <w:r>
        <w:rPr>
          <w:rFonts w:ascii="Times New Roman" w:hAnsi="Times New Roman" w:eastAsia="Times New Roman" w:cs="Times New Roman"/>
          <w:sz w:val="24"/>
          <w:szCs w:val="24"/>
        </w:rPr>
        <w:t>Beyond reproducibility, the implementation is structured so that the behaviour of each component can be verified in isolation. The graph-validation tooling confirms that the graph is structurally consistent — that every biomarker rule connects through valid intermediate nodes to a valid terminal node — and reports node, edge, and rule counts along with any problems; the Month 2 validation reported 24 nodes, 27 edges, 11 active rules, and no problems. Rule assessment produces explicit structured findings, so that for any recording it is possible to confirm which features crossed which thresholds in which direction. Retrieval returns explicit paths, so that the evidence supplied to the Reporter Agent can be examined directly. Finally, because the retrieved paths and the generated narrative are stored separately in the structured report, the faithfulness of the narrative to the evidence can be checked after the fact. This component-level verifiability is what makes the system auditable rather than merely functional.</w:t>
      </w:r>
    </w:p>
    <w:p w14:paraId="656EAFF5">
      <w:r>
        <w:br w:type="page"/>
      </w:r>
    </w:p>
    <w:p w14:paraId="7D27A29C">
      <w:pPr>
        <w:pStyle w:val="2"/>
        <w:keepNext/>
        <w:spacing w:before="360" w:after="200"/>
      </w:pPr>
      <w:r>
        <w:t>7  Results and Evaluation</w:t>
      </w:r>
    </w:p>
    <w:p w14:paraId="02E08E15">
      <w:pPr>
        <w:spacing w:after="120" w:line="480" w:lineRule="auto"/>
        <w:jc w:val="both"/>
      </w:pPr>
      <w:r>
        <w:rPr>
          <w:rFonts w:ascii="Times New Roman" w:hAnsi="Times New Roman" w:eastAsia="Times New Roman" w:cs="Times New Roman"/>
          <w:sz w:val="24"/>
          <w:szCs w:val="24"/>
        </w:rPr>
        <w:t>This chapter reports the results obtained so far. It first confirms the structural validity of the knowledge graph, then summarises the calibration results, then reports the Month 3 Graph-RAG pipeline run, and finally presents the preliminary aggregate evaluation together with an explicit statement of what that evaluation does and does not establish. Throughout, results are reported honestly, including those that are modest or that carry important caveats.</w:t>
      </w:r>
    </w:p>
    <w:p w14:paraId="61AA6C47">
      <w:pPr>
        <w:pStyle w:val="3"/>
        <w:keepNext/>
        <w:spacing w:before="280" w:after="140"/>
      </w:pPr>
      <w:r>
        <w:t>7.1  Graph Validation</w:t>
      </w:r>
    </w:p>
    <w:p w14:paraId="210D78B9">
      <w:pPr>
        <w:spacing w:after="120" w:line="480" w:lineRule="auto"/>
        <w:jc w:val="both"/>
      </w:pPr>
      <w:r>
        <w:rPr>
          <w:rFonts w:ascii="Times New Roman" w:hAnsi="Times New Roman" w:eastAsia="Times New Roman" w:cs="Times New Roman"/>
          <w:sz w:val="24"/>
          <w:szCs w:val="24"/>
        </w:rPr>
        <w:t>The Month 2 graph validation remains valid after the Month 3 integration. The validation produced the following summary: 24 nodes; 27 edges; 11 active biomarker rules; terminal target types comprising risk, intervention, and screening construct; and no validation problems. The absence of validation problems indicates that the graph is structurally consistent — every biomarker rule connects through the intended intermediate concepts to a valid terminal node — which is a precondition for reliable retrieval.</w:t>
      </w:r>
    </w:p>
    <w:p w14:paraId="212648E8">
      <w:pPr>
        <w:pStyle w:val="3"/>
        <w:keepNext/>
        <w:spacing w:before="280" w:after="140"/>
      </w:pPr>
      <w:r>
        <w:t>7.2  Calibration Results</w:t>
      </w:r>
    </w:p>
    <w:p w14:paraId="694D225B">
      <w:pPr>
        <w:spacing w:after="120" w:line="480" w:lineRule="auto"/>
        <w:jc w:val="both"/>
      </w:pPr>
      <w:r>
        <w:rPr>
          <w:rFonts w:ascii="Times New Roman" w:hAnsi="Times New Roman" w:eastAsia="Times New Roman" w:cs="Times New Roman"/>
          <w:sz w:val="24"/>
          <w:szCs w:val="24"/>
        </w:rPr>
        <w:t>The calibrated thresholds were derived from between 108 and 111 participants, depending on feature availability: transcript-derived features were available for 108 participants, while audio- and COVAREP-derived features were available for 111. The full calibrated thresholds are given in Table 1 (Chapter 4). The strongest single-feature balanced accuracies came from pitch variability (0.659) and high mean pitch (0.649), but even these remained modest. This supports the design decision that the system should not attempt to diagnose from any single acoustic feature; the role of a threshold is to decide whether a feature should enter the reasoning graph, while the final explanation combines multiple findings, graph context, and clinical caution.</w:t>
      </w:r>
    </w:p>
    <w:p w14:paraId="7B60DA0F">
      <w:pPr>
        <w:pStyle w:val="3"/>
        <w:keepNext/>
        <w:spacing w:before="280" w:after="140"/>
      </w:pPr>
      <w:r>
        <w:t>7.3  Month 3 Graph-RAG Pipeline Run</w:t>
      </w:r>
    </w:p>
    <w:p w14:paraId="3EDAF03E">
      <w:pPr>
        <w:spacing w:after="120" w:line="480" w:lineRule="auto"/>
        <w:jc w:val="both"/>
      </w:pPr>
      <w:r>
        <w:rPr>
          <w:rFonts w:ascii="Times New Roman" w:hAnsi="Times New Roman" w:eastAsia="Times New Roman" w:cs="Times New Roman"/>
          <w:sz w:val="24"/>
          <w:szCs w:val="24"/>
        </w:rPr>
        <w:t>The Month 3 Graph-RAG pipeline was tested on the recording Dataset/300_AUDIO.wav using a 30-second demonstration window, producing a saved JSON report at data/month_03_graph_rag/300_gemma_report.json. For this demonstration sample the system extracted acoustic biomarkers, matched 5 calibrated biomarker rules, retrieved 22 graph explanation paths, and successfully generated an LLM narrative with Gemma through Ollama. The LLM status recorded in the saved report was: provider ollama; model gemma3:1b; used true; error none.</w:t>
      </w:r>
    </w:p>
    <w:p w14:paraId="70657091">
      <w:pPr>
        <w:spacing w:after="120" w:line="480" w:lineRule="auto"/>
        <w:jc w:val="both"/>
      </w:pPr>
      <w:r>
        <w:rPr>
          <w:rFonts w:ascii="Times New Roman" w:hAnsi="Times New Roman" w:eastAsia="Times New Roman" w:cs="Times New Roman"/>
          <w:sz w:val="24"/>
          <w:szCs w:val="24"/>
        </w:rPr>
        <w:t>This confirms that the Month 3 prototype is operational: the graph-retrieval layer supplies structured context, and the local language model converts it into a readable psychologist-facing report. A second mode was also tested with the LLM disabled; in that mode the system still saved a deterministic, graph-grounded report. This fallback is significant because the core Graph-RAG evidence chain remains available even when local model inference is slow or unavailable.</w:t>
      </w:r>
    </w:p>
    <w:p w14:paraId="47076908">
      <w:pPr>
        <w:pStyle w:val="3"/>
        <w:keepNext/>
        <w:spacing w:before="280" w:after="140"/>
      </w:pPr>
      <w:r>
        <w:t>7.4  Preliminary Aggregate Evaluation</w:t>
      </w:r>
    </w:p>
    <w:p w14:paraId="6FBC4D43">
      <w:pPr>
        <w:spacing w:after="120" w:line="480" w:lineRule="auto"/>
        <w:jc w:val="both"/>
      </w:pPr>
      <w:r>
        <w:rPr>
          <w:rFonts w:ascii="Times New Roman" w:hAnsi="Times New Roman" w:eastAsia="Times New Roman" w:cs="Times New Roman"/>
          <w:sz w:val="24"/>
          <w:szCs w:val="24"/>
        </w:rPr>
        <w:t>A preliminary aggregate evaluation was carried out on 113 evaluated participants. Using a simple screening decision over the matched biomarkers, the system achieved an accuracy of 72.57%, a sensitivity of 73.21%, a specificity of 71.93%, and an F1 score of 72.57%. In a retrieval-quality comparison, the Graph-RAG path precision was 100% under the project's relevance criterion, while a vector-retrieval baseline achieved a precision@3 of 38.89%. These results are visualised in Figures 8 and 9.</w:t>
      </w:r>
    </w:p>
    <w:p w14:paraId="69CB7434">
      <w:pPr>
        <w:keepNext/>
        <w:spacing w:before="160" w:after="80"/>
        <w:jc w:val="center"/>
      </w:pPr>
      <w:r>
        <w:drawing>
          <wp:inline distT="0" distB="0" distL="0" distR="0">
            <wp:extent cx="4937760" cy="2705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4937760" cy="2705100"/>
                    </a:xfrm>
                    <a:prstGeom prst="rect">
                      <a:avLst/>
                    </a:prstGeom>
                  </pic:spPr>
                </pic:pic>
              </a:graphicData>
            </a:graphic>
          </wp:inline>
        </w:drawing>
      </w:r>
    </w:p>
    <w:p w14:paraId="237DE9AE">
      <w:pPr>
        <w:spacing w:after="220"/>
        <w:jc w:val="center"/>
      </w:pPr>
      <w:r>
        <w:rPr>
          <w:rFonts w:ascii="Times New Roman" w:hAnsi="Times New Roman" w:eastAsia="Times New Roman" w:cs="Times New Roman"/>
          <w:i/>
          <w:iCs/>
          <w:color w:val="475569"/>
          <w:sz w:val="20"/>
          <w:szCs w:val="20"/>
        </w:rPr>
        <w:t>Figure 8. Aggregate screening performance across 113 participants. The metrics are mutually consistent and indicate moderate predictive performance.</w:t>
      </w:r>
    </w:p>
    <w:p w14:paraId="6D0456B4">
      <w:pPr>
        <w:keepNext/>
        <w:spacing w:before="160" w:after="80"/>
        <w:jc w:val="center"/>
      </w:pPr>
      <w:r>
        <w:drawing>
          <wp:inline distT="0" distB="0" distL="0" distR="0">
            <wp:extent cx="4572000" cy="2647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4572000" cy="2647950"/>
                    </a:xfrm>
                    <a:prstGeom prst="rect">
                      <a:avLst/>
                    </a:prstGeom>
                  </pic:spPr>
                </pic:pic>
              </a:graphicData>
            </a:graphic>
          </wp:inline>
        </w:drawing>
      </w:r>
    </w:p>
    <w:p w14:paraId="316EFCF3">
      <w:pPr>
        <w:spacing w:after="220"/>
        <w:jc w:val="center"/>
      </w:pPr>
      <w:r>
        <w:rPr>
          <w:rFonts w:ascii="Times New Roman" w:hAnsi="Times New Roman" w:eastAsia="Times New Roman" w:cs="Times New Roman"/>
          <w:i/>
          <w:iCs/>
          <w:color w:val="475569"/>
          <w:sz w:val="20"/>
          <w:szCs w:val="20"/>
        </w:rPr>
        <w:t>Figure 9. Retrieval precision of Graph-RAG compared with a vector-retrieval baseline, under the project-defined relevance criterion.</w:t>
      </w:r>
    </w:p>
    <w:p w14:paraId="6257F824">
      <w:pPr>
        <w:pStyle w:val="3"/>
        <w:keepNext/>
        <w:spacing w:before="280" w:after="140"/>
      </w:pPr>
      <w:r>
        <w:t>7.5  What the Evaluation Does and Does Not Establish</w:t>
      </w:r>
    </w:p>
    <w:p w14:paraId="58C64B91">
      <w:pPr>
        <w:spacing w:after="120" w:line="480" w:lineRule="auto"/>
        <w:jc w:val="both"/>
      </w:pPr>
      <w:r>
        <w:rPr>
          <w:rFonts w:ascii="Times New Roman" w:hAnsi="Times New Roman" w:eastAsia="Times New Roman" w:cs="Times New Roman"/>
          <w:sz w:val="24"/>
          <w:szCs w:val="24"/>
        </w:rPr>
        <w:t>It is essential to interpret these results with discipline, and the thesis states their limitations explicitly rather than allowing the headline numbers to overstate the contribution. Four caveats are particularly important. First, any qualitative quality score produced in this phase derives from a deterministic mock rubric and must not be described as clinician or patient feedback; no human user study has been conducted. Second, the 100% Graph-RAG path precision is measured against a project-defined relevance criterion and is therefore evidence of structural retrieval consistency, not proof that the explanations are clinically correct. Third, the aggregate classification figures are reported without confidence intervals and without cross-validation or a cleanly separated held-out test set, and they should be read as preliminary. Fourth, the Graph-RAG versus vector comparison requires equivalent retrieval units and matched relevance judgements before any strong claim of superiority can be sustained.</w:t>
      </w:r>
    </w:p>
    <w:p w14:paraId="29697C62">
      <w:pPr>
        <w:spacing w:after="120" w:line="480" w:lineRule="auto"/>
        <w:jc w:val="both"/>
      </w:pPr>
      <w:r>
        <w:rPr>
          <w:rFonts w:ascii="Times New Roman" w:hAnsi="Times New Roman" w:eastAsia="Times New Roman" w:cs="Times New Roman"/>
          <w:sz w:val="24"/>
          <w:szCs w:val="24"/>
        </w:rPr>
        <w:t>Taken together, the results support a measured conclusion: the prototype demonstrates the feasibility of combining acoustic screening with graph-grounded explanations, achieving moderate predictive performance while producing structurally traceable retrieval paths. They do not support claims that the system diagnoses depression, that its explanations are clinically validated, or that a user study has been completed. This disciplined framing is itself a contribution, because it models the kind of cautious reporting that the system is designed to produce.</w:t>
      </w:r>
    </w:p>
    <w:p w14:paraId="17059908">
      <w:pPr>
        <w:pStyle w:val="3"/>
        <w:keepNext/>
        <w:spacing w:before="280" w:after="140"/>
      </w:pPr>
      <w:r>
        <w:t>7.6  Qualitative Observation on Decision Aggregation</w:t>
      </w:r>
    </w:p>
    <w:p w14:paraId="5B6EC715">
      <w:pPr>
        <w:spacing w:after="120" w:line="480" w:lineRule="auto"/>
        <w:jc w:val="both"/>
      </w:pPr>
      <w:r>
        <w:rPr>
          <w:rFonts w:ascii="Times New Roman" w:hAnsi="Times New Roman" w:eastAsia="Times New Roman" w:cs="Times New Roman"/>
          <w:sz w:val="24"/>
          <w:szCs w:val="24"/>
        </w:rPr>
        <w:t>A qualitative test on one PHQ-8-positive and one PHQ-8-negative participant is instructive. The system correctly identified depression-relevant markers in the positive case, but it also flagged several markers in the negative case when a simple "any marker matched" rule was applied. This shows that the current system is not yet a binary diagnostic classifier but an explainable risk-marker retrieval system. It also identifies a concrete next step: the addition of an aggregate screening-decision layer that, for example, requires multiple matched biomarkers or weights markers by their calibration performance before indicating elevated screening status.</w:t>
      </w:r>
    </w:p>
    <w:p w14:paraId="3F2968A3">
      <w:pPr>
        <w:pStyle w:val="3"/>
        <w:keepNext/>
        <w:spacing w:before="280" w:after="140"/>
      </w:pPr>
      <w:r>
        <w:t>7.7  Per-Biomarker Interpretation</w:t>
      </w:r>
    </w:p>
    <w:p w14:paraId="5B749C0A">
      <w:pPr>
        <w:spacing w:after="120" w:line="480" w:lineRule="auto"/>
        <w:jc w:val="both"/>
      </w:pPr>
      <w:r>
        <w:rPr>
          <w:rFonts w:ascii="Times New Roman" w:hAnsi="Times New Roman" w:eastAsia="Times New Roman" w:cs="Times New Roman"/>
          <w:sz w:val="24"/>
          <w:szCs w:val="24"/>
        </w:rPr>
        <w:t>The calibrated statistics in Table 1 can be read as placing the biomarkers into three functional groups, which is useful both for interpreting the results and for designing the future aggregation layer. The first group comprises high-sensitivity, low-specificity markers, most clearly High Pause Ratio (sensitivity 0.942, specificity 0.196) and Low Speech Rate (sensitivity 0.942, specificity 0.143). These behave as "screen-in" markers: when they are absent, elevated screening status is unlikely, but their presence is weak evidence because they fire for many non-depressed participants as well. The second group comprises low-sensitivity, high-specificity markers, including High Jitter (specificity 0.982), Low Vocal Energy (specificity 0.893), Low Mean Pitch (specificity 0.929), and High MFCC 4 Variability (specificity 0.929). These behave as "rule-in" markers: they fire rarely, but when they do they are disproportionately associated with the positive class. The third group comprises the comparatively balanced markers, High Pitch Variability (balanced accuracy 0.659) and High Mean Pitch (0.649), which are individually the most informative.</w:t>
      </w:r>
    </w:p>
    <w:p w14:paraId="70F1BCD3">
      <w:pPr>
        <w:spacing w:after="120" w:line="480" w:lineRule="auto"/>
        <w:jc w:val="both"/>
      </w:pPr>
      <w:r>
        <w:rPr>
          <w:rFonts w:ascii="Times New Roman" w:hAnsi="Times New Roman" w:eastAsia="Times New Roman" w:cs="Times New Roman"/>
          <w:sz w:val="24"/>
          <w:szCs w:val="24"/>
        </w:rPr>
        <w:t>This grouping has a direct design implication. A sound aggregate decision should not treat all matched markers equally: a single high-sensitivity marker carries little weight on its own, whereas the co-occurrence of a rule-in marker with one or more balanced markers is considerably more telling. The future weighted-aggregation layer described in Chapter 10 should therefore weight markers by their calibrated discriminative value rather than simply counting matches. Within the graph, this interpretation is also what justifies routing weak "screen-in" markers through intermediate clinical concepts before they reach a screening construct, so that their contribution is always expressed as hedged, supporting evidence rather than as an independent signal.</w:t>
      </w:r>
    </w:p>
    <w:p w14:paraId="62D5D580">
      <w:pPr>
        <w:pStyle w:val="3"/>
        <w:keepNext/>
        <w:spacing w:before="280" w:after="140"/>
      </w:pPr>
      <w:r>
        <w:t>7.8  Illustrative Deterministic Report Excerpt</w:t>
      </w:r>
    </w:p>
    <w:p w14:paraId="5BB8058B">
      <w:pPr>
        <w:spacing w:after="120" w:line="480" w:lineRule="auto"/>
        <w:jc w:val="both"/>
      </w:pPr>
      <w:r>
        <w:rPr>
          <w:rFonts w:ascii="Times New Roman" w:hAnsi="Times New Roman" w:eastAsia="Times New Roman" w:cs="Times New Roman"/>
          <w:sz w:val="24"/>
          <w:szCs w:val="24"/>
        </w:rPr>
        <w:t>To show the form of the system's output, the following excerpt illustrates the deterministic, psychologist-facing summary format that the Reporter Agent produces before any language model is involved. It is presented here as a format illustration rather than as the verbatim output for any particular participant; the bracketed fields are populated at run time from the matched rules and retrieved paths.</w:t>
      </w:r>
    </w:p>
    <w:p w14:paraId="04DDD6CF">
      <w:pPr>
        <w:shd w:val="clear" w:fill="F1F5F9"/>
        <w:spacing w:before="60" w:after="0" w:line="240" w:lineRule="auto"/>
        <w:ind w:left="180" w:right="180"/>
      </w:pPr>
      <w:r>
        <w:rPr>
          <w:rFonts w:ascii="Courier New" w:hAnsi="Courier New" w:eastAsia="Courier New" w:cs="Courier New"/>
          <w:color w:val="1E293B"/>
          <w:sz w:val="19"/>
          <w:szCs w:val="19"/>
        </w:rPr>
        <w:t>SCREENING-SUPPORT SUMMARY (not a diagnosis)</w:t>
      </w:r>
    </w:p>
    <w:p w14:paraId="205EA858">
      <w:pPr>
        <w:shd w:val="clear" w:fill="F1F5F9"/>
        <w:spacing w:before="0" w:after="0" w:line="240" w:lineRule="auto"/>
        <w:ind w:left="180" w:right="180"/>
      </w:pPr>
      <w:r>
        <w:rPr>
          <w:rFonts w:ascii="Courier New" w:hAnsi="Courier New" w:eastAsia="Courier New" w:cs="Courier New"/>
          <w:color w:val="1E293B"/>
          <w:sz w:val="19"/>
          <w:szCs w:val="19"/>
        </w:rPr>
        <w:t>-------------------------------------------</w:t>
      </w:r>
    </w:p>
    <w:p w14:paraId="76752F5B">
      <w:pPr>
        <w:shd w:val="clear" w:fill="F1F5F9"/>
        <w:spacing w:before="0" w:after="0" w:line="240" w:lineRule="auto"/>
        <w:ind w:left="180" w:right="180"/>
      </w:pPr>
      <w:r>
        <w:rPr>
          <w:rFonts w:ascii="Courier New" w:hAnsi="Courier New" w:eastAsia="Courier New" w:cs="Courier New"/>
          <w:color w:val="1E293B"/>
          <w:sz w:val="19"/>
          <w:szCs w:val="19"/>
        </w:rPr>
        <w:t>Matched biomarkers (above/below calibrated threshold):</w:t>
      </w:r>
    </w:p>
    <w:p w14:paraId="1FF4E15F">
      <w:pPr>
        <w:shd w:val="clear" w:fill="F1F5F9"/>
        <w:spacing w:before="0" w:after="0" w:line="240" w:lineRule="auto"/>
        <w:ind w:left="180" w:right="180"/>
      </w:pPr>
      <w:r>
        <w:rPr>
          <w:rFonts w:ascii="Courier New" w:hAnsi="Courier New" w:eastAsia="Courier New" w:cs="Courier New"/>
          <w:color w:val="1E293B"/>
          <w:sz w:val="19"/>
          <w:szCs w:val="19"/>
        </w:rPr>
        <w:t xml:space="preserve">  - High Pause Ratio      [pause_ratio above 0.3398; sens 0.942]</w:t>
      </w:r>
    </w:p>
    <w:p w14:paraId="3A1EF32E">
      <w:pPr>
        <w:shd w:val="clear" w:fill="F1F5F9"/>
        <w:spacing w:before="0" w:after="0" w:line="240" w:lineRule="auto"/>
        <w:ind w:left="180" w:right="180"/>
      </w:pPr>
      <w:r>
        <w:rPr>
          <w:rFonts w:ascii="Courier New" w:hAnsi="Courier New" w:eastAsia="Courier New" w:cs="Courier New"/>
          <w:color w:val="1E293B"/>
          <w:sz w:val="19"/>
          <w:szCs w:val="19"/>
        </w:rPr>
        <w:t xml:space="preserve">  - Low Speech Rate       [speech_rate below 3.8373; sens 0.942]</w:t>
      </w:r>
    </w:p>
    <w:p w14:paraId="7A2D9D65">
      <w:pPr>
        <w:shd w:val="clear" w:fill="F1F5F9"/>
        <w:spacing w:before="0" w:after="0" w:line="240" w:lineRule="auto"/>
        <w:ind w:left="180" w:right="180"/>
      </w:pPr>
      <w:r>
        <w:rPr>
          <w:rFonts w:ascii="Courier New" w:hAnsi="Courier New" w:eastAsia="Courier New" w:cs="Courier New"/>
          <w:color w:val="1E293B"/>
          <w:sz w:val="19"/>
          <w:szCs w:val="19"/>
        </w:rPr>
        <w:t xml:space="preserve">  - High Pitch Variability[pitch_std above 42.6583; bal.acc 0.659]</w:t>
      </w:r>
    </w:p>
    <w:p w14:paraId="698522B4">
      <w:pPr>
        <w:shd w:val="clear" w:fill="F1F5F9"/>
        <w:spacing w:before="0" w:after="0" w:line="240" w:lineRule="auto"/>
        <w:ind w:left="180" w:right="180"/>
      </w:pPr>
      <w:r>
        <w:rPr>
          <w:rFonts w:ascii="Courier New" w:hAnsi="Courier New" w:eastAsia="Courier New" w:cs="Courier New"/>
          <w:color w:val="1E293B"/>
          <w:sz w:val="19"/>
          <w:szCs w:val="19"/>
        </w:rPr>
        <w:t>Retrieved explanation paths (examples):</w:t>
      </w:r>
    </w:p>
    <w:p w14:paraId="195A39D3">
      <w:pPr>
        <w:shd w:val="clear" w:fill="F1F5F9"/>
        <w:spacing w:before="0" w:after="0" w:line="240" w:lineRule="auto"/>
        <w:ind w:left="180" w:right="180"/>
      </w:pPr>
      <w:r>
        <w:rPr>
          <w:rFonts w:ascii="Courier New" w:hAnsi="Courier New" w:eastAsia="Courier New" w:cs="Courier New"/>
          <w:color w:val="1E293B"/>
          <w:sz w:val="19"/>
          <w:szCs w:val="19"/>
        </w:rPr>
        <w:t xml:space="preserve">  High Pause Ratio -&gt; Speech Disruption -&gt; Difficulty</w:t>
      </w:r>
    </w:p>
    <w:p w14:paraId="05FE9DFF">
      <w:pPr>
        <w:shd w:val="clear" w:fill="F1F5F9"/>
        <w:spacing w:before="0" w:after="0" w:line="240" w:lineRule="auto"/>
        <w:ind w:left="180" w:right="180"/>
      </w:pPr>
      <w:r>
        <w:rPr>
          <w:rFonts w:ascii="Courier New" w:hAnsi="Courier New" w:eastAsia="Courier New" w:cs="Courier New"/>
          <w:color w:val="1E293B"/>
          <w:sz w:val="19"/>
          <w:szCs w:val="19"/>
        </w:rPr>
        <w:t xml:space="preserve">    Concentrating -&gt; PHQ-8 Depression Severity -&gt; Clinical Review</w:t>
      </w:r>
    </w:p>
    <w:p w14:paraId="240EE714">
      <w:pPr>
        <w:shd w:val="clear" w:fill="F1F5F9"/>
        <w:spacing w:before="0" w:after="0" w:line="240" w:lineRule="auto"/>
        <w:ind w:left="180" w:right="180"/>
      </w:pPr>
      <w:r>
        <w:rPr>
          <w:rFonts w:ascii="Courier New" w:hAnsi="Courier New" w:eastAsia="Courier New" w:cs="Courier New"/>
          <w:color w:val="1E293B"/>
          <w:sz w:val="19"/>
          <w:szCs w:val="19"/>
        </w:rPr>
        <w:t xml:space="preserve">  High Pitch Variability -&gt; Vocal Instability -&gt; Psychomotor</w:t>
      </w:r>
    </w:p>
    <w:p w14:paraId="67A2ADBD">
      <w:pPr>
        <w:shd w:val="clear" w:fill="F1F5F9"/>
        <w:spacing w:before="0" w:after="0" w:line="240" w:lineRule="auto"/>
        <w:ind w:left="180" w:right="180"/>
      </w:pPr>
      <w:r>
        <w:rPr>
          <w:rFonts w:ascii="Courier New" w:hAnsi="Courier New" w:eastAsia="Courier New" w:cs="Courier New"/>
          <w:color w:val="1E293B"/>
          <w:sz w:val="19"/>
          <w:szCs w:val="19"/>
        </w:rPr>
        <w:t xml:space="preserve">    Slowing -&gt; PHQ-8 Depression Severity -&gt; Supportive Follow-up</w:t>
      </w:r>
    </w:p>
    <w:p w14:paraId="0CB0560B">
      <w:pPr>
        <w:shd w:val="clear" w:fill="F1F5F9"/>
        <w:spacing w:before="0" w:after="0" w:line="240" w:lineRule="auto"/>
        <w:ind w:left="180" w:right="180"/>
      </w:pPr>
      <w:r>
        <w:rPr>
          <w:rFonts w:ascii="Courier New" w:hAnsi="Courier New" w:eastAsia="Courier New" w:cs="Courier New"/>
          <w:color w:val="1E293B"/>
          <w:sz w:val="19"/>
          <w:szCs w:val="19"/>
        </w:rPr>
        <w:t>Interpretation: the recording contains speech patterns that, in</w:t>
      </w:r>
    </w:p>
    <w:p w14:paraId="527AE731">
      <w:pPr>
        <w:shd w:val="clear" w:fill="F1F5F9"/>
        <w:spacing w:before="0" w:after="0" w:line="240" w:lineRule="auto"/>
        <w:ind w:left="180" w:right="180"/>
      </w:pPr>
      <w:r>
        <w:rPr>
          <w:rFonts w:ascii="Courier New" w:hAnsi="Courier New" w:eastAsia="Courier New" w:cs="Courier New"/>
          <w:color w:val="1E293B"/>
          <w:sz w:val="19"/>
          <w:szCs w:val="19"/>
        </w:rPr>
        <w:t xml:space="preserve">  this dataset and under this pipeline, are associated with</w:t>
      </w:r>
    </w:p>
    <w:p w14:paraId="74C44AEC">
      <w:pPr>
        <w:shd w:val="clear" w:fill="F1F5F9"/>
        <w:spacing w:before="0" w:after="0" w:line="240" w:lineRule="auto"/>
        <w:ind w:left="180" w:right="180"/>
      </w:pPr>
      <w:r>
        <w:rPr>
          <w:rFonts w:ascii="Courier New" w:hAnsi="Courier New" w:eastAsia="Courier New" w:cs="Courier New"/>
          <w:color w:val="1E293B"/>
          <w:sz w:val="19"/>
          <w:szCs w:val="19"/>
        </w:rPr>
        <w:t xml:space="preserve">  PHQ-8 screening status. This is screening support, not a</w:t>
      </w:r>
    </w:p>
    <w:p w14:paraId="24C88CD0">
      <w:pPr>
        <w:shd w:val="clear" w:fill="F1F5F9"/>
        <w:spacing w:before="0" w:after="0" w:line="240" w:lineRule="auto"/>
        <w:ind w:left="180" w:right="180"/>
      </w:pPr>
      <w:r>
        <w:rPr>
          <w:rFonts w:ascii="Courier New" w:hAnsi="Courier New" w:eastAsia="Courier New" w:cs="Courier New"/>
          <w:color w:val="1E293B"/>
          <w:sz w:val="19"/>
          <w:szCs w:val="19"/>
        </w:rPr>
        <w:t xml:space="preserve">  diagnosis; clinical assessment is required for any conclusion.</w:t>
      </w:r>
    </w:p>
    <w:p w14:paraId="7C154DAD">
      <w:pPr>
        <w:shd w:val="clear" w:fill="F1F5F9"/>
        <w:spacing w:before="0" w:after="0" w:line="240" w:lineRule="auto"/>
        <w:ind w:left="180" w:right="180"/>
      </w:pPr>
      <w:r>
        <w:rPr>
          <w:rFonts w:ascii="Courier New" w:hAnsi="Courier New" w:eastAsia="Courier New" w:cs="Courier New"/>
          <w:color w:val="1E293B"/>
          <w:sz w:val="19"/>
          <w:szCs w:val="19"/>
        </w:rPr>
        <w:t>LLM narrative: [generated from the paths above, or omitted if</w:t>
      </w:r>
    </w:p>
    <w:p w14:paraId="0C512A87">
      <w:pPr>
        <w:shd w:val="clear" w:fill="F1F5F9"/>
        <w:spacing w:before="0" w:after="180" w:line="240" w:lineRule="auto"/>
        <w:ind w:left="180" w:right="180"/>
      </w:pPr>
      <w:r>
        <w:rPr>
          <w:rFonts w:ascii="Courier New" w:hAnsi="Courier New" w:eastAsia="Courier New" w:cs="Courier New"/>
          <w:color w:val="1E293B"/>
          <w:sz w:val="19"/>
          <w:szCs w:val="19"/>
        </w:rPr>
        <w:t xml:space="preserve">  the local model is unavailable]</w:t>
      </w:r>
    </w:p>
    <w:p w14:paraId="0B5258A0">
      <w:pPr>
        <w:spacing w:after="120" w:line="480" w:lineRule="auto"/>
        <w:jc w:val="both"/>
      </w:pPr>
      <w:r>
        <w:rPr>
          <w:rFonts w:ascii="Times New Roman" w:hAnsi="Times New Roman" w:eastAsia="Times New Roman" w:cs="Times New Roman"/>
          <w:sz w:val="24"/>
          <w:szCs w:val="24"/>
        </w:rPr>
        <w:t>Two properties of this format are worth emphasising. First, every clinical statement is tied to a matched rule or a retrieved path, so the summary is auditable line by line. Second, the non-diagnostic framing is part of the output itself, not an external disclaimer, which means it survives into whatever narrative the Reporter Agent subsequently generates. When the local language model is available, its narrative is appended; when it is not, the summary above stands alone as a complete, faithful report.</w:t>
      </w:r>
    </w:p>
    <w:p w14:paraId="22E67032">
      <w:pPr>
        <w:pStyle w:val="3"/>
        <w:keepNext/>
        <w:spacing w:before="280" w:after="140"/>
      </w:pPr>
      <w:r>
        <w:t>7.9  Summary of Findings</w:t>
      </w:r>
    </w:p>
    <w:p w14:paraId="1C223308">
      <w:pPr>
        <w:spacing w:after="120" w:line="480" w:lineRule="auto"/>
        <w:jc w:val="both"/>
      </w:pPr>
      <w:r>
        <w:rPr>
          <w:rFonts w:ascii="Times New Roman" w:hAnsi="Times New Roman" w:eastAsia="Times New Roman" w:cs="Times New Roman"/>
          <w:sz w:val="24"/>
          <w:szCs w:val="24"/>
        </w:rPr>
        <w:t>The results reported in this chapter can be summarised as follows:</w:t>
      </w:r>
    </w:p>
    <w:p w14:paraId="79C83099">
      <w:pPr>
        <w:pStyle w:val="16"/>
        <w:numPr>
          <w:ilvl w:val="0"/>
          <w:numId w:val="1"/>
        </w:numPr>
        <w:spacing w:after="120" w:line="480" w:lineRule="auto"/>
        <w:jc w:val="both"/>
      </w:pPr>
      <w:r>
        <w:rPr>
          <w:rFonts w:ascii="Times New Roman" w:hAnsi="Times New Roman" w:eastAsia="Times New Roman" w:cs="Times New Roman"/>
          <w:sz w:val="24"/>
          <w:szCs w:val="24"/>
        </w:rPr>
        <w:t>The knowledge graph is structurally valid: 24 nodes, 27 edges, 11 active biomarker rules, valid terminal target types, and no validation problems.</w:t>
      </w:r>
    </w:p>
    <w:p w14:paraId="3AEEA1C5">
      <w:pPr>
        <w:pStyle w:val="16"/>
        <w:numPr>
          <w:ilvl w:val="0"/>
          <w:numId w:val="1"/>
        </w:numPr>
        <w:spacing w:after="120" w:line="480" w:lineRule="auto"/>
        <w:jc w:val="both"/>
      </w:pPr>
      <w:r>
        <w:rPr>
          <w:rFonts w:ascii="Times New Roman" w:hAnsi="Times New Roman" w:eastAsia="Times New Roman" w:cs="Times New Roman"/>
          <w:sz w:val="24"/>
          <w:szCs w:val="24"/>
        </w:rPr>
        <w:t>Acoustic thresholds were calibrated on 108–111 participants; the strongest single-feature balanced accuracies were pitch variability (0.659) and high mean pitch (0.649), with all features remaining modest and context-dependent.</w:t>
      </w:r>
    </w:p>
    <w:p w14:paraId="3F1EA96A">
      <w:pPr>
        <w:pStyle w:val="16"/>
        <w:numPr>
          <w:ilvl w:val="0"/>
          <w:numId w:val="1"/>
        </w:numPr>
        <w:spacing w:after="120" w:line="480" w:lineRule="auto"/>
        <w:jc w:val="both"/>
      </w:pPr>
      <w:r>
        <w:rPr>
          <w:rFonts w:ascii="Times New Roman" w:hAnsi="Times New Roman" w:eastAsia="Times New Roman" w:cs="Times New Roman"/>
          <w:sz w:val="24"/>
          <w:szCs w:val="24"/>
        </w:rPr>
        <w:t>The Month 3 Graph-RAG pipeline is operational: on the demonstration sample it matched 5 calibrated rules, retrieved 22 explanation paths, and generated a psychologist-facing narrative with Gemma through Ollama, with a deterministic fallback also verified.</w:t>
      </w:r>
    </w:p>
    <w:p w14:paraId="44A9045C">
      <w:pPr>
        <w:pStyle w:val="16"/>
        <w:numPr>
          <w:ilvl w:val="0"/>
          <w:numId w:val="1"/>
        </w:numPr>
        <w:spacing w:after="120" w:line="480" w:lineRule="auto"/>
        <w:jc w:val="both"/>
      </w:pPr>
      <w:r>
        <w:rPr>
          <w:rFonts w:ascii="Times New Roman" w:hAnsi="Times New Roman" w:eastAsia="Times New Roman" w:cs="Times New Roman"/>
          <w:sz w:val="24"/>
          <w:szCs w:val="24"/>
        </w:rPr>
        <w:t>Preliminary aggregate screening performance over 113 participants was: accuracy 72.57%, sensitivity 73.21%, specificity 71.93%, F1 72.57%.</w:t>
      </w:r>
    </w:p>
    <w:p w14:paraId="376C04EE">
      <w:pPr>
        <w:pStyle w:val="16"/>
        <w:numPr>
          <w:ilvl w:val="0"/>
          <w:numId w:val="1"/>
        </w:numPr>
        <w:spacing w:after="120" w:line="480" w:lineRule="auto"/>
        <w:jc w:val="both"/>
      </w:pPr>
      <w:r>
        <w:rPr>
          <w:rFonts w:ascii="Times New Roman" w:hAnsi="Times New Roman" w:eastAsia="Times New Roman" w:cs="Times New Roman"/>
          <w:sz w:val="24"/>
          <w:szCs w:val="24"/>
        </w:rPr>
        <w:t>Graph-RAG path precision was 100% under the project-defined relevance criterion, versus 38.89% precision@3 for a vector baseline — evidence of structural retrieval consistency, not of clinical correctness.</w:t>
      </w:r>
    </w:p>
    <w:p w14:paraId="4C57D9C4">
      <w:pPr>
        <w:spacing w:after="120" w:line="480" w:lineRule="auto"/>
        <w:jc w:val="both"/>
      </w:pPr>
      <w:r>
        <w:rPr>
          <w:rFonts w:ascii="Times New Roman" w:hAnsi="Times New Roman" w:eastAsia="Times New Roman" w:cs="Times New Roman"/>
          <w:sz w:val="24"/>
          <w:szCs w:val="24"/>
        </w:rPr>
        <w:t>Read together, and with the caveats of Section 7.5 firmly in view, these findings support the conclusion that the prototype demonstrates the feasibility of combining acoustic screening with graph-grounded explanation at moderate predictive performance, while leaving the rigorous evaluation of explanation quality to the next phase.</w:t>
      </w:r>
    </w:p>
    <w:p w14:paraId="32E2EDFC">
      <w:r>
        <w:br w:type="page"/>
      </w:r>
    </w:p>
    <w:p>
      <w:pPr>
        <w:pStyle w:val="3"/>
      </w:pPr>
      <w:r>
        <w:rPr>
          <w:b/>
          <w:sz w:val="24"/>
        </w:rPr>
        <w:t>7.10 Biomarker Contribution and Ablation Analysis</w:t>
      </w:r>
    </w:p>
    <w:p>
      <w:r>
        <w:rPr>
          <w:b w:val="0"/>
        </w:rPr>
        <w:t>To understand how individual acoustic biomarkers affected screening performance, an ablation analysis was performed using the saved participant-level evaluation table. The analysis compares the full biomarker set with variants in which one biomarker, or one feature-source group, is removed. It also evaluates each biomarker as a single-marker rule. This analysis is not causal proof that a biomarker causes depression; it is a performance contribution analysis relative to the PHQ-8 &gt;= 10 screening reference label.</w:t>
      </w:r>
    </w:p>
    <w:p>
      <w:r>
        <w:rPr>
          <w:b w:val="0"/>
        </w:rPr>
        <w:t>With all biomarkers included, the deployed matched-count rule achieved balanced accuracy 0.726, accuracy 0.726, sensitivity 0.732, specificity 0.719, precision 0.719, and F1 score 0.726 across 113 evaluated participants. The optimized threshold remained 6, which supports the selected aggregate threshold of six matched biomarkers.</w:t>
      </w:r>
    </w:p>
    <w:tbl>
      <w:tblPr>
        <w:tblW w:type="auto" w:w="0"/>
        <w:jc w:val="center"/>
        <w:tblLook w:firstColumn="1" w:firstRow="1" w:lastColumn="0" w:lastRow="0" w:noHBand="0" w:noVBand="1" w:val="04A0"/>
      </w:tblPr>
      <w:tblGrid>
        <w:gridCol w:w="4153"/>
        <w:gridCol w:w="4153"/>
      </w:tblGrid>
      <w:tr>
        <w:tc>
          <w:tcPr>
            <w:tcW w:type="dxa" w:w="4153"/>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Metric</w:t>
            </w:r>
          </w:p>
        </w:tc>
        <w:tc>
          <w:tcPr>
            <w:tcW w:type="dxa" w:w="4153"/>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Value</w:t>
            </w:r>
          </w:p>
        </w:tc>
      </w:tr>
      <w:tr>
        <w:tc>
          <w:tcPr>
            <w:tcW w:type="dxa" w:w="4153"/>
            <w:vAlign w:val="center"/>
            <w:tcBorders>
              <w:top w:val="single" w:sz="4" w:space="0" w:color="D9D9D9"/>
              <w:left w:val="single" w:sz="4" w:space="0" w:color="D9D9D9"/>
              <w:bottom w:val="single" w:sz="4" w:space="0" w:color="D9D9D9"/>
              <w:right w:val="single" w:sz="4" w:space="0" w:color="D9D9D9"/>
            </w:tcBorders>
          </w:tcPr>
          <w:p>
            <w:pPr>
              <w:spacing w:after="0"/>
            </w:pPr>
            <w:r>
              <w:rPr>
                <w:sz w:val="18"/>
              </w:rPr>
              <w:t>Participants</w:t>
            </w:r>
          </w:p>
        </w:tc>
        <w:tc>
          <w:tcPr>
            <w:tcW w:type="dxa" w:w="4153"/>
            <w:vAlign w:val="center"/>
            <w:tcBorders>
              <w:top w:val="single" w:sz="4" w:space="0" w:color="D9D9D9"/>
              <w:left w:val="single" w:sz="4" w:space="0" w:color="D9D9D9"/>
              <w:bottom w:val="single" w:sz="4" w:space="0" w:color="D9D9D9"/>
              <w:right w:val="single" w:sz="4" w:space="0" w:color="D9D9D9"/>
            </w:tcBorders>
          </w:tcPr>
          <w:p>
            <w:pPr>
              <w:spacing w:after="0"/>
            </w:pPr>
            <w:r>
              <w:rPr>
                <w:sz w:val="18"/>
              </w:rPr>
              <w:t>113</w:t>
            </w:r>
          </w:p>
        </w:tc>
      </w:tr>
      <w:tr>
        <w:tc>
          <w:tcPr>
            <w:tcW w:type="dxa" w:w="4153"/>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Reference label</w:t>
            </w:r>
          </w:p>
        </w:tc>
        <w:tc>
          <w:tcPr>
            <w:tcW w:type="dxa" w:w="4153"/>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PHQ-8 &gt;= 10</w:t>
            </w:r>
          </w:p>
        </w:tc>
      </w:tr>
      <w:tr>
        <w:tc>
          <w:tcPr>
            <w:tcW w:type="dxa" w:w="4153"/>
            <w:vAlign w:val="center"/>
            <w:tcBorders>
              <w:top w:val="single" w:sz="4" w:space="0" w:color="D9D9D9"/>
              <w:left w:val="single" w:sz="4" w:space="0" w:color="D9D9D9"/>
              <w:bottom w:val="single" w:sz="4" w:space="0" w:color="D9D9D9"/>
              <w:right w:val="single" w:sz="4" w:space="0" w:color="D9D9D9"/>
            </w:tcBorders>
          </w:tcPr>
          <w:p>
            <w:pPr>
              <w:spacing w:after="0"/>
            </w:pPr>
            <w:r>
              <w:rPr>
                <w:sz w:val="18"/>
              </w:rPr>
              <w:t>Deployed matched-biomarker threshold</w:t>
            </w:r>
          </w:p>
        </w:tc>
        <w:tc>
          <w:tcPr>
            <w:tcW w:type="dxa" w:w="4153"/>
            <w:vAlign w:val="center"/>
            <w:tcBorders>
              <w:top w:val="single" w:sz="4" w:space="0" w:color="D9D9D9"/>
              <w:left w:val="single" w:sz="4" w:space="0" w:color="D9D9D9"/>
              <w:bottom w:val="single" w:sz="4" w:space="0" w:color="D9D9D9"/>
              <w:right w:val="single" w:sz="4" w:space="0" w:color="D9D9D9"/>
            </w:tcBorders>
          </w:tcPr>
          <w:p>
            <w:pPr>
              <w:spacing w:after="0"/>
            </w:pPr>
            <w:r>
              <w:rPr>
                <w:sz w:val="18"/>
              </w:rPr>
              <w:t>6</w:t>
            </w:r>
          </w:p>
        </w:tc>
      </w:tr>
      <w:tr>
        <w:tc>
          <w:tcPr>
            <w:tcW w:type="dxa" w:w="4153"/>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Accuracy</w:t>
            </w:r>
          </w:p>
        </w:tc>
        <w:tc>
          <w:tcPr>
            <w:tcW w:type="dxa" w:w="4153"/>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0.726</w:t>
            </w:r>
          </w:p>
        </w:tc>
      </w:tr>
      <w:tr>
        <w:tc>
          <w:tcPr>
            <w:tcW w:type="dxa" w:w="4153"/>
            <w:vAlign w:val="center"/>
            <w:tcBorders>
              <w:top w:val="single" w:sz="4" w:space="0" w:color="D9D9D9"/>
              <w:left w:val="single" w:sz="4" w:space="0" w:color="D9D9D9"/>
              <w:bottom w:val="single" w:sz="4" w:space="0" w:color="D9D9D9"/>
              <w:right w:val="single" w:sz="4" w:space="0" w:color="D9D9D9"/>
            </w:tcBorders>
          </w:tcPr>
          <w:p>
            <w:pPr>
              <w:spacing w:after="0"/>
            </w:pPr>
            <w:r>
              <w:rPr>
                <w:sz w:val="18"/>
              </w:rPr>
              <w:t>Sensitivity</w:t>
            </w:r>
          </w:p>
        </w:tc>
        <w:tc>
          <w:tcPr>
            <w:tcW w:type="dxa" w:w="4153"/>
            <w:vAlign w:val="center"/>
            <w:tcBorders>
              <w:top w:val="single" w:sz="4" w:space="0" w:color="D9D9D9"/>
              <w:left w:val="single" w:sz="4" w:space="0" w:color="D9D9D9"/>
              <w:bottom w:val="single" w:sz="4" w:space="0" w:color="D9D9D9"/>
              <w:right w:val="single" w:sz="4" w:space="0" w:color="D9D9D9"/>
            </w:tcBorders>
          </w:tcPr>
          <w:p>
            <w:pPr>
              <w:spacing w:after="0"/>
            </w:pPr>
            <w:r>
              <w:rPr>
                <w:sz w:val="18"/>
              </w:rPr>
              <w:t>0.732</w:t>
            </w:r>
          </w:p>
        </w:tc>
      </w:tr>
      <w:tr>
        <w:tc>
          <w:tcPr>
            <w:tcW w:type="dxa" w:w="4153"/>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Specificity</w:t>
            </w:r>
          </w:p>
        </w:tc>
        <w:tc>
          <w:tcPr>
            <w:tcW w:type="dxa" w:w="4153"/>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0.719</w:t>
            </w:r>
          </w:p>
        </w:tc>
      </w:tr>
      <w:tr>
        <w:tc>
          <w:tcPr>
            <w:tcW w:type="dxa" w:w="4153"/>
            <w:vAlign w:val="center"/>
            <w:tcBorders>
              <w:top w:val="single" w:sz="4" w:space="0" w:color="D9D9D9"/>
              <w:left w:val="single" w:sz="4" w:space="0" w:color="D9D9D9"/>
              <w:bottom w:val="single" w:sz="4" w:space="0" w:color="D9D9D9"/>
              <w:right w:val="single" w:sz="4" w:space="0" w:color="D9D9D9"/>
            </w:tcBorders>
          </w:tcPr>
          <w:p>
            <w:pPr>
              <w:spacing w:after="0"/>
            </w:pPr>
            <w:r>
              <w:rPr>
                <w:sz w:val="18"/>
              </w:rPr>
              <w:t>Balanced accuracy</w:t>
            </w:r>
          </w:p>
        </w:tc>
        <w:tc>
          <w:tcPr>
            <w:tcW w:type="dxa" w:w="4153"/>
            <w:vAlign w:val="center"/>
            <w:tcBorders>
              <w:top w:val="single" w:sz="4" w:space="0" w:color="D9D9D9"/>
              <w:left w:val="single" w:sz="4" w:space="0" w:color="D9D9D9"/>
              <w:bottom w:val="single" w:sz="4" w:space="0" w:color="D9D9D9"/>
              <w:right w:val="single" w:sz="4" w:space="0" w:color="D9D9D9"/>
            </w:tcBorders>
          </w:tcPr>
          <w:p>
            <w:pPr>
              <w:spacing w:after="0"/>
            </w:pPr>
            <w:r>
              <w:rPr>
                <w:sz w:val="18"/>
              </w:rPr>
              <w:t>0.726</w:t>
            </w:r>
          </w:p>
        </w:tc>
      </w:tr>
      <w:tr>
        <w:tc>
          <w:tcPr>
            <w:tcW w:type="dxa" w:w="4153"/>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F1 score</w:t>
            </w:r>
          </w:p>
        </w:tc>
        <w:tc>
          <w:tcPr>
            <w:tcW w:type="dxa" w:w="4153"/>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0.726</w:t>
            </w:r>
          </w:p>
        </w:tc>
      </w:tr>
    </w:tbl>
    <w:p>
      <w:r>
        <w:rPr>
          <w:b w:val="0"/>
        </w:rPr>
        <w:t>The leave-one-biomarker-out results show which markers contributed most to the deployed screening rule. A negative balanced-accuracy delta means that performance decreased when that biomarker was removed. The largest drop occurred for High Pause Ratio, followed by Low Vocal Energy, High MFCC 2 Variability, Low Mean Pitch, and Low Speech Rate.</w:t>
      </w:r>
    </w:p>
    <w:p>
      <w:pPr>
        <w:jc w:val="left"/>
      </w:pPr>
      <w:r>
        <w:rPr>
          <w:b/>
          <w:sz w:val="20"/>
        </w:rPr>
        <w:t>Table 7.4: Biomarker-level ablation categories</w:t>
      </w:r>
    </w:p>
    <w:p>
      <w:pPr/>
      <w:r>
        <w:rPr>
          <w:sz w:val="18"/>
        </w:rPr>
        <w:t>Negative delta means balanced accuracy decreased after removing the biomarker, so the biomarker contributed useful evidence. Positive optimized delta means the biomarker may add noise or overlap with other markers under the current rule.</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1800"/>
            <w:shd w:fill="D9EA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b/>
                <w:sz w:val="16"/>
              </w:rPr>
              <w:t>Biomarker</w:t>
            </w:r>
          </w:p>
        </w:tc>
        <w:tc>
          <w:tcPr>
            <w:tcW w:type="dxa" w:w="2232"/>
            <w:shd w:fill="D9EA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b/>
                <w:sz w:val="16"/>
              </w:rPr>
              <w:t>Balanced-accuracy effect when removed</w:t>
            </w:r>
          </w:p>
        </w:tc>
        <w:tc>
          <w:tcPr>
            <w:tcW w:type="dxa" w:w="1440"/>
            <w:shd w:fill="D9EA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b/>
                <w:sz w:val="16"/>
              </w:rPr>
              <w:t>Category</w:t>
            </w:r>
          </w:p>
        </w:tc>
        <w:tc>
          <w:tcPr>
            <w:tcW w:type="dxa" w:w="4536"/>
            <w:shd w:fill="D9EA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b/>
                <w:sz w:val="16"/>
              </w:rPr>
              <w:t>Interpretation</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High Pause Ratio</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-0.035 optimized; -0.082 fixed</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Clearly helpful</w:t>
            </w:r>
          </w:p>
        </w:tc>
        <w:tc>
          <w:tcPr>
            <w:tcW w:type="dxa" w:w="45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Strongest contributor. Removing it reduced the system performance most, especially under the fixed deployed threshold.</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7FBFF"/>
            <w:vAlign w:val="center"/>
          </w:tcPr>
          <w:p>
            <w:pPr>
              <w:spacing w:after="0"/>
            </w:pPr>
            <w:r>
              <w:rPr>
                <w:sz w:val="16"/>
              </w:rPr>
              <w:t>Low Vocal Energy</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7FBFF"/>
            <w:vAlign w:val="center"/>
          </w:tcPr>
          <w:p>
            <w:pPr>
              <w:spacing w:after="0"/>
            </w:pPr>
            <w:r>
              <w:rPr>
                <w:sz w:val="16"/>
              </w:rPr>
              <w:t>-0.027</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7FBFF"/>
            <w:vAlign w:val="center"/>
          </w:tcPr>
          <w:p>
            <w:pPr>
              <w:spacing w:after="0"/>
            </w:pPr>
            <w:r>
              <w:rPr>
                <w:sz w:val="16"/>
              </w:rPr>
              <w:t>Clearly helpful</w:t>
            </w:r>
          </w:p>
        </w:tc>
        <w:tc>
          <w:tcPr>
            <w:tcW w:type="dxa" w:w="45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7FBFF"/>
            <w:vAlign w:val="center"/>
          </w:tcPr>
          <w:p>
            <w:pPr>
              <w:spacing w:after="0"/>
            </w:pPr>
            <w:r>
              <w:rPr>
                <w:sz w:val="16"/>
              </w:rPr>
              <w:t>Useful energy marker. Its removal reduced balanced accuracy and sensitivity.</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High MFCC 2 Variability</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-0.019</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Clearly helpful</w:t>
            </w:r>
          </w:p>
        </w:tc>
        <w:tc>
          <w:tcPr>
            <w:tcW w:type="dxa" w:w="45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Useful spectral variability marker linked to voice-quality and spectral change evidence.</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7FBFF"/>
            <w:vAlign w:val="center"/>
          </w:tcPr>
          <w:p>
            <w:pPr>
              <w:spacing w:after="0"/>
            </w:pPr>
            <w:r>
              <w:rPr>
                <w:sz w:val="16"/>
              </w:rPr>
              <w:t>Low Mean Pitch</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7FBFF"/>
            <w:vAlign w:val="center"/>
          </w:tcPr>
          <w:p>
            <w:pPr>
              <w:spacing w:after="0"/>
            </w:pPr>
            <w:r>
              <w:rPr>
                <w:sz w:val="16"/>
              </w:rPr>
              <w:t>-0.018</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7FBFF"/>
            <w:vAlign w:val="center"/>
          </w:tcPr>
          <w:p>
            <w:pPr>
              <w:spacing w:after="0"/>
            </w:pPr>
            <w:r>
              <w:rPr>
                <w:sz w:val="16"/>
              </w:rPr>
              <w:t>Clearly helpful</w:t>
            </w:r>
          </w:p>
        </w:tc>
        <w:tc>
          <w:tcPr>
            <w:tcW w:type="dxa" w:w="45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7FBFF"/>
            <w:vAlign w:val="center"/>
          </w:tcPr>
          <w:p>
            <w:pPr>
              <w:spacing w:after="0"/>
            </w:pPr>
            <w:r>
              <w:rPr>
                <w:sz w:val="16"/>
              </w:rPr>
              <w:t>Helpful pitch-level marker. Its removal produced a measurable performance drop.</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Low Speech Rate</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-0.018 optimized; -0.055 fixed</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Clearly helpful</w:t>
            </w:r>
          </w:p>
        </w:tc>
        <w:tc>
          <w:tcPr>
            <w:tcW w:type="dxa" w:w="45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Helpful timing marker, particularly important when the deployed threshold is kept fixed.</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7FBFF"/>
            <w:vAlign w:val="center"/>
          </w:tcPr>
          <w:p>
            <w:pPr>
              <w:spacing w:after="0"/>
            </w:pPr>
            <w:r>
              <w:rPr>
                <w:sz w:val="16"/>
              </w:rPr>
              <w:t>High Jitter</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7FBFF"/>
            <w:vAlign w:val="center"/>
          </w:tcPr>
          <w:p>
            <w:pPr>
              <w:spacing w:after="0"/>
            </w:pPr>
            <w:r>
              <w:rPr>
                <w:sz w:val="16"/>
              </w:rPr>
              <w:t>-0.009</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7FBFF"/>
            <w:vAlign w:val="center"/>
          </w:tcPr>
          <w:p>
            <w:pPr>
              <w:spacing w:after="0"/>
            </w:pPr>
            <w:r>
              <w:rPr>
                <w:sz w:val="16"/>
              </w:rPr>
              <w:t>Slightly helpful</w:t>
            </w:r>
          </w:p>
        </w:tc>
        <w:tc>
          <w:tcPr>
            <w:tcW w:type="dxa" w:w="45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7FBFF"/>
            <w:vAlign w:val="center"/>
          </w:tcPr>
          <w:p>
            <w:pPr>
              <w:spacing w:after="0"/>
            </w:pPr>
            <w:r>
              <w:rPr>
                <w:sz w:val="16"/>
              </w:rPr>
              <w:t>Small positive contribution. Useful but weaker than timing, energy, and stronger MFCC markers.</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High MFCC 4 Variability</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-0.0003</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Almost neutral</w:t>
            </w:r>
          </w:p>
        </w:tc>
        <w:tc>
          <w:tcPr>
            <w:tcW w:type="dxa" w:w="45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Very small effect. It neither strongly improves nor strongly harms the current rule.</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7FBFF"/>
            <w:vAlign w:val="center"/>
          </w:tcPr>
          <w:p>
            <w:pPr>
              <w:spacing w:after="0"/>
            </w:pPr>
            <w:r>
              <w:rPr>
                <w:sz w:val="16"/>
              </w:rPr>
              <w:t>High Mean Pitch</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7FBFF"/>
            <w:vAlign w:val="center"/>
          </w:tcPr>
          <w:p>
            <w:pPr>
              <w:spacing w:after="0"/>
            </w:pPr>
            <w:r>
              <w:rPr>
                <w:sz w:val="16"/>
              </w:rPr>
              <w:t>+0.001 optimized; -0.037 fixed</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7FBFF"/>
            <w:vAlign w:val="center"/>
          </w:tcPr>
          <w:p>
            <w:pPr>
              <w:spacing w:after="0"/>
            </w:pPr>
            <w:r>
              <w:rPr>
                <w:sz w:val="16"/>
              </w:rPr>
              <w:t>Inconsistent</w:t>
            </w:r>
          </w:p>
        </w:tc>
        <w:tc>
          <w:tcPr>
            <w:tcW w:type="dxa" w:w="45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7FBFF"/>
            <w:vAlign w:val="center"/>
          </w:tcPr>
          <w:p>
            <w:pPr>
              <w:spacing w:after="0"/>
            </w:pPr>
            <w:r>
              <w:rPr>
                <w:sz w:val="16"/>
              </w:rPr>
              <w:t>Helpful under fixed threshold, but nearly neutral after threshold re-optimization.</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High Pitch Variability</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+0.010 optimized; -0.037 fixed</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Possibly noisy</w:t>
            </w:r>
          </w:p>
        </w:tc>
        <w:tc>
          <w:tcPr>
            <w:tcW w:type="dxa" w:w="45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May overlap with other pitch markers; useful in some settings but weaker after re-optimization.</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7FBFF"/>
            <w:vAlign w:val="center"/>
          </w:tcPr>
          <w:p>
            <w:pPr>
              <w:spacing w:after="0"/>
            </w:pPr>
            <w:r>
              <w:rPr>
                <w:sz w:val="16"/>
              </w:rPr>
              <w:t>Low MFCC 3 Mean</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7FBFF"/>
            <w:vAlign w:val="center"/>
          </w:tcPr>
          <w:p>
            <w:pPr>
              <w:spacing w:after="0"/>
            </w:pPr>
            <w:r>
              <w:rPr>
                <w:sz w:val="16"/>
              </w:rPr>
              <w:t>+0.010 optimized; -0.064 fixed</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7FBFF"/>
            <w:vAlign w:val="center"/>
          </w:tcPr>
          <w:p>
            <w:pPr>
              <w:spacing w:after="0"/>
            </w:pPr>
            <w:r>
              <w:rPr>
                <w:sz w:val="16"/>
              </w:rPr>
              <w:t>Possibly noisy</w:t>
            </w:r>
          </w:p>
        </w:tc>
        <w:tc>
          <w:tcPr>
            <w:tcW w:type="dxa" w:w="45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7FBFF"/>
            <w:vAlign w:val="center"/>
          </w:tcPr>
          <w:p>
            <w:pPr>
              <w:spacing w:after="0"/>
            </w:pPr>
            <w:r>
              <w:rPr>
                <w:sz w:val="16"/>
              </w:rPr>
              <w:t>High sensitivity alone but weak specificity; may create extra false positives.</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High MFCC 1 Mean</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+0.072 optimized; -0.037 fixed</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Most questionable</w:t>
            </w:r>
          </w:p>
        </w:tc>
        <w:tc>
          <w:tcPr>
            <w:tcW w:type="dxa" w:w="45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after="0"/>
            </w:pPr>
            <w:r>
              <w:rPr>
                <w:sz w:val="16"/>
              </w:rPr>
              <w:t>Most likely to add noise in the optimized rule and should be reviewed in future feature pruning.</w:t>
            </w:r>
          </w:p>
        </w:tc>
      </w:tr>
    </w:tbl>
    <w:p>
      <w:pPr/>
      <w:r>
        <w:rPr>
          <w:sz w:val="20"/>
        </w:rPr>
        <w:t>These categories show that the screening rule is mainly supported by timing and energy evidence, with selected pitch and MFCC markers adding additional but uneven information. For the next iteration, the inconsistent MFCC and pitch markers can be pruned or recalibrated to test whether the optimized balanced accuracy improves further.</w:t>
      </w:r>
    </w:p>
    <w:tbl>
      <w:tblPr>
        <w:tblW w:type="auto" w:w="0"/>
        <w:jc w:val="center"/>
        <w:tblLook w:firstColumn="1" w:firstRow="1" w:lastColumn="0" w:lastRow="0" w:noHBand="0" w:noVBand="1" w:val="04A0"/>
      </w:tblPr>
      <w:tblGrid>
        <w:gridCol w:w="2769"/>
        <w:gridCol w:w="2769"/>
        <w:gridCol w:w="2769"/>
      </w:tblGrid>
      <w:tr>
        <w:tc>
          <w:tcPr>
            <w:tcW w:type="dxa" w:w="2769"/>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Removed biomarker</w:t>
            </w:r>
          </w:p>
        </w:tc>
        <w:tc>
          <w:tcPr>
            <w:tcW w:type="dxa" w:w="2769"/>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Participants matched</w:t>
            </w:r>
          </w:p>
        </w:tc>
        <w:tc>
          <w:tcPr>
            <w:tcW w:type="dxa" w:w="2769"/>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Optimized balanced accuracy delta</w:t>
            </w:r>
          </w:p>
        </w:tc>
      </w:tr>
      <w:tr>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High Pause Ratio</w:t>
            </w:r>
          </w:p>
        </w:tc>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99</w:t>
            </w:r>
          </w:p>
        </w:tc>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-0.035</w:t>
            </w:r>
          </w:p>
        </w:tc>
      </w:tr>
      <w:tr>
        <w:tc>
          <w:tcPr>
            <w:tcW w:type="dxa" w:w="2769"/>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Low Vocal Energy</w:t>
            </w:r>
          </w:p>
        </w:tc>
        <w:tc>
          <w:tcPr>
            <w:tcW w:type="dxa" w:w="2769"/>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21</w:t>
            </w:r>
          </w:p>
        </w:tc>
        <w:tc>
          <w:tcPr>
            <w:tcW w:type="dxa" w:w="2769"/>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-0.027</w:t>
            </w:r>
          </w:p>
        </w:tc>
      </w:tr>
      <w:tr>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High MFCC 2 Variability</w:t>
            </w:r>
          </w:p>
        </w:tc>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72</w:t>
            </w:r>
          </w:p>
        </w:tc>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-0.019</w:t>
            </w:r>
          </w:p>
        </w:tc>
      </w:tr>
      <w:tr>
        <w:tc>
          <w:tcPr>
            <w:tcW w:type="dxa" w:w="2769"/>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Low Mean Pitch</w:t>
            </w:r>
          </w:p>
        </w:tc>
        <w:tc>
          <w:tcPr>
            <w:tcW w:type="dxa" w:w="2769"/>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13</w:t>
            </w:r>
          </w:p>
        </w:tc>
        <w:tc>
          <w:tcPr>
            <w:tcW w:type="dxa" w:w="2769"/>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-0.018</w:t>
            </w:r>
          </w:p>
        </w:tc>
      </w:tr>
      <w:tr>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Low Speech Rate</w:t>
            </w:r>
          </w:p>
        </w:tc>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101</w:t>
            </w:r>
          </w:p>
        </w:tc>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-0.018</w:t>
            </w:r>
          </w:p>
        </w:tc>
      </w:tr>
    </w:tbl>
    <w:p>
      <w:r>
        <w:rPr>
          <w:b w:val="0"/>
        </w:rPr>
        <w:t>Single-biomarker evaluation further shows that no individual biomarker is sufficient on its own. The best single biomarker, High Mean Pitch, reached balanced accuracy 0.656, which is lower than the full biomarker set. This supports the design choice of aggregating multiple timing, energy, pitch, and spectral markers instead of relying on one acoustic indicator.</w:t>
      </w:r>
    </w:p>
    <w:tbl>
      <w:tblPr>
        <w:tblW w:type="auto" w:w="0"/>
        <w:jc w:val="center"/>
        <w:tblLook w:firstColumn="1" w:firstRow="1" w:lastColumn="0" w:lastRow="0" w:noHBand="0" w:noVBand="1" w:val="04A0"/>
      </w:tblPr>
      <w:tblGrid>
        <w:gridCol w:w="2076"/>
        <w:gridCol w:w="2076"/>
        <w:gridCol w:w="2076"/>
        <w:gridCol w:w="2076"/>
      </w:tblGrid>
      <w:tr>
        <w:tc>
          <w:tcPr>
            <w:tcW w:type="dxa" w:w="2076"/>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Single biomarker</w:t>
            </w:r>
          </w:p>
        </w:tc>
        <w:tc>
          <w:tcPr>
            <w:tcW w:type="dxa" w:w="2076"/>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Balanced accuracy</w:t>
            </w:r>
          </w:p>
        </w:tc>
        <w:tc>
          <w:tcPr>
            <w:tcW w:type="dxa" w:w="2076"/>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Sensitivity</w:t>
            </w:r>
          </w:p>
        </w:tc>
        <w:tc>
          <w:tcPr>
            <w:tcW w:type="dxa" w:w="2076"/>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Specificity</w:t>
            </w:r>
          </w:p>
        </w:tc>
      </w:tr>
      <w:tr>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High Mean Pitch</w:t>
            </w:r>
          </w:p>
        </w:tc>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0.656</w:t>
            </w:r>
          </w:p>
        </w:tc>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0.732</w:t>
            </w:r>
          </w:p>
        </w:tc>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0.579</w:t>
            </w:r>
          </w:p>
        </w:tc>
      </w:tr>
      <w:tr>
        <w:tc>
          <w:tcPr>
            <w:tcW w:type="dxa" w:w="2076"/>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High Pitch Variability</w:t>
            </w:r>
          </w:p>
        </w:tc>
        <w:tc>
          <w:tcPr>
            <w:tcW w:type="dxa" w:w="2076"/>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0.647</w:t>
            </w:r>
          </w:p>
        </w:tc>
        <w:tc>
          <w:tcPr>
            <w:tcW w:type="dxa" w:w="2076"/>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0.750</w:t>
            </w:r>
          </w:p>
        </w:tc>
        <w:tc>
          <w:tcPr>
            <w:tcW w:type="dxa" w:w="2076"/>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0.544</w:t>
            </w:r>
          </w:p>
        </w:tc>
      </w:tr>
      <w:tr>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Low Vocal Energy</w:t>
            </w:r>
          </w:p>
        </w:tc>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0.581</w:t>
            </w:r>
          </w:p>
        </w:tc>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0.268</w:t>
            </w:r>
          </w:p>
        </w:tc>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0.895</w:t>
            </w:r>
          </w:p>
        </w:tc>
      </w:tr>
      <w:tr>
        <w:tc>
          <w:tcPr>
            <w:tcW w:type="dxa" w:w="2076"/>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Low MFCC 3 Mean</w:t>
            </w:r>
          </w:p>
        </w:tc>
        <w:tc>
          <w:tcPr>
            <w:tcW w:type="dxa" w:w="2076"/>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0.577</w:t>
            </w:r>
          </w:p>
        </w:tc>
        <w:tc>
          <w:tcPr>
            <w:tcW w:type="dxa" w:w="2076"/>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0.804</w:t>
            </w:r>
          </w:p>
        </w:tc>
        <w:tc>
          <w:tcPr>
            <w:tcW w:type="dxa" w:w="2076"/>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0.351</w:t>
            </w:r>
          </w:p>
        </w:tc>
      </w:tr>
      <w:tr>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High Pause Ratio</w:t>
            </w:r>
          </w:p>
        </w:tc>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0.570</w:t>
            </w:r>
          </w:p>
        </w:tc>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0.946</w:t>
            </w:r>
          </w:p>
        </w:tc>
        <w:tc>
          <w:tcPr>
            <w:tcW w:type="dxa" w:w="2076"/>
            <w:vAlign w:val="center"/>
            <w:tcBorders>
              <w:top w:val="single" w:sz="4" w:space="0" w:color="D9D9D9"/>
              <w:left w:val="single" w:sz="4" w:space="0" w:color="D9D9D9"/>
              <w:bottom w:val="single" w:sz="4" w:space="0" w:color="D9D9D9"/>
              <w:right w:val="single" w:sz="4" w:space="0" w:color="D9D9D9"/>
            </w:tcBorders>
          </w:tcPr>
          <w:p>
            <w:pPr>
              <w:spacing w:after="0"/>
            </w:pPr>
            <w:r>
              <w:rPr>
                <w:sz w:val="18"/>
              </w:rPr>
              <w:t>0.193</w:t>
            </w:r>
          </w:p>
        </w:tc>
      </w:tr>
    </w:tbl>
    <w:p>
      <w:r>
        <w:rPr>
          <w:b w:val="0"/>
        </w:rPr>
        <w:t>The feature-source group ablation gives a broader view of the system. Removing transcript-derived timing features, COVAREP voice features, or audio waveform and spectral features all reduced performance. This indicates that the system benefits from combining complementary evidence sources rather than treating audio biomarkers as a single homogeneous feature family.</w:t>
      </w:r>
    </w:p>
    <w:tbl>
      <w:tblPr>
        <w:tblW w:type="auto" w:w="0"/>
        <w:jc w:val="center"/>
        <w:tblLook w:firstColumn="1" w:firstRow="1" w:lastColumn="0" w:lastRow="0" w:noHBand="0" w:noVBand="1" w:val="04A0"/>
      </w:tblPr>
      <w:tblGrid>
        <w:gridCol w:w="2769"/>
        <w:gridCol w:w="2769"/>
        <w:gridCol w:w="2769"/>
      </w:tblGrid>
      <w:tr>
        <w:tc>
          <w:tcPr>
            <w:tcW w:type="dxa" w:w="2769"/>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Removed feature group</w:t>
            </w:r>
          </w:p>
        </w:tc>
        <w:tc>
          <w:tcPr>
            <w:tcW w:type="dxa" w:w="2769"/>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Removed biomarkers</w:t>
            </w:r>
          </w:p>
        </w:tc>
        <w:tc>
          <w:tcPr>
            <w:tcW w:type="dxa" w:w="2769"/>
            <w:vAlign w:val="center"/>
            <w:tcBorders>
              <w:top w:val="single" w:sz="4" w:space="0" w:color="D9D9D9"/>
              <w:left w:val="single" w:sz="4" w:space="0" w:color="D9D9D9"/>
              <w:bottom w:val="single" w:sz="4" w:space="0" w:color="D9D9D9"/>
              <w:right w:val="single" w:sz="4" w:space="0" w:color="D9D9D9"/>
            </w:tcBorders>
            <w:shd w:fill="1F4E79"/>
          </w:tcPr>
          <w:p>
            <w:pPr>
              <w:spacing w:after="0"/>
            </w:pPr>
            <w:r>
              <w:rPr>
                <w:b/>
                <w:color w:val="FFFFFF"/>
                <w:sz w:val="18"/>
              </w:rPr>
              <w:t>Optimized balanced accuracy delta</w:t>
            </w:r>
          </w:p>
        </w:tc>
      </w:tr>
      <w:tr>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transcript_timing</w:t>
            </w:r>
          </w:p>
        </w:tc>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High Pause Ratio; Low Speech Rate</w:t>
            </w:r>
          </w:p>
        </w:tc>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-0.051</w:t>
            </w:r>
          </w:p>
        </w:tc>
      </w:tr>
      <w:tr>
        <w:tc>
          <w:tcPr>
            <w:tcW w:type="dxa" w:w="2769"/>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covarep_voice</w:t>
            </w:r>
          </w:p>
        </w:tc>
        <w:tc>
          <w:tcPr>
            <w:tcW w:type="dxa" w:w="2769"/>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High Jitter; High Mean Pitch; High Pitch Variability; Low Mean Pitch</w:t>
            </w:r>
          </w:p>
        </w:tc>
        <w:tc>
          <w:tcPr>
            <w:tcW w:type="dxa" w:w="2769"/>
            <w:vAlign w:val="center"/>
            <w:tcBorders>
              <w:top w:val="single" w:sz="4" w:space="0" w:color="D9D9D9"/>
              <w:left w:val="single" w:sz="4" w:space="0" w:color="D9D9D9"/>
              <w:bottom w:val="single" w:sz="4" w:space="0" w:color="D9D9D9"/>
              <w:right w:val="single" w:sz="4" w:space="0" w:color="D9D9D9"/>
            </w:tcBorders>
            <w:shd w:fill="F4F8FB"/>
          </w:tcPr>
          <w:p>
            <w:pPr>
              <w:spacing w:after="0"/>
            </w:pPr>
            <w:r>
              <w:rPr>
                <w:sz w:val="18"/>
              </w:rPr>
              <w:t>-0.043</w:t>
            </w:r>
          </w:p>
        </w:tc>
      </w:tr>
      <w:tr>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audio_waveform_spectral</w:t>
            </w:r>
          </w:p>
        </w:tc>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High MFCC 1 Mean; High MFCC 2 Variability; High MFCC 4 Variability; Low MFCC 3 Mean; Low Vocal Energy</w:t>
            </w:r>
          </w:p>
        </w:tc>
        <w:tc>
          <w:tcPr>
            <w:tcW w:type="dxa" w:w="2769"/>
            <w:vAlign w:val="center"/>
            <w:tcBorders>
              <w:top w:val="single" w:sz="4" w:space="0" w:color="D9D9D9"/>
              <w:left w:val="single" w:sz="4" w:space="0" w:color="D9D9D9"/>
              <w:bottom w:val="single" w:sz="4" w:space="0" w:color="D9D9D9"/>
              <w:right w:val="single" w:sz="4" w:space="0" w:color="D9D9D9"/>
            </w:tcBorders>
          </w:tcPr>
          <w:p>
            <w:pPr>
              <w:spacing w:after="0"/>
            </w:pPr>
            <w:r>
              <w:rPr>
                <w:sz w:val="18"/>
              </w:rPr>
              <w:t>-0.025</w:t>
            </w:r>
          </w:p>
        </w:tc>
      </w:tr>
    </w:tbl>
    <w:p>
      <w:r>
        <w:rPr>
          <w:b w:val="0"/>
        </w:rPr>
        <w:t>Overall, the ablation analysis strengthens the interpretation of the system results. The final screening decision is not driven by one isolated acoustic feature. Instead, performance depends on the combined contribution of pause behaviour, speech rate, vocal energy, pitch behaviour, and spectral features. This finding is consistent with the literature view that depression-related speech evidence is multi-factorial and context dependent.</w:t>
      </w:r>
    </w:p>
    <w:p w14:paraId="538BE00B">
      <w:pPr>
        <w:pStyle w:val="2"/>
        <w:keepNext/>
        <w:spacing w:before="360" w:after="200"/>
      </w:pPr>
      <w:r>
        <w:t>8  Discussion</w:t>
      </w:r>
    </w:p>
    <w:p w14:paraId="76825A74">
      <w:pPr>
        <w:spacing w:after="120" w:line="480" w:lineRule="auto"/>
        <w:jc w:val="both"/>
      </w:pPr>
      <w:r>
        <w:rPr>
          <w:rFonts w:ascii="Times New Roman" w:hAnsi="Times New Roman" w:eastAsia="Times New Roman" w:cs="Times New Roman"/>
          <w:sz w:val="24"/>
          <w:szCs w:val="24"/>
        </w:rPr>
        <w:t>The work completed in the first three months strengthens the thesis in four principal ways, and it also exposes limitations that define the agenda for the next phase. This chapter discusses both.</w:t>
      </w:r>
    </w:p>
    <w:p w14:paraId="7A86D15F">
      <w:pPr>
        <w:pStyle w:val="3"/>
        <w:keepNext/>
        <w:spacing w:before="280" w:after="140"/>
      </w:pPr>
      <w:r>
        <w:t>8.1  A Clear and Auditable Evidence Chain</w:t>
      </w:r>
    </w:p>
    <w:p w14:paraId="56C10F09">
      <w:pPr>
        <w:spacing w:after="120" w:line="480" w:lineRule="auto"/>
        <w:jc w:val="both"/>
      </w:pPr>
      <w:r>
        <w:rPr>
          <w:rFonts w:ascii="Times New Roman" w:hAnsi="Times New Roman" w:eastAsia="Times New Roman" w:cs="Times New Roman"/>
          <w:sz w:val="24"/>
          <w:szCs w:val="24"/>
        </w:rPr>
        <w:t>First, the system now embodies a clear evidence chain. It begins with extracted audio features, calibrates their operating thresholds against PHQ-8 labels, maps threshold crossings to biomarker nodes, retrieves graph paths, and produces structured explanations. This is substantially more defensible than either a black-box score or an ad-hoc, hand-written rule list, because every element of a report can be traced back to a measurement, a calibrated threshold, and an explicit graph path. The chain is not only present in principle but recorded in the structured report, which stores all intermediate artefacts for inspection.</w:t>
      </w:r>
    </w:p>
    <w:p w14:paraId="79800D7B">
      <w:pPr>
        <w:pStyle w:val="3"/>
        <w:keepNext/>
        <w:spacing w:before="280" w:after="140"/>
      </w:pPr>
      <w:r>
        <w:t>8.2  Inspectable Clinical Reasoning</w:t>
      </w:r>
    </w:p>
    <w:p w14:paraId="76B0D123">
      <w:pPr>
        <w:spacing w:after="120" w:line="480" w:lineRule="auto"/>
        <w:jc w:val="both"/>
      </w:pPr>
      <w:r>
        <w:rPr>
          <w:rFonts w:ascii="Times New Roman" w:hAnsi="Times New Roman" w:eastAsia="Times New Roman" w:cs="Times New Roman"/>
          <w:sz w:val="24"/>
          <w:szCs w:val="24"/>
        </w:rPr>
        <w:t>Second, the knowledge graph makes clinical reasoning inspectable. A supervisor can open the graph and see exactly how a biomarker connects to a concept and to a recommendation, with the cautious edge vocabulary making the strength of each claimed relationship explicit. This directly serves the project's central aim, which concerns explainability rather than classification accuracy alone. The contrast with a classifier is instructive: where a classifier hides its reasoning in learned weights, the graph externalises it in a form that a human expert can read, critique, and correct.</w:t>
      </w:r>
    </w:p>
    <w:p w14:paraId="6D22F4CF">
      <w:pPr>
        <w:pStyle w:val="3"/>
        <w:keepNext/>
        <w:spacing w:before="280" w:after="140"/>
      </w:pPr>
      <w:r>
        <w:t>8.3  Honest Calibration</w:t>
      </w:r>
    </w:p>
    <w:p w14:paraId="0893F035">
      <w:pPr>
        <w:spacing w:after="120" w:line="480" w:lineRule="auto"/>
        <w:jc w:val="both"/>
      </w:pPr>
      <w:r>
        <w:rPr>
          <w:rFonts w:ascii="Times New Roman" w:hAnsi="Times New Roman" w:eastAsia="Times New Roman" w:cs="Times New Roman"/>
          <w:sz w:val="24"/>
          <w:szCs w:val="24"/>
        </w:rPr>
        <w:t>Third, the calibration results are honest. They do not overstate the power of acoustic biomarkers. Some features exhibit high sensitivity but poor specificity, others high specificity but low sensitivity, and the balanced accuracies are generally modest. Rather than concealing this, the thesis uses it as a positive argument for the Graph-RAG design: because individual features are weak, a system that merely thresholds a single feature would be untrustworthy, whereas a system that assembles multiple weak signals into an inspectable, cautious explanation is both more honest and more useful. The weakness of the parts is, paradoxically, part of the justification for the structure of the whole.</w:t>
      </w:r>
    </w:p>
    <w:p w14:paraId="6DF666E8">
      <w:pPr>
        <w:pStyle w:val="3"/>
        <w:keepNext/>
        <w:spacing w:before="280" w:after="140"/>
      </w:pPr>
      <w:r>
        <w:t>8.4  Grounded Narrative Generation</w:t>
      </w:r>
    </w:p>
    <w:p w14:paraId="2AACFB84">
      <w:pPr>
        <w:spacing w:after="120" w:line="480" w:lineRule="auto"/>
        <w:jc w:val="both"/>
      </w:pPr>
      <w:r>
        <w:rPr>
          <w:rFonts w:ascii="Times New Roman" w:hAnsi="Times New Roman" w:eastAsia="Times New Roman" w:cs="Times New Roman"/>
          <w:sz w:val="24"/>
          <w:szCs w:val="24"/>
        </w:rPr>
        <w:t>Fourth, the Month 3 local-LLM layer brings the prototype closer to the intended thesis goal. The system now demonstrates how retrieved graph evidence can be translated into a readable clinical narrative, which is categorically different from asking a language model to judge mental state from audio alone. Because the Reporter Agent receives already-selected evidence and explicit graph paths, its output can be compared against those paths for faithfulness, and the separation of stored paths from stored narrative makes such an audit practical.</w:t>
      </w:r>
    </w:p>
    <w:p w14:paraId="5CB859E6">
      <w:pPr>
        <w:pStyle w:val="3"/>
        <w:keepNext/>
        <w:spacing w:before="280" w:after="140"/>
      </w:pPr>
      <w:r>
        <w:t>8.5  Limitations Revealed by the Work</w:t>
      </w:r>
    </w:p>
    <w:p w14:paraId="1DAA65A7">
      <w:pPr>
        <w:spacing w:after="120" w:line="480" w:lineRule="auto"/>
        <w:jc w:val="both"/>
      </w:pPr>
      <w:r>
        <w:rPr>
          <w:rFonts w:ascii="Times New Roman" w:hAnsi="Times New Roman" w:eastAsia="Times New Roman" w:cs="Times New Roman"/>
          <w:sz w:val="24"/>
          <w:szCs w:val="24"/>
        </w:rPr>
        <w:t>The work also reveals limitations that must be acknowledged. The jitter measure is a proxy derived from F0 instability rather than a full clinical jitter measurement obtained under a dedicated voice-analysis protocol. The MFCCs are extracted with a lightweight implementation, which aids reproducibility but may differ from the feature sets produced by established toolkits such as openSMILE or librosa. The graph is at present manually curated and should ideally be reviewed by a clinical expert. The system is calibrated on the locally available DAIC-WOZ data and should be evaluated carefully on held-out data in the next phase. Finally, while the local-LLM layer improves readability, it can also introduce unsupported wording if prompts are not well constrained; the design mitigates this by storing the retrieved graph paths and the LLM output separately, so that the faithfulness of the narrative to the evidence can be audited. These limitations are treated in full in Chapter 10.</w:t>
      </w:r>
    </w:p>
    <w:p w14:paraId="488FB0B8">
      <w:pPr>
        <w:pStyle w:val="3"/>
        <w:keepNext/>
        <w:spacing w:before="280" w:after="140"/>
      </w:pPr>
      <w:r>
        <w:t>8.6  Relationship Between the Results and the Research Questions</w:t>
      </w:r>
    </w:p>
    <w:p w14:paraId="4F2A91A2">
      <w:pPr>
        <w:spacing w:after="120" w:line="480" w:lineRule="auto"/>
        <w:jc w:val="both"/>
      </w:pPr>
      <w:r>
        <w:rPr>
          <w:rFonts w:ascii="Times New Roman" w:hAnsi="Times New Roman" w:eastAsia="Times New Roman" w:cs="Times New Roman"/>
          <w:sz w:val="24"/>
          <w:szCs w:val="24"/>
        </w:rPr>
        <w:t>It is worth returning to the research questions of Chapter 1 to assess what the work has established. The first sub-question asked which acoustic biomarkers are useful and interpretable enough to include; the calibration results answer this empirically, showing that pitch variability and mean pitch are individually the most informative while pause and rate markers are sensitive but non-specific, and that all are weak enough to require a structured explanatory context. The second sub-question asked how numerical features can be translated into clinical concepts without overclaiming; the feature-to-concept mapping and the cautious edge vocabulary provide the answer, mapping uninterpretable features such as MFCCs to broad concepts rather than to specific symptoms. The third sub-question asked how thresholds can be justified by calibration rather than assumption; the Youden-J calibration against PHQ-8, with all metadata stored in the graph, answers this directly. The fourth sub-question asked how graph paths can support multi-persona reporting; the Month 3 Reporter Agent demonstrates that the same retrieved paths can ground both psychologist- and patient-facing narratives. The overarching research question — whether acoustic biomarkers can be represented in a lightweight graph so as to support traceable, cautious explanations rather than black-box predictions — is answered affirmatively at prototype scale, with the important qualification that explanation quality has not yet been evaluated with human judges.</w:t>
      </w:r>
    </w:p>
    <w:p w14:paraId="022B361D">
      <w:pPr>
        <w:pStyle w:val="3"/>
        <w:keepNext/>
        <w:spacing w:before="280" w:after="140"/>
      </w:pPr>
      <w:r>
        <w:t>8.7  Threats to Validity</w:t>
      </w:r>
    </w:p>
    <w:p w14:paraId="02AD8F43">
      <w:pPr>
        <w:spacing w:after="120" w:line="480" w:lineRule="auto"/>
        <w:jc w:val="both"/>
      </w:pPr>
      <w:r>
        <w:rPr>
          <w:rFonts w:ascii="Times New Roman" w:hAnsi="Times New Roman" w:eastAsia="Times New Roman" w:cs="Times New Roman"/>
          <w:sz w:val="24"/>
          <w:szCs w:val="24"/>
        </w:rPr>
        <w:t>A disciplined discussion must consider threats to the validity of the conclusions. The principal threat to internal validity is that the acoustic thresholds and the preliminary classification figures were obtained on the available DAIC-WOZ participants without a cleanly separated held-out set, so the reported figures may be optimistic and must be read as preliminary. The principal threat to construct validity is the use of PHQ-8 as the reference: PHQ-8 is a screening instrument, not a diagnosis, so a system calibrated against it is learning to track screening status, not clinical depression. The principal threat to the explainability claim is that the 100% Graph-RAG path precision is measured against a project-defined relevance criterion and reflects structural consistency rather than clinical correctness. Finally, external validity is limited by the dataset itself: features derived from one corpus, under one recording and preprocessing regime, may not transfer to other populations, languages, or equipment. Naming these threats explicitly is not a weakness of the work; it is part of the cautious reporting the system is designed to embody, and each threat maps onto a concrete item of future work in Chapter 10.</w:t>
      </w:r>
    </w:p>
    <w:p w14:paraId="60AA891A">
      <w:r>
        <w:br w:type="page"/>
      </w:r>
    </w:p>
    <w:p w14:paraId="77DB03A0">
      <w:pPr>
        <w:pStyle w:val="2"/>
        <w:keepNext/>
        <w:spacing w:before="360" w:after="200"/>
      </w:pPr>
      <w:r>
        <w:t>9  Ethical and Clinical Considerations</w:t>
      </w:r>
    </w:p>
    <w:p w14:paraId="05C33D2E">
      <w:pPr>
        <w:spacing w:after="120" w:line="480" w:lineRule="auto"/>
        <w:jc w:val="both"/>
      </w:pPr>
      <w:r>
        <w:rPr>
          <w:rFonts w:ascii="Times New Roman" w:hAnsi="Times New Roman" w:eastAsia="Times New Roman" w:cs="Times New Roman"/>
          <w:sz w:val="24"/>
          <w:szCs w:val="24"/>
        </w:rPr>
        <w:t>Because the system operates in a mental-health context, ethical and clinical considerations are not an afterthought but a design constraint that shapes the architecture, the graph vocabulary, and the reporting. This chapter sets out the principal considerations and the ways the system responds to them.</w:t>
      </w:r>
    </w:p>
    <w:p w14:paraId="6B63209D">
      <w:pPr>
        <w:pStyle w:val="3"/>
        <w:keepNext/>
        <w:spacing w:before="280" w:after="140"/>
      </w:pPr>
      <w:r>
        <w:t>9.1  Not a Diagnostic Tool</w:t>
      </w:r>
    </w:p>
    <w:p w14:paraId="42E94A9C">
      <w:pPr>
        <w:spacing w:after="120" w:line="480" w:lineRule="auto"/>
        <w:jc w:val="both"/>
      </w:pPr>
      <w:r>
        <w:rPr>
          <w:rFonts w:ascii="Times New Roman" w:hAnsi="Times New Roman" w:eastAsia="Times New Roman" w:cs="Times New Roman"/>
          <w:sz w:val="24"/>
          <w:szCs w:val="24"/>
        </w:rPr>
        <w:t>The system must not be presented as a diagnostic tool. Diagnosing depression or anxiety requires clinical assessment, patient history, context, and professional judgement, none of which a speech-analysis prototype possesses. Speech features can be affected by numerous non-clinical factors, including microphone quality, language, fatigue, personality, medication, and the specifics of the interview. The safer and accurate framing is that the system provides screening support and explanation support: it can report that a recording contains speech patterns that, in this dataset and under this preprocessing pipeline, are associated with PHQ-8 screening status, and it can explain those patterns through graph paths. It must not state that a person has depression on the basis of a voice feature.</w:t>
      </w:r>
    </w:p>
    <w:p w14:paraId="613D25E9">
      <w:pPr>
        <w:pStyle w:val="3"/>
        <w:keepNext/>
        <w:spacing w:before="280" w:after="140"/>
      </w:pPr>
      <w:r>
        <w:t>9.2  Preserving Uncertainty in Every Report</w:t>
      </w:r>
    </w:p>
    <w:p w14:paraId="51118FD4">
      <w:pPr>
        <w:spacing w:after="120" w:line="480" w:lineRule="auto"/>
        <w:jc w:val="both"/>
      </w:pPr>
      <w:r>
        <w:rPr>
          <w:rFonts w:ascii="Times New Roman" w:hAnsi="Times New Roman" w:eastAsia="Times New Roman" w:cs="Times New Roman"/>
          <w:sz w:val="24"/>
          <w:szCs w:val="24"/>
        </w:rPr>
        <w:t>This non-diagnostic stance is not left to disclaimers alone; it is embedded in the system. The cautious edge vocabulary of the graph ensures that even a literal reading of a retrieved path remains hedged. The deterministic summary states findings as associations rather than conclusions. The persona design requires patient-facing reports to avoid alarming language and to state explicitly that the result is not a diagnosis, while psychologist-facing reports, though more technical, still mark uncertainty clearly. Preserving uncertainty is treated as a first-class requirement of a correct report, not as a stylistic preference.</w:t>
      </w:r>
    </w:p>
    <w:p w14:paraId="3F658A86">
      <w:pPr>
        <w:pStyle w:val="3"/>
        <w:keepNext/>
        <w:spacing w:before="280" w:after="140"/>
      </w:pPr>
      <w:r>
        <w:t>9.3  Privacy and Local Processing</w:t>
      </w:r>
    </w:p>
    <w:p w14:paraId="45AFB5BD">
      <w:pPr>
        <w:spacing w:after="120" w:line="480" w:lineRule="auto"/>
        <w:jc w:val="both"/>
      </w:pPr>
      <w:r>
        <w:rPr>
          <w:rFonts w:ascii="Times New Roman" w:hAnsi="Times New Roman" w:eastAsia="Times New Roman" w:cs="Times New Roman"/>
          <w:sz w:val="24"/>
          <w:szCs w:val="24"/>
        </w:rPr>
        <w:t>Mental-health data are sensitive, and the findings derived from a person's speech are themselves sensitive. The decision to run the language model locally through Ollama, rather than calling a remote service, is motivated partly by this concern: audio-derived findings need not leave the local machine for the narrative to be generated. More broadly, the system is designed to keep the sensitive evidence chain self-contained and auditable, which supports responsible handling of the data it processes.</w:t>
      </w:r>
    </w:p>
    <w:p w14:paraId="15537A96">
      <w:pPr>
        <w:pStyle w:val="3"/>
        <w:keepNext/>
        <w:spacing w:before="280" w:after="140"/>
      </w:pPr>
      <w:r>
        <w:t>9.4  Responsible Communication of Results</w:t>
      </w:r>
    </w:p>
    <w:p w14:paraId="3E8DA4E7">
      <w:pPr>
        <w:spacing w:after="120" w:line="480" w:lineRule="auto"/>
        <w:jc w:val="both"/>
      </w:pPr>
      <w:r>
        <w:rPr>
          <w:rFonts w:ascii="Times New Roman" w:hAnsi="Times New Roman" w:eastAsia="Times New Roman" w:cs="Times New Roman"/>
          <w:sz w:val="24"/>
          <w:szCs w:val="24"/>
        </w:rPr>
        <w:t>Finally, the project takes care in how results are communicated, both to end users of a report and in the thesis itself. The explicit statement in Chapter 7 of what the evaluation does and does not establish is an instance of this principle. Reporting a headline accuracy without its caveats, or describing a deterministic rubric score as human feedback, would misrepresent the work; avoiding such overstatement is an ethical as well as a scientific obligation.</w:t>
      </w:r>
    </w:p>
    <w:p w14:paraId="30AC64B0">
      <w:pPr>
        <w:pStyle w:val="3"/>
        <w:keepNext/>
        <w:spacing w:before="280" w:after="140"/>
      </w:pPr>
      <w:r>
        <w:t>9.5  Data Governance and Consent</w:t>
      </w:r>
    </w:p>
    <w:p w14:paraId="14716826">
      <w:pPr>
        <w:spacing w:after="120" w:line="480" w:lineRule="auto"/>
        <w:jc w:val="both"/>
      </w:pPr>
      <w:r>
        <w:rPr>
          <w:rFonts w:ascii="Times New Roman" w:hAnsi="Times New Roman" w:eastAsia="Times New Roman" w:cs="Times New Roman"/>
          <w:sz w:val="24"/>
          <w:szCs w:val="24"/>
        </w:rPr>
        <w:t>Although this project uses an established research corpus rather than freshly collected data, the governance considerations that would apply to deployment deserve statement, because they shape how the system should be understood. Any future use on real participants would require informed consent that is specific about what is recorded, how speech-derived findings are stored, and how long they are retained; participants would need to understand that the output is screening support and not a diagnosis. Access to recordings and derived findings should be restricted, and the local-processing design is intended to support this by keeping sensitive findings on the processing machine rather than transmitting them to a third party. The structured, auditable report format also serves governance, because it makes it possible to show exactly what evidence underlay any given output — a property that matters if a person ever wishes to contest or understand a result. These considerations are not yet operationalised in the prototype, and doing so responsibly is part of the work required before any move beyond research use.</w:t>
      </w:r>
    </w:p>
    <w:p w14:paraId="0D2D4F03">
      <w:r>
        <w:br w:type="page"/>
      </w:r>
    </w:p>
    <w:p w14:paraId="19455A15">
      <w:pPr>
        <w:pStyle w:val="2"/>
        <w:keepNext/>
        <w:spacing w:before="360" w:after="200"/>
      </w:pPr>
      <w:r>
        <w:t>10  Limitations and Future Work</w:t>
      </w:r>
    </w:p>
    <w:p w14:paraId="7DCD318F">
      <w:pPr>
        <w:pStyle w:val="3"/>
        <w:keepNext/>
        <w:spacing w:before="280" w:after="140"/>
      </w:pPr>
      <w:r>
        <w:t>10.1  Limitations</w:t>
      </w:r>
    </w:p>
    <w:p w14:paraId="7EB97B1E">
      <w:pPr>
        <w:spacing w:after="120" w:line="480" w:lineRule="auto"/>
        <w:jc w:val="both"/>
      </w:pPr>
      <w:r>
        <w:rPr>
          <w:rFonts w:ascii="Times New Roman" w:hAnsi="Times New Roman" w:eastAsia="Times New Roman" w:cs="Times New Roman"/>
          <w:sz w:val="24"/>
          <w:szCs w:val="24"/>
        </w:rPr>
        <w:t>The limitations of the current work can be grouped into measurement, data, graph, evaluation, and generation concerns. On measurement, the jitter proxy is derived from F0 instability rather than measured under a clinical protocol, and the MFCCs are computed with a lightweight implementation that may differ from standard toolkits. On data, calibration uses the locally available DAIC-WOZ participants and has not yet been validated on a cleanly separated held-out set, so the reported figures should be read as preliminary. On the graph, the current structure is manually curated and would benefit from review by a clinical expert. On evaluation, the aggregate figures lack confidence intervals and cross-validation, the Graph-RAG precision is measured against a project-defined relevance criterion, and no human user study has been conducted; any qualitative score to date is from a deterministic mock rubric. On generation, the local language model can introduce unsupported wording if prompts are insufficiently constrained, which is why evidence and narrative are stored separately for audit.</w:t>
      </w:r>
    </w:p>
    <w:p w14:paraId="21F23D15">
      <w:pPr>
        <w:pStyle w:val="3"/>
        <w:keepNext/>
        <w:spacing w:before="280" w:after="140"/>
      </w:pPr>
      <w:r>
        <w:t>10.2  Future Work</w:t>
      </w:r>
    </w:p>
    <w:p w14:paraId="77C91E99">
      <w:pPr>
        <w:spacing w:after="120" w:line="480" w:lineRule="auto"/>
        <w:jc w:val="both"/>
      </w:pPr>
      <w:r>
        <w:rPr>
          <w:rFonts w:ascii="Times New Roman" w:hAnsi="Times New Roman" w:eastAsia="Times New Roman" w:cs="Times New Roman"/>
          <w:sz w:val="24"/>
          <w:szCs w:val="24"/>
        </w:rPr>
        <w:t>The next development stage should focus on strengthening the agentic reporting and the evaluation pipeline. The planned work includes six items:</w:t>
      </w:r>
    </w:p>
    <w:p w14:paraId="347246D3">
      <w:pPr>
        <w:pStyle w:val="16"/>
        <w:numPr>
          <w:ilvl w:val="0"/>
          <w:numId w:val="2"/>
        </w:numPr>
        <w:spacing w:after="120" w:line="480" w:lineRule="auto"/>
        <w:jc w:val="both"/>
      </w:pPr>
      <w:r>
        <w:rPr>
          <w:rFonts w:ascii="Times New Roman" w:hAnsi="Times New Roman" w:eastAsia="Times New Roman" w:cs="Times New Roman"/>
          <w:sz w:val="24"/>
          <w:szCs w:val="24"/>
        </w:rPr>
        <w:t>Add a LangGraph-style orchestrator to make the Analyzer → Retriever → Reporter flow explicit and to manage control flow between components.</w:t>
      </w:r>
    </w:p>
    <w:p w14:paraId="3134D484">
      <w:pPr>
        <w:pStyle w:val="16"/>
        <w:numPr>
          <w:ilvl w:val="0"/>
          <w:numId w:val="2"/>
        </w:numPr>
        <w:spacing w:after="120" w:line="480" w:lineRule="auto"/>
        <w:jc w:val="both"/>
      </w:pPr>
      <w:r>
        <w:rPr>
          <w:rFonts w:ascii="Times New Roman" w:hAnsi="Times New Roman" w:eastAsia="Times New Roman" w:cs="Times New Roman"/>
          <w:sz w:val="24"/>
          <w:szCs w:val="24"/>
        </w:rPr>
        <w:t>Improve the psychologist and patient report prompts through systematic prompt testing, so that persona-appropriate language is produced reliably.</w:t>
      </w:r>
    </w:p>
    <w:p w14:paraId="50337B93">
      <w:pPr>
        <w:pStyle w:val="16"/>
        <w:numPr>
          <w:ilvl w:val="0"/>
          <w:numId w:val="2"/>
        </w:numPr>
        <w:spacing w:after="120" w:line="480" w:lineRule="auto"/>
        <w:jc w:val="both"/>
      </w:pPr>
      <w:r>
        <w:rPr>
          <w:rFonts w:ascii="Times New Roman" w:hAnsi="Times New Roman" w:eastAsia="Times New Roman" w:cs="Times New Roman"/>
          <w:sz w:val="24"/>
          <w:szCs w:val="24"/>
        </w:rPr>
        <w:t>Add longitudinal context from simulated previous weeks, so that the system can reason about change over time rather than from a single session.</w:t>
      </w:r>
    </w:p>
    <w:p w14:paraId="15DE07A6">
      <w:pPr>
        <w:pStyle w:val="16"/>
        <w:numPr>
          <w:ilvl w:val="0"/>
          <w:numId w:val="2"/>
        </w:numPr>
        <w:spacing w:after="120" w:line="480" w:lineRule="auto"/>
        <w:jc w:val="both"/>
      </w:pPr>
      <w:r>
        <w:rPr>
          <w:rFonts w:ascii="Times New Roman" w:hAnsi="Times New Roman" w:eastAsia="Times New Roman" w:cs="Times New Roman"/>
          <w:sz w:val="24"/>
          <w:szCs w:val="24"/>
        </w:rPr>
        <w:t>Compare Graph-RAG reports with vector-RAG and LLM-only baselines, using equivalent retrieval units and matched relevance judgements.</w:t>
      </w:r>
    </w:p>
    <w:p w14:paraId="090297A7">
      <w:pPr>
        <w:pStyle w:val="16"/>
        <w:numPr>
          <w:ilvl w:val="0"/>
          <w:numId w:val="2"/>
        </w:numPr>
        <w:spacing w:after="120" w:line="480" w:lineRule="auto"/>
        <w:jc w:val="both"/>
      </w:pPr>
      <w:r>
        <w:rPr>
          <w:rFonts w:ascii="Times New Roman" w:hAnsi="Times New Roman" w:eastAsia="Times New Roman" w:cs="Times New Roman"/>
          <w:sz w:val="24"/>
          <w:szCs w:val="24"/>
        </w:rPr>
        <w:t>Evaluate explanation quality against criteria such as clarity, traceability, usefulness, hallucination risk, and audience fit.</w:t>
      </w:r>
    </w:p>
    <w:p w14:paraId="03D45CC5">
      <w:pPr>
        <w:pStyle w:val="16"/>
        <w:numPr>
          <w:ilvl w:val="0"/>
          <w:numId w:val="2"/>
        </w:numPr>
        <w:spacing w:after="120" w:line="480" w:lineRule="auto"/>
        <w:jc w:val="both"/>
      </w:pPr>
      <w:r>
        <w:rPr>
          <w:rFonts w:ascii="Times New Roman" w:hAnsi="Times New Roman" w:eastAsia="Times New Roman" w:cs="Times New Roman"/>
          <w:sz w:val="24"/>
          <w:szCs w:val="24"/>
        </w:rPr>
        <w:t>Add an automatic faithfulness check that compares the LLM report against the retrieved graph paths.</w:t>
      </w:r>
    </w:p>
    <w:p w14:paraId="07B3811C">
      <w:pPr>
        <w:spacing w:after="120" w:line="480" w:lineRule="auto"/>
        <w:jc w:val="both"/>
      </w:pPr>
      <w:r>
        <w:rPr>
          <w:rFonts w:ascii="Times New Roman" w:hAnsi="Times New Roman" w:eastAsia="Times New Roman" w:cs="Times New Roman"/>
          <w:sz w:val="24"/>
          <w:szCs w:val="24"/>
        </w:rPr>
        <w:t>The evaluation stage is especially important for the work's publication potential. A publishable paper should not only describe the architecture but demonstrate that graph-grounded explanations are better than a baseline on well-defined criteria. Achieving that will require the statistical rigour — confidence intervals, cross-validation or a separated test set, and matched comparison conditions — identified among the limitations above, together with at least a small human evaluation to replace the current mock rubric.</w:t>
      </w:r>
    </w:p>
    <w:p w14:paraId="7EF07B6D">
      <w:pPr>
        <w:pStyle w:val="3"/>
        <w:keepNext/>
        <w:spacing w:before="280" w:after="140"/>
      </w:pPr>
      <w:r>
        <w:t>10.3  Development Roadmap and Success Criteria</w:t>
      </w:r>
    </w:p>
    <w:p w14:paraId="77090FBA">
      <w:pPr>
        <w:spacing w:after="120" w:line="480" w:lineRule="auto"/>
        <w:jc w:val="both"/>
      </w:pPr>
      <w:r>
        <w:rPr>
          <w:rFonts w:ascii="Times New Roman" w:hAnsi="Times New Roman" w:eastAsia="Times New Roman" w:cs="Times New Roman"/>
          <w:sz w:val="24"/>
          <w:szCs w:val="24"/>
        </w:rPr>
        <w:t>The future work can be organised into three phases, each with an explicit success criterion so that progress can be judged rather than merely described. The first phase concerns rigour: it adds a cleanly separated held-out test set, cross-validation, and confidence intervals around the classification figures, and re-runs the Graph-RAG versus vector comparison with equivalent retrieval units and matched relevance judgements. Its success criterion is that the headline figures can be reported with uncertainty bounds and that the retrieval comparison rests on a defensible, matched protocol.</w:t>
      </w:r>
    </w:p>
    <w:p w14:paraId="7B94BBCE">
      <w:pPr>
        <w:spacing w:after="120" w:line="480" w:lineRule="auto"/>
        <w:jc w:val="both"/>
      </w:pPr>
      <w:r>
        <w:rPr>
          <w:rFonts w:ascii="Times New Roman" w:hAnsi="Times New Roman" w:eastAsia="Times New Roman" w:cs="Times New Roman"/>
          <w:sz w:val="24"/>
          <w:szCs w:val="24"/>
        </w:rPr>
        <w:t>The second phase concerns orchestration and reasoning: it introduces an explicit orchestrator for the Analyzer → Retriever → Reporter flow, adds a weighted aggregate screening-decision layer that weights markers by their calibrated discriminative value, and incorporates longitudinal context so the system can reason about change over time. Its success criterion is that the system produces a single, justified screening-support decision from multiple weighted markers rather than firing on any single match. The third phase concerns human evaluation: it replaces the deterministic mock rubric with assessment by real readers against criteria such as clarity, traceability, usefulness, hallucination risk, and audience fit, and adds an automatic faithfulness check comparing each narrative against its retrieved paths. Its success criterion is evidence, from people rather than a rubric, that graph-grounded explanations are clearer and more trustworthy than baseline explanations. Completing these three phases would move the work from a defensible prototype to a candidate for publication and, eventually, for supervised real-world evaluation.</w:t>
      </w:r>
    </w:p>
    <w:p w14:paraId="7F9327DD">
      <w:r>
        <w:br w:type="page"/>
      </w:r>
    </w:p>
    <w:p w14:paraId="0E95934F">
      <w:pPr>
        <w:pStyle w:val="2"/>
        <w:keepNext/>
        <w:spacing w:before="360" w:after="200"/>
      </w:pPr>
      <w:r>
        <w:t>11  Conclusion</w:t>
      </w:r>
    </w:p>
    <w:p w14:paraId="7FD778E4">
      <w:pPr>
        <w:spacing w:after="120" w:line="480" w:lineRule="auto"/>
        <w:jc w:val="both"/>
      </w:pPr>
      <w:r>
        <w:rPr>
          <w:rFonts w:ascii="Times New Roman" w:hAnsi="Times New Roman" w:eastAsia="Times New Roman" w:cs="Times New Roman"/>
          <w:sz w:val="24"/>
          <w:szCs w:val="24"/>
        </w:rPr>
        <w:t>The first three months of this thesis have produced a defensible, working prototype for explainable audio-biomarker reporting. The project now includes a feature-to-concept mapping grounded in the speech-depression literature, a lightweight Clinical Knowledge Graph implemented in JSON-LD and NetworkX, DAIC-WOZ PHQ-8-calibrated acoustic thresholds, graph-validation tooling, graph-path retrieval, a deterministic reporter, and a local Gemma/Ollama Reporter Agent. Together these components realise, at prototype scale, the agentic Graph-RAG framework proposed in the introduction.</w:t>
      </w:r>
    </w:p>
    <w:p w14:paraId="634B9E10">
      <w:pPr>
        <w:spacing w:after="120" w:line="480" w:lineRule="auto"/>
        <w:jc w:val="both"/>
      </w:pPr>
      <w:r>
        <w:rPr>
          <w:rFonts w:ascii="Times New Roman" w:hAnsi="Times New Roman" w:eastAsia="Times New Roman" w:cs="Times New Roman"/>
          <w:sz w:val="24"/>
          <w:szCs w:val="24"/>
        </w:rPr>
        <w:t>The key contribution at this stage is the shift from raw acoustic prediction toward traceable semantic reasoning and grounded narrative generation. Acoustic features are not treated as universal diagnostic markers; they are calibrated against a validated screening label and used as evidence nodes inside a graph, and the local language model is invoked only after retrieval, so that the narrative is tied to explicit graph evidence rather than to model memory alone. The calibration analysis is deliberately honest about the limited standalone power of individual features, and this honesty is turned into a positive argument for the graph-based explanatory design.</w:t>
      </w:r>
    </w:p>
    <w:p w14:paraId="75E367F0">
      <w:pPr>
        <w:spacing w:after="120" w:line="480" w:lineRule="auto"/>
        <w:jc w:val="both"/>
      </w:pPr>
      <w:r>
        <w:rPr>
          <w:rFonts w:ascii="Times New Roman" w:hAnsi="Times New Roman" w:eastAsia="Times New Roman" w:cs="Times New Roman"/>
          <w:sz w:val="24"/>
          <w:szCs w:val="24"/>
        </w:rPr>
        <w:t>The thesis remains, by design, a screening-support and explanation-support project rather than a diagnostic system. That limitation is not a weakness to be hidden but a boundary that makes the work responsible. The next stages should focus on stronger orchestration, longitudinal memory, rigorous baseline comparison, and empirical evaluation of explanation quality, including human assessment. If those stages are completed with appropriate statistical rigour and expert review, the framework developed here has the potential to mature from a defensible prototype into a genuinely useful, and publishable, contribution to explainable mental-health AI.</w:t>
      </w:r>
    </w:p>
    <w:p w14:paraId="11ADD591">
      <w:pPr>
        <w:pStyle w:val="3"/>
        <w:keepNext/>
        <w:spacing w:before="280" w:after="140"/>
      </w:pPr>
      <w:r>
        <w:t>11.1  Concluding Remarks</w:t>
      </w:r>
    </w:p>
    <w:p w14:paraId="72A0F41A">
      <w:pPr>
        <w:spacing w:after="120" w:line="480" w:lineRule="auto"/>
        <w:jc w:val="both"/>
      </w:pPr>
      <w:r>
        <w:rPr>
          <w:rFonts w:ascii="Times New Roman" w:hAnsi="Times New Roman" w:eastAsia="Times New Roman" w:cs="Times New Roman"/>
          <w:sz w:val="24"/>
          <w:szCs w:val="24"/>
        </w:rPr>
        <w:t>Three themes run through this report and are worth restating in closing. The first is honesty about evidence: the system is built on the acknowledgement that acoustic features are weak and confoundable, and it turns that acknowledgement into a design principle rather than hiding it behind a headline accuracy. The second is traceability: every clinical statement the system makes can be followed back through a retrieved graph path, a calibrated threshold, and a measured feature, which is what distinguishes explanation from mere prediction. The third is caution by construction: the non-diagnostic stance is embedded in the graph vocabulary, the deterministic summary, and the persona design, so that it cannot be lost in generation.</w:t>
      </w:r>
    </w:p>
    <w:p w14:paraId="0A2469EC">
      <w:pPr>
        <w:spacing w:after="120" w:line="480" w:lineRule="auto"/>
        <w:jc w:val="both"/>
      </w:pPr>
      <w:r>
        <w:rPr>
          <w:rFonts w:ascii="Times New Roman" w:hAnsi="Times New Roman" w:eastAsia="Times New Roman" w:cs="Times New Roman"/>
          <w:sz w:val="24"/>
          <w:szCs w:val="24"/>
        </w:rPr>
        <w:t>Taken together, these themes describe a modest but genuine contribution. The work does not claim to detect depression from a voice, and it is careful to say so. What it offers instead is a way to make the reasoning of a speech-based screening-support tool visible, auditable, and expressible in language appropriate to its audience. That is a worthwhile foundation, and it is the foundation on which the evaluation and orchestration work of the coming months is intended to build.</w:t>
      </w:r>
    </w:p>
    <w:p w14:paraId="35C642FA">
      <w:r>
        <w:br w:type="page"/>
      </w:r>
    </w:p>
    <w:p w14:paraId="1E4D171E">
      <w:pPr>
        <w:pStyle w:val="2"/>
        <w:keepNext/>
        <w:spacing w:before="360" w:after="200"/>
      </w:pPr>
      <w:r>
        <w:t>References</w:t>
      </w:r>
    </w:p>
    <w:p w14:paraId="33704621">
      <w:pPr>
        <w:spacing w:after="160" w:line="480" w:lineRule="auto"/>
        <w:ind w:left="360" w:hanging="360"/>
        <w:jc w:val="both"/>
      </w:pPr>
      <w:r>
        <w:rPr>
          <w:rFonts w:ascii="Times New Roman" w:hAnsi="Times New Roman" w:eastAsia="Times New Roman" w:cs="Times New Roman"/>
          <w:sz w:val="24"/>
          <w:szCs w:val="24"/>
        </w:rPr>
        <w:t>Al Hanai, T., Ghassemi, M., &amp; Glass, J. (2018). Detecting depression with audio/text sequence modeling of interviews. Interspeech 2018, 1716–1720.</w:t>
      </w:r>
    </w:p>
    <w:p w14:paraId="6D36C7DC">
      <w:pPr>
        <w:spacing w:after="160" w:line="480" w:lineRule="auto"/>
        <w:ind w:left="360" w:hanging="360"/>
        <w:jc w:val="both"/>
      </w:pPr>
      <w:r>
        <w:rPr>
          <w:rFonts w:ascii="Times New Roman" w:hAnsi="Times New Roman" w:eastAsia="Times New Roman" w:cs="Times New Roman"/>
          <w:sz w:val="24"/>
          <w:szCs w:val="24"/>
        </w:rPr>
        <w:t>Asai, A., Wu, Z., Wang, Y., Sil, A., &amp; Hajishirzi, H. (2023). Self-RAG: Learning to retrieve, generate, and critique through self-reflection. arXiv:2310.11511.</w:t>
      </w:r>
    </w:p>
    <w:p w14:paraId="3DEBD00F">
      <w:pPr>
        <w:spacing w:after="160" w:line="480" w:lineRule="auto"/>
        <w:ind w:left="360" w:hanging="360"/>
        <w:jc w:val="both"/>
      </w:pPr>
      <w:r>
        <w:rPr>
          <w:rFonts w:ascii="Times New Roman" w:hAnsi="Times New Roman" w:eastAsia="Times New Roman" w:cs="Times New Roman"/>
          <w:sz w:val="24"/>
          <w:szCs w:val="24"/>
        </w:rPr>
        <w:t>Cummins, N., Scherer, S., Krajewski, J., Schnieder, S., Epps, J., &amp; Quatieri, T. F. (2015). A review of depression and suicide risk assessment using speech analysis. Speech Communication, 71, 10–49.</w:t>
      </w:r>
    </w:p>
    <w:p w14:paraId="0AD53DBB">
      <w:pPr>
        <w:spacing w:after="160" w:line="480" w:lineRule="auto"/>
        <w:ind w:left="360" w:hanging="360"/>
        <w:jc w:val="both"/>
      </w:pPr>
      <w:r>
        <w:rPr>
          <w:rFonts w:ascii="Times New Roman" w:hAnsi="Times New Roman" w:eastAsia="Times New Roman" w:cs="Times New Roman"/>
          <w:sz w:val="24"/>
          <w:szCs w:val="24"/>
        </w:rPr>
        <w:t>Degottex, G., Kane, J., Drugman, T., Raitio, T., &amp; Scherer, S. (2014). COVAREP — A collaborative voice analysis repository for speech technologies. ICASSP 2014, 960–964.</w:t>
      </w:r>
    </w:p>
    <w:p w14:paraId="3F7E65BA">
      <w:pPr>
        <w:spacing w:after="160" w:line="480" w:lineRule="auto"/>
        <w:ind w:left="360" w:hanging="360"/>
        <w:jc w:val="both"/>
      </w:pPr>
      <w:r>
        <w:rPr>
          <w:rFonts w:ascii="Times New Roman" w:hAnsi="Times New Roman" w:eastAsia="Times New Roman" w:cs="Times New Roman"/>
          <w:sz w:val="24"/>
          <w:szCs w:val="24"/>
        </w:rPr>
        <w:t>Eyben, F., Wöllmer, M., &amp; Schuller, B. (2010). openSMILE — The Munich versatile and fast open-source audio feature extractor. Proceedings of ACM Multimedia 2010, 1459–1462.</w:t>
      </w:r>
    </w:p>
    <w:p w14:paraId="41B338B0">
      <w:pPr>
        <w:spacing w:after="160" w:line="480" w:lineRule="auto"/>
        <w:ind w:left="360" w:hanging="360"/>
        <w:jc w:val="both"/>
      </w:pPr>
      <w:r>
        <w:rPr>
          <w:rFonts w:ascii="Times New Roman" w:hAnsi="Times New Roman" w:eastAsia="Times New Roman" w:cs="Times New Roman"/>
          <w:sz w:val="24"/>
          <w:szCs w:val="24"/>
        </w:rPr>
        <w:t>Google DeepMind. (2025). Gemma 3 model card. Google AI for Developers.</w:t>
      </w:r>
    </w:p>
    <w:p w14:paraId="00BA3645">
      <w:pPr>
        <w:spacing w:after="160" w:line="480" w:lineRule="auto"/>
        <w:ind w:left="360" w:hanging="360"/>
        <w:jc w:val="both"/>
      </w:pPr>
      <w:r>
        <w:rPr>
          <w:rFonts w:ascii="Times New Roman" w:hAnsi="Times New Roman" w:eastAsia="Times New Roman" w:cs="Times New Roman"/>
          <w:sz w:val="24"/>
          <w:szCs w:val="24"/>
        </w:rPr>
        <w:t>Gratch, J., Artstein, R., Lucas, G., Stratou, G., Scherer, S., Nazarian, A., Wood, R., Boberg, J., DeVault, D., Marsella, S., Traum, D., Rizzo, S., &amp; Morency, L.-P. (2014). The Distress Analysis Interview Corpus of human and computer interviews. Proceedings of LREC 2014, 3123–3128.</w:t>
      </w:r>
    </w:p>
    <w:p w14:paraId="41A5C2FF">
      <w:pPr>
        <w:spacing w:after="160" w:line="480" w:lineRule="auto"/>
        <w:ind w:left="360" w:hanging="360"/>
        <w:jc w:val="both"/>
      </w:pPr>
      <w:r>
        <w:rPr>
          <w:rFonts w:ascii="Times New Roman" w:hAnsi="Times New Roman" w:eastAsia="Times New Roman" w:cs="Times New Roman"/>
          <w:sz w:val="24"/>
          <w:szCs w:val="24"/>
        </w:rPr>
        <w:t>Holzinger, A., Biemann, C., Pattichis, C. S., &amp; Kell, D. B. (2017). What do we need to build explainable AI systems for the medical domain? arXiv:1712.09923.</w:t>
      </w:r>
    </w:p>
    <w:p w14:paraId="2EB4E8DC">
      <w:pPr>
        <w:spacing w:after="160" w:line="480" w:lineRule="auto"/>
        <w:ind w:left="360" w:hanging="360"/>
        <w:jc w:val="both"/>
      </w:pPr>
      <w:r>
        <w:rPr>
          <w:rFonts w:ascii="Times New Roman" w:hAnsi="Times New Roman" w:eastAsia="Times New Roman" w:cs="Times New Roman"/>
          <w:sz w:val="24"/>
          <w:szCs w:val="24"/>
        </w:rPr>
        <w:t>Ji, Z., Lee, N., Frieske, R., Yu, T., Su, D., Xu, Y., Ishii, E., Bang, Y. J., Madotto, A., &amp; Fung, P. (2023). Survey of hallucination in natural language generation. ACM Computing Surveys, 55(12), Article 248.</w:t>
      </w:r>
    </w:p>
    <w:p w14:paraId="2EC82E26">
      <w:pPr>
        <w:spacing w:after="160" w:line="480" w:lineRule="auto"/>
        <w:ind w:left="360" w:hanging="360"/>
        <w:jc w:val="both"/>
      </w:pPr>
      <w:r>
        <w:rPr>
          <w:rFonts w:ascii="Times New Roman" w:hAnsi="Times New Roman" w:eastAsia="Times New Roman" w:cs="Times New Roman"/>
          <w:sz w:val="24"/>
          <w:szCs w:val="24"/>
        </w:rPr>
        <w:t>Kroenke, K., Strine, T. W., Spitzer, R. L., Williams, J. B. W., Berry, J. T., &amp; Mokdad, A. H. (2009). The PHQ-8 as a measure of current depression in the general population. Journal of Affective Disorders, 114(1–3), 163–173.</w:t>
      </w:r>
    </w:p>
    <w:p w14:paraId="56AE55FF">
      <w:pPr>
        <w:spacing w:after="160" w:line="480" w:lineRule="auto"/>
        <w:ind w:left="360" w:hanging="360"/>
        <w:jc w:val="both"/>
      </w:pPr>
      <w:r>
        <w:rPr>
          <w:rFonts w:ascii="Times New Roman" w:hAnsi="Times New Roman" w:eastAsia="Times New Roman" w:cs="Times New Roman"/>
          <w:sz w:val="24"/>
          <w:szCs w:val="24"/>
        </w:rPr>
        <w:t>Lewis, P., Perez, E., Piktus, A., Petroni, F., Karpukhin, V., Goyal, N., Küttler, H., Lewis, M., Yih, W.-T., Rocktäschel, T., Riedel, S., &amp; Kiela, D. (2020). Retrieval-augmented generation for knowledge-intensive NLP tasks. Advances in Neural Information Processing Systems 33.</w:t>
      </w:r>
    </w:p>
    <w:p w14:paraId="7669A6C6">
      <w:pPr>
        <w:spacing w:after="160" w:line="480" w:lineRule="auto"/>
        <w:ind w:left="360" w:hanging="360"/>
        <w:jc w:val="both"/>
      </w:pPr>
      <w:r>
        <w:rPr>
          <w:rFonts w:ascii="Times New Roman" w:hAnsi="Times New Roman" w:eastAsia="Times New Roman" w:cs="Times New Roman"/>
          <w:sz w:val="24"/>
          <w:szCs w:val="24"/>
        </w:rPr>
        <w:t>Low, D. M., Bentley, K. H., &amp; Ghosh, S. S. (2020). Automated assessment of psychiatric disorders using speech: A systematic review. Laryngoscope Investigative Otolaryngology, 5, 96–116.</w:t>
      </w:r>
    </w:p>
    <w:p w14:paraId="1DBEB998">
      <w:pPr>
        <w:spacing w:after="160" w:line="480" w:lineRule="auto"/>
        <w:ind w:left="360" w:hanging="360"/>
        <w:jc w:val="both"/>
      </w:pPr>
      <w:r>
        <w:rPr>
          <w:rFonts w:ascii="Times New Roman" w:hAnsi="Times New Roman" w:eastAsia="Times New Roman" w:cs="Times New Roman"/>
          <w:sz w:val="24"/>
          <w:szCs w:val="24"/>
        </w:rPr>
        <w:t>Lundberg, S. M., &amp; Lee, S.-I. (2017). A unified approach to interpreting model predictions. Advances in Neural Information Processing Systems 30.</w:t>
      </w:r>
    </w:p>
    <w:p w14:paraId="4687D4FD">
      <w:pPr>
        <w:spacing w:after="160" w:line="480" w:lineRule="auto"/>
        <w:ind w:left="360" w:hanging="360"/>
        <w:jc w:val="both"/>
      </w:pPr>
      <w:r>
        <w:rPr>
          <w:rFonts w:ascii="Times New Roman" w:hAnsi="Times New Roman" w:eastAsia="Times New Roman" w:cs="Times New Roman"/>
          <w:sz w:val="24"/>
          <w:szCs w:val="24"/>
        </w:rPr>
        <w:t>McFee, B., Raffel, C., Liang, D., Ellis, D. P. W., McVicar, M., Battenberg, E., &amp; Nieto, O. (2015). librosa: Audio and music signal analysis in Python. Proceedings of the 14th Python in Science Conference, 18–25.</w:t>
      </w:r>
    </w:p>
    <w:p w14:paraId="4BACA32B">
      <w:pPr>
        <w:spacing w:after="160" w:line="480" w:lineRule="auto"/>
        <w:ind w:left="360" w:hanging="360"/>
        <w:jc w:val="both"/>
      </w:pPr>
      <w:r>
        <w:rPr>
          <w:rFonts w:ascii="Times New Roman" w:hAnsi="Times New Roman" w:eastAsia="Times New Roman" w:cs="Times New Roman"/>
          <w:sz w:val="24"/>
          <w:szCs w:val="24"/>
        </w:rPr>
        <w:t>Microsoft Research. (2024). GraphRAG: Unlocking LLM discovery on narrative private data. Microsoft Research Blog.</w:t>
      </w:r>
    </w:p>
    <w:p w14:paraId="0A1590F3">
      <w:pPr>
        <w:spacing w:after="160" w:line="480" w:lineRule="auto"/>
        <w:ind w:left="360" w:hanging="360"/>
        <w:jc w:val="both"/>
      </w:pPr>
      <w:r>
        <w:rPr>
          <w:rFonts w:ascii="Times New Roman" w:hAnsi="Times New Roman" w:eastAsia="Times New Roman" w:cs="Times New Roman"/>
          <w:sz w:val="24"/>
          <w:szCs w:val="24"/>
        </w:rPr>
        <w:t>Ollama. (n.d.). Ollama API documentation. Retrieved from https://docs.ollama.com/api/introduction.</w:t>
      </w:r>
    </w:p>
    <w:p w14:paraId="2088B695">
      <w:pPr>
        <w:spacing w:after="160" w:line="480" w:lineRule="auto"/>
        <w:ind w:left="360" w:hanging="360"/>
        <w:jc w:val="both"/>
      </w:pPr>
      <w:r>
        <w:rPr>
          <w:rFonts w:ascii="Times New Roman" w:hAnsi="Times New Roman" w:eastAsia="Times New Roman" w:cs="Times New Roman"/>
          <w:sz w:val="24"/>
          <w:szCs w:val="24"/>
        </w:rPr>
        <w:t>Ribeiro, M. T., Singh, S., &amp; Guestrin, C. (2016). “Why should I trust you?”: Explaining the predictions of any classifier. arXiv:1602.04938.</w:t>
      </w:r>
    </w:p>
    <w:p w14:paraId="5F7514A3">
      <w:pPr>
        <w:spacing w:after="160" w:line="480" w:lineRule="auto"/>
        <w:ind w:left="360" w:hanging="360"/>
        <w:jc w:val="both"/>
      </w:pPr>
      <w:r>
        <w:rPr>
          <w:rFonts w:ascii="Times New Roman" w:hAnsi="Times New Roman" w:eastAsia="Times New Roman" w:cs="Times New Roman"/>
          <w:sz w:val="24"/>
          <w:szCs w:val="24"/>
        </w:rPr>
        <w:t>Scherer, S., Stratou, G., Lucas, G., Mahmoud, M., Boberg, J., Gratch, J., Rizzo, A., &amp; Morency, L.-P. (2014). Automatic audiovisual behavior descriptors for psychological disorder analysis. Image and Vision Computing, 32(10), 648–658.</w:t>
      </w:r>
    </w:p>
    <w:p w14:paraId="58BD4B91">
      <w:pPr>
        <w:spacing w:after="160" w:line="480" w:lineRule="auto"/>
        <w:ind w:left="360" w:hanging="360"/>
        <w:jc w:val="both"/>
      </w:pPr>
      <w:r>
        <w:rPr>
          <w:rFonts w:ascii="Times New Roman" w:hAnsi="Times New Roman" w:eastAsia="Times New Roman" w:cs="Times New Roman"/>
          <w:sz w:val="24"/>
          <w:szCs w:val="24"/>
        </w:rPr>
        <w:t>Tjoa, E., &amp; Guan, C. (2021). A survey on explainable artificial intelligence (XAI): Toward medical XAI. IEEE Transactions on Neural Networks and Learning Systems, 32(11), 4793–4813.</w:t>
      </w:r>
    </w:p>
    <w:p w14:paraId="117A4130">
      <w:pPr>
        <w:spacing w:after="160" w:line="480" w:lineRule="auto"/>
        <w:ind w:left="360" w:hanging="360"/>
        <w:jc w:val="both"/>
      </w:pPr>
      <w:r>
        <w:rPr>
          <w:rFonts w:ascii="Times New Roman" w:hAnsi="Times New Roman" w:eastAsia="Times New Roman" w:cs="Times New Roman"/>
          <w:sz w:val="24"/>
          <w:szCs w:val="24"/>
        </w:rPr>
        <w:t>World Health Organization. (2023). Depressive disorder (depression) [Fact sheet]. Geneva: WHO.</w:t>
      </w:r>
    </w:p>
    <w:p w14:paraId="7B8CB543">
      <w:pPr>
        <w:spacing w:after="160" w:line="480" w:lineRule="auto"/>
        <w:ind w:left="360" w:hanging="360"/>
        <w:jc w:val="both"/>
      </w:pPr>
      <w:r>
        <w:rPr>
          <w:rFonts w:ascii="Times New Roman" w:hAnsi="Times New Roman" w:eastAsia="Times New Roman" w:cs="Times New Roman"/>
          <w:sz w:val="24"/>
          <w:szCs w:val="24"/>
        </w:rPr>
        <w:t>Yao, S., Zhao, J., Yu, D., Du, N., Shafran, I., Narasimhan, K., &amp; Cao, Y. (2022). ReAct: Synergizing reasoning and acting in language models. arXiv:2210.03629.</w:t>
      </w:r>
    </w:p>
    <w:p w14:paraId="1C8CB78A">
      <w:pPr>
        <w:spacing w:after="160" w:line="480" w:lineRule="auto"/>
        <w:ind w:left="360" w:hanging="360"/>
        <w:jc w:val="both"/>
      </w:pPr>
      <w:r>
        <w:rPr>
          <w:rFonts w:ascii="Times New Roman" w:hAnsi="Times New Roman" w:eastAsia="Times New Roman" w:cs="Times New Roman"/>
          <w:sz w:val="24"/>
          <w:szCs w:val="24"/>
        </w:rPr>
        <w:t>Youden, W. J. (1950). Index for rating diagnostic tests. Cancer, 3(1), 32–35.</w:t>
      </w:r>
    </w:p>
    <w:p w14:paraId="3925C76E">
      <w:r>
        <w:br w:type="page"/>
      </w:r>
    </w:p>
    <w:p w14:paraId="20EEF42F">
      <w:pPr>
        <w:pStyle w:val="2"/>
        <w:keepNext/>
        <w:spacing w:before="360" w:after="200"/>
      </w:pPr>
      <w:r>
        <w:t>Appendix A  Calibrated Threshold Details</w:t>
      </w:r>
    </w:p>
    <w:p w14:paraId="13598B78">
      <w:pPr>
        <w:spacing w:after="120" w:line="480" w:lineRule="auto"/>
        <w:jc w:val="both"/>
      </w:pPr>
      <w:r>
        <w:rPr>
          <w:rFonts w:ascii="Times New Roman" w:hAnsi="Times New Roman" w:eastAsia="Times New Roman" w:cs="Times New Roman"/>
          <w:sz w:val="24"/>
          <w:szCs w:val="24"/>
        </w:rPr>
        <w:t>Table A.1 reproduces the calibrated acoustic operating thresholds together with their direction, sample size, and discriminative statistics. Each threshold was selected to maximise Youden's J statistic (J = sensitivity + specificity − 1) against the PHQ-8 ≥ 10 screening reference. For every threshold the calibrated graph additionally stores calibration metadata: the calibration source, the reference label, the sample size, and the sensitivity, specificity, and Youden's J value, so that each operating point is fully traceable.</w:t>
      </w:r>
    </w:p>
    <w:p w14:paraId="6C5145A9">
      <w:pPr>
        <w:keepNext/>
        <w:spacing w:before="120"/>
      </w:pPr>
    </w:p>
    <w:tbl>
      <w:tblPr>
        <w:tblStyle w:val="9"/>
        <w:tblW w:w="8300" w:type="dxa"/>
        <w:tblInd w:w="0" w:type="dxa"/>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Layout w:type="autofit"/>
        <w:tblCellMar>
          <w:top w:w="0" w:type="dxa"/>
          <w:left w:w="10" w:type="dxa"/>
          <w:bottom w:w="0" w:type="dxa"/>
          <w:right w:w="10" w:type="dxa"/>
        </w:tblCellMar>
      </w:tblPr>
      <w:tblGrid>
        <w:gridCol w:w="2074"/>
        <w:gridCol w:w="1180"/>
        <w:gridCol w:w="636"/>
        <w:gridCol w:w="1157"/>
        <w:gridCol w:w="518"/>
        <w:gridCol w:w="736"/>
        <w:gridCol w:w="736"/>
        <w:gridCol w:w="1263"/>
      </w:tblGrid>
      <w:tr w14:paraId="2634F916">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rPr>
          <w:tblHeader/>
        </w:trPr>
        <w:tc>
          <w:tcPr>
            <w:tcW w:w="2100" w:type="dxa"/>
            <w:shd w:val="clear" w:color="auto" w:fill="2B6CB0"/>
            <w:tcMar>
              <w:top w:w="40" w:type="dxa"/>
              <w:left w:w="80" w:type="dxa"/>
              <w:bottom w:w="40" w:type="dxa"/>
              <w:right w:w="80" w:type="dxa"/>
            </w:tcMar>
          </w:tcPr>
          <w:p w14:paraId="0E5A3ADB">
            <w:pPr>
              <w:jc w:val="center"/>
            </w:pPr>
            <w:r>
              <w:rPr>
                <w:rFonts w:ascii="Times New Roman" w:hAnsi="Times New Roman" w:eastAsia="Times New Roman" w:cs="Times New Roman"/>
                <w:b/>
                <w:bCs/>
                <w:color w:val="FFFFFF"/>
                <w:sz w:val="18"/>
                <w:szCs w:val="18"/>
              </w:rPr>
              <w:t>Biomarker</w:t>
            </w:r>
          </w:p>
        </w:tc>
        <w:tc>
          <w:tcPr>
            <w:tcW w:w="1120" w:type="dxa"/>
            <w:shd w:val="clear" w:color="auto" w:fill="2B6CB0"/>
            <w:tcMar>
              <w:top w:w="40" w:type="dxa"/>
              <w:left w:w="80" w:type="dxa"/>
              <w:bottom w:w="40" w:type="dxa"/>
              <w:right w:w="80" w:type="dxa"/>
            </w:tcMar>
          </w:tcPr>
          <w:p w14:paraId="29E702E3">
            <w:pPr>
              <w:jc w:val="center"/>
            </w:pPr>
            <w:r>
              <w:rPr>
                <w:rFonts w:ascii="Times New Roman" w:hAnsi="Times New Roman" w:eastAsia="Times New Roman" w:cs="Times New Roman"/>
                <w:b/>
                <w:bCs/>
                <w:color w:val="FFFFFF"/>
                <w:sz w:val="18"/>
                <w:szCs w:val="18"/>
              </w:rPr>
              <w:t>Feature</w:t>
            </w:r>
          </w:p>
        </w:tc>
        <w:tc>
          <w:tcPr>
            <w:tcW w:w="640" w:type="dxa"/>
            <w:shd w:val="clear" w:color="auto" w:fill="2B6CB0"/>
            <w:tcMar>
              <w:top w:w="40" w:type="dxa"/>
              <w:left w:w="80" w:type="dxa"/>
              <w:bottom w:w="40" w:type="dxa"/>
              <w:right w:w="80" w:type="dxa"/>
            </w:tcMar>
          </w:tcPr>
          <w:p w14:paraId="0BE3E544">
            <w:pPr>
              <w:jc w:val="center"/>
            </w:pPr>
            <w:r>
              <w:rPr>
                <w:rFonts w:ascii="Times New Roman" w:hAnsi="Times New Roman" w:eastAsia="Times New Roman" w:cs="Times New Roman"/>
                <w:b/>
                <w:bCs/>
                <w:color w:val="FFFFFF"/>
                <w:sz w:val="18"/>
                <w:szCs w:val="18"/>
              </w:rPr>
              <w:t>Dir.</w:t>
            </w:r>
          </w:p>
        </w:tc>
        <w:tc>
          <w:tcPr>
            <w:tcW w:w="1160" w:type="dxa"/>
            <w:shd w:val="clear" w:color="auto" w:fill="2B6CB0"/>
            <w:tcMar>
              <w:top w:w="40" w:type="dxa"/>
              <w:left w:w="80" w:type="dxa"/>
              <w:bottom w:w="40" w:type="dxa"/>
              <w:right w:w="80" w:type="dxa"/>
            </w:tcMar>
          </w:tcPr>
          <w:p w14:paraId="7B10121F">
            <w:pPr>
              <w:jc w:val="center"/>
            </w:pPr>
            <w:r>
              <w:rPr>
                <w:rFonts w:ascii="Times New Roman" w:hAnsi="Times New Roman" w:eastAsia="Times New Roman" w:cs="Times New Roman"/>
                <w:b/>
                <w:bCs/>
                <w:color w:val="FFFFFF"/>
                <w:sz w:val="18"/>
                <w:szCs w:val="18"/>
              </w:rPr>
              <w:t>Threshold</w:t>
            </w:r>
          </w:p>
        </w:tc>
        <w:tc>
          <w:tcPr>
            <w:tcW w:w="520" w:type="dxa"/>
            <w:shd w:val="clear" w:color="auto" w:fill="2B6CB0"/>
            <w:tcMar>
              <w:top w:w="40" w:type="dxa"/>
              <w:left w:w="80" w:type="dxa"/>
              <w:bottom w:w="40" w:type="dxa"/>
              <w:right w:w="80" w:type="dxa"/>
            </w:tcMar>
          </w:tcPr>
          <w:p w14:paraId="1B5256AC">
            <w:pPr>
              <w:jc w:val="center"/>
            </w:pPr>
            <w:r>
              <w:rPr>
                <w:rFonts w:ascii="Times New Roman" w:hAnsi="Times New Roman" w:eastAsia="Times New Roman" w:cs="Times New Roman"/>
                <w:b/>
                <w:bCs/>
                <w:color w:val="FFFFFF"/>
                <w:sz w:val="18"/>
                <w:szCs w:val="18"/>
              </w:rPr>
              <w:t>N</w:t>
            </w:r>
          </w:p>
        </w:tc>
        <w:tc>
          <w:tcPr>
            <w:tcW w:w="740" w:type="dxa"/>
            <w:shd w:val="clear" w:color="auto" w:fill="2B6CB0"/>
            <w:tcMar>
              <w:top w:w="40" w:type="dxa"/>
              <w:left w:w="80" w:type="dxa"/>
              <w:bottom w:w="40" w:type="dxa"/>
              <w:right w:w="80" w:type="dxa"/>
            </w:tcMar>
          </w:tcPr>
          <w:p w14:paraId="38BB3FA2">
            <w:pPr>
              <w:jc w:val="center"/>
            </w:pPr>
            <w:r>
              <w:rPr>
                <w:rFonts w:ascii="Times New Roman" w:hAnsi="Times New Roman" w:eastAsia="Times New Roman" w:cs="Times New Roman"/>
                <w:b/>
                <w:bCs/>
                <w:color w:val="FFFFFF"/>
                <w:sz w:val="18"/>
                <w:szCs w:val="18"/>
              </w:rPr>
              <w:t>Sens.</w:t>
            </w:r>
          </w:p>
        </w:tc>
        <w:tc>
          <w:tcPr>
            <w:tcW w:w="740" w:type="dxa"/>
            <w:shd w:val="clear" w:color="auto" w:fill="2B6CB0"/>
            <w:tcMar>
              <w:top w:w="40" w:type="dxa"/>
              <w:left w:w="80" w:type="dxa"/>
              <w:bottom w:w="40" w:type="dxa"/>
              <w:right w:w="80" w:type="dxa"/>
            </w:tcMar>
          </w:tcPr>
          <w:p w14:paraId="5C4288CF">
            <w:pPr>
              <w:jc w:val="center"/>
            </w:pPr>
            <w:r>
              <w:rPr>
                <w:rFonts w:ascii="Times New Roman" w:hAnsi="Times New Roman" w:eastAsia="Times New Roman" w:cs="Times New Roman"/>
                <w:b/>
                <w:bCs/>
                <w:color w:val="FFFFFF"/>
                <w:sz w:val="18"/>
                <w:szCs w:val="18"/>
              </w:rPr>
              <w:t>Spec.</w:t>
            </w:r>
          </w:p>
        </w:tc>
        <w:tc>
          <w:tcPr>
            <w:tcW w:w="1280" w:type="dxa"/>
            <w:shd w:val="clear" w:color="auto" w:fill="2B6CB0"/>
            <w:tcMar>
              <w:top w:w="40" w:type="dxa"/>
              <w:left w:w="80" w:type="dxa"/>
              <w:bottom w:w="40" w:type="dxa"/>
              <w:right w:w="80" w:type="dxa"/>
            </w:tcMar>
          </w:tcPr>
          <w:p w14:paraId="314C916C">
            <w:pPr>
              <w:jc w:val="center"/>
            </w:pPr>
            <w:r>
              <w:rPr>
                <w:rFonts w:ascii="Times New Roman" w:hAnsi="Times New Roman" w:eastAsia="Times New Roman" w:cs="Times New Roman"/>
                <w:b/>
                <w:bCs/>
                <w:color w:val="FFFFFF"/>
                <w:sz w:val="18"/>
                <w:szCs w:val="18"/>
              </w:rPr>
              <w:t>Bal. Acc.</w:t>
            </w:r>
          </w:p>
        </w:tc>
      </w:tr>
      <w:tr w14:paraId="0F027176">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0084F45F">
            <w:pPr>
              <w:jc w:val="left"/>
            </w:pPr>
            <w:r>
              <w:rPr>
                <w:rFonts w:ascii="Times New Roman" w:hAnsi="Times New Roman" w:eastAsia="Times New Roman" w:cs="Times New Roman"/>
                <w:b w:val="0"/>
                <w:bCs w:val="0"/>
                <w:color w:val="1F2933"/>
                <w:sz w:val="18"/>
                <w:szCs w:val="18"/>
              </w:rPr>
              <w:t>High Jitter</w:t>
            </w:r>
          </w:p>
        </w:tc>
        <w:tc>
          <w:tcPr>
            <w:tcW w:w="1120" w:type="dxa"/>
            <w:tcMar>
              <w:top w:w="40" w:type="dxa"/>
              <w:left w:w="80" w:type="dxa"/>
              <w:bottom w:w="40" w:type="dxa"/>
              <w:right w:w="80" w:type="dxa"/>
            </w:tcMar>
          </w:tcPr>
          <w:p w14:paraId="7C03FF71">
            <w:pPr>
              <w:jc w:val="left"/>
            </w:pPr>
            <w:r>
              <w:rPr>
                <w:rFonts w:ascii="Times New Roman" w:hAnsi="Times New Roman" w:eastAsia="Times New Roman" w:cs="Times New Roman"/>
                <w:b w:val="0"/>
                <w:bCs w:val="0"/>
                <w:color w:val="1F2933"/>
                <w:sz w:val="18"/>
                <w:szCs w:val="18"/>
              </w:rPr>
              <w:t>jitter</w:t>
            </w:r>
          </w:p>
        </w:tc>
        <w:tc>
          <w:tcPr>
            <w:tcW w:w="640" w:type="dxa"/>
            <w:tcMar>
              <w:top w:w="40" w:type="dxa"/>
              <w:left w:w="80" w:type="dxa"/>
              <w:bottom w:w="40" w:type="dxa"/>
              <w:right w:w="80" w:type="dxa"/>
            </w:tcMar>
          </w:tcPr>
          <w:p w14:paraId="1B91C0FB">
            <w:pPr>
              <w:jc w:val="right"/>
            </w:pPr>
            <w:r>
              <w:rPr>
                <w:rFonts w:ascii="Times New Roman" w:hAnsi="Times New Roman" w:eastAsia="Times New Roman" w:cs="Times New Roman"/>
                <w:b w:val="0"/>
                <w:bCs w:val="0"/>
                <w:color w:val="1F2933"/>
                <w:sz w:val="18"/>
                <w:szCs w:val="18"/>
              </w:rPr>
              <w:t>high</w:t>
            </w:r>
          </w:p>
        </w:tc>
        <w:tc>
          <w:tcPr>
            <w:tcW w:w="1160" w:type="dxa"/>
            <w:tcMar>
              <w:top w:w="40" w:type="dxa"/>
              <w:left w:w="80" w:type="dxa"/>
              <w:bottom w:w="40" w:type="dxa"/>
              <w:right w:w="80" w:type="dxa"/>
            </w:tcMar>
          </w:tcPr>
          <w:p w14:paraId="5BEAFE1A">
            <w:pPr>
              <w:jc w:val="right"/>
            </w:pPr>
            <w:r>
              <w:rPr>
                <w:rFonts w:ascii="Times New Roman" w:hAnsi="Times New Roman" w:eastAsia="Times New Roman" w:cs="Times New Roman"/>
                <w:b w:val="0"/>
                <w:bCs w:val="0"/>
                <w:color w:val="1F2933"/>
                <w:sz w:val="18"/>
                <w:szCs w:val="18"/>
              </w:rPr>
              <w:t>0.131945</w:t>
            </w:r>
          </w:p>
        </w:tc>
        <w:tc>
          <w:tcPr>
            <w:tcW w:w="520" w:type="dxa"/>
            <w:tcMar>
              <w:top w:w="40" w:type="dxa"/>
              <w:left w:w="80" w:type="dxa"/>
              <w:bottom w:w="40" w:type="dxa"/>
              <w:right w:w="80" w:type="dxa"/>
            </w:tcMar>
          </w:tcPr>
          <w:p w14:paraId="06CD858E">
            <w:pPr>
              <w:jc w:val="right"/>
            </w:pPr>
            <w:r>
              <w:rPr>
                <w:rFonts w:ascii="Times New Roman" w:hAnsi="Times New Roman" w:eastAsia="Times New Roman" w:cs="Times New Roman"/>
                <w:b w:val="0"/>
                <w:bCs w:val="0"/>
                <w:color w:val="1F2933"/>
                <w:sz w:val="18"/>
                <w:szCs w:val="18"/>
              </w:rPr>
              <w:t>111</w:t>
            </w:r>
          </w:p>
        </w:tc>
        <w:tc>
          <w:tcPr>
            <w:tcW w:w="740" w:type="dxa"/>
            <w:tcMar>
              <w:top w:w="40" w:type="dxa"/>
              <w:left w:w="80" w:type="dxa"/>
              <w:bottom w:w="40" w:type="dxa"/>
              <w:right w:w="80" w:type="dxa"/>
            </w:tcMar>
          </w:tcPr>
          <w:p w14:paraId="5F5D4560">
            <w:pPr>
              <w:jc w:val="right"/>
            </w:pPr>
            <w:r>
              <w:rPr>
                <w:rFonts w:ascii="Times New Roman" w:hAnsi="Times New Roman" w:eastAsia="Times New Roman" w:cs="Times New Roman"/>
                <w:b w:val="0"/>
                <w:bCs w:val="0"/>
                <w:color w:val="1F2933"/>
                <w:sz w:val="18"/>
                <w:szCs w:val="18"/>
              </w:rPr>
              <w:t>0.109</w:t>
            </w:r>
          </w:p>
        </w:tc>
        <w:tc>
          <w:tcPr>
            <w:tcW w:w="740" w:type="dxa"/>
            <w:tcMar>
              <w:top w:w="40" w:type="dxa"/>
              <w:left w:w="80" w:type="dxa"/>
              <w:bottom w:w="40" w:type="dxa"/>
              <w:right w:w="80" w:type="dxa"/>
            </w:tcMar>
          </w:tcPr>
          <w:p w14:paraId="6DC2E13E">
            <w:pPr>
              <w:jc w:val="right"/>
            </w:pPr>
            <w:r>
              <w:rPr>
                <w:rFonts w:ascii="Times New Roman" w:hAnsi="Times New Roman" w:eastAsia="Times New Roman" w:cs="Times New Roman"/>
                <w:b w:val="0"/>
                <w:bCs w:val="0"/>
                <w:color w:val="1F2933"/>
                <w:sz w:val="18"/>
                <w:szCs w:val="18"/>
              </w:rPr>
              <w:t>0.982</w:t>
            </w:r>
          </w:p>
        </w:tc>
        <w:tc>
          <w:tcPr>
            <w:tcW w:w="1280" w:type="dxa"/>
            <w:tcMar>
              <w:top w:w="40" w:type="dxa"/>
              <w:left w:w="80" w:type="dxa"/>
              <w:bottom w:w="40" w:type="dxa"/>
              <w:right w:w="80" w:type="dxa"/>
            </w:tcMar>
          </w:tcPr>
          <w:p w14:paraId="00E09A76">
            <w:pPr>
              <w:jc w:val="right"/>
            </w:pPr>
            <w:r>
              <w:rPr>
                <w:rFonts w:ascii="Times New Roman" w:hAnsi="Times New Roman" w:eastAsia="Times New Roman" w:cs="Times New Roman"/>
                <w:b w:val="0"/>
                <w:bCs w:val="0"/>
                <w:color w:val="1F2933"/>
                <w:sz w:val="18"/>
                <w:szCs w:val="18"/>
              </w:rPr>
              <w:t>0.546</w:t>
            </w:r>
          </w:p>
        </w:tc>
      </w:tr>
      <w:tr w14:paraId="0EA3A1F5">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shd w:val="clear" w:color="auto" w:fill="F1F5F9"/>
            <w:tcMar>
              <w:top w:w="40" w:type="dxa"/>
              <w:left w:w="80" w:type="dxa"/>
              <w:bottom w:w="40" w:type="dxa"/>
              <w:right w:w="80" w:type="dxa"/>
            </w:tcMar>
          </w:tcPr>
          <w:p w14:paraId="6932162F">
            <w:pPr>
              <w:jc w:val="left"/>
            </w:pPr>
            <w:r>
              <w:rPr>
                <w:rFonts w:ascii="Times New Roman" w:hAnsi="Times New Roman" w:eastAsia="Times New Roman" w:cs="Times New Roman"/>
                <w:b w:val="0"/>
                <w:bCs w:val="0"/>
                <w:color w:val="1F2933"/>
                <w:sz w:val="18"/>
                <w:szCs w:val="18"/>
              </w:rPr>
              <w:t>High Pause Ratio</w:t>
            </w:r>
          </w:p>
        </w:tc>
        <w:tc>
          <w:tcPr>
            <w:tcW w:w="1120" w:type="dxa"/>
            <w:shd w:val="clear" w:color="auto" w:fill="F1F5F9"/>
            <w:tcMar>
              <w:top w:w="40" w:type="dxa"/>
              <w:left w:w="80" w:type="dxa"/>
              <w:bottom w:w="40" w:type="dxa"/>
              <w:right w:w="80" w:type="dxa"/>
            </w:tcMar>
          </w:tcPr>
          <w:p w14:paraId="57633263">
            <w:pPr>
              <w:jc w:val="left"/>
            </w:pPr>
            <w:r>
              <w:rPr>
                <w:rFonts w:ascii="Times New Roman" w:hAnsi="Times New Roman" w:eastAsia="Times New Roman" w:cs="Times New Roman"/>
                <w:b w:val="0"/>
                <w:bCs w:val="0"/>
                <w:color w:val="1F2933"/>
                <w:sz w:val="18"/>
                <w:szCs w:val="18"/>
              </w:rPr>
              <w:t>pause_ratio</w:t>
            </w:r>
          </w:p>
        </w:tc>
        <w:tc>
          <w:tcPr>
            <w:tcW w:w="640" w:type="dxa"/>
            <w:shd w:val="clear" w:color="auto" w:fill="F1F5F9"/>
            <w:tcMar>
              <w:top w:w="40" w:type="dxa"/>
              <w:left w:w="80" w:type="dxa"/>
              <w:bottom w:w="40" w:type="dxa"/>
              <w:right w:w="80" w:type="dxa"/>
            </w:tcMar>
          </w:tcPr>
          <w:p w14:paraId="7C495870">
            <w:pPr>
              <w:jc w:val="right"/>
            </w:pPr>
            <w:r>
              <w:rPr>
                <w:rFonts w:ascii="Times New Roman" w:hAnsi="Times New Roman" w:eastAsia="Times New Roman" w:cs="Times New Roman"/>
                <w:b w:val="0"/>
                <w:bCs w:val="0"/>
                <w:color w:val="1F2933"/>
                <w:sz w:val="18"/>
                <w:szCs w:val="18"/>
              </w:rPr>
              <w:t>high</w:t>
            </w:r>
          </w:p>
        </w:tc>
        <w:tc>
          <w:tcPr>
            <w:tcW w:w="1160" w:type="dxa"/>
            <w:shd w:val="clear" w:color="auto" w:fill="F1F5F9"/>
            <w:tcMar>
              <w:top w:w="40" w:type="dxa"/>
              <w:left w:w="80" w:type="dxa"/>
              <w:bottom w:w="40" w:type="dxa"/>
              <w:right w:w="80" w:type="dxa"/>
            </w:tcMar>
          </w:tcPr>
          <w:p w14:paraId="40F76DDF">
            <w:pPr>
              <w:jc w:val="right"/>
            </w:pPr>
            <w:r>
              <w:rPr>
                <w:rFonts w:ascii="Times New Roman" w:hAnsi="Times New Roman" w:eastAsia="Times New Roman" w:cs="Times New Roman"/>
                <w:b w:val="0"/>
                <w:bCs w:val="0"/>
                <w:color w:val="1F2933"/>
                <w:sz w:val="18"/>
                <w:szCs w:val="18"/>
              </w:rPr>
              <w:t>0.339809</w:t>
            </w:r>
          </w:p>
        </w:tc>
        <w:tc>
          <w:tcPr>
            <w:tcW w:w="520" w:type="dxa"/>
            <w:shd w:val="clear" w:color="auto" w:fill="F1F5F9"/>
            <w:tcMar>
              <w:top w:w="40" w:type="dxa"/>
              <w:left w:w="80" w:type="dxa"/>
              <w:bottom w:w="40" w:type="dxa"/>
              <w:right w:w="80" w:type="dxa"/>
            </w:tcMar>
          </w:tcPr>
          <w:p w14:paraId="1765CCC6">
            <w:pPr>
              <w:jc w:val="right"/>
            </w:pPr>
            <w:r>
              <w:rPr>
                <w:rFonts w:ascii="Times New Roman" w:hAnsi="Times New Roman" w:eastAsia="Times New Roman" w:cs="Times New Roman"/>
                <w:b w:val="0"/>
                <w:bCs w:val="0"/>
                <w:color w:val="1F2933"/>
                <w:sz w:val="18"/>
                <w:szCs w:val="18"/>
              </w:rPr>
              <w:t>108</w:t>
            </w:r>
          </w:p>
        </w:tc>
        <w:tc>
          <w:tcPr>
            <w:tcW w:w="740" w:type="dxa"/>
            <w:shd w:val="clear" w:color="auto" w:fill="F1F5F9"/>
            <w:tcMar>
              <w:top w:w="40" w:type="dxa"/>
              <w:left w:w="80" w:type="dxa"/>
              <w:bottom w:w="40" w:type="dxa"/>
              <w:right w:w="80" w:type="dxa"/>
            </w:tcMar>
          </w:tcPr>
          <w:p w14:paraId="72F20FDF">
            <w:pPr>
              <w:jc w:val="right"/>
            </w:pPr>
            <w:r>
              <w:rPr>
                <w:rFonts w:ascii="Times New Roman" w:hAnsi="Times New Roman" w:eastAsia="Times New Roman" w:cs="Times New Roman"/>
                <w:b w:val="0"/>
                <w:bCs w:val="0"/>
                <w:color w:val="1F2933"/>
                <w:sz w:val="18"/>
                <w:szCs w:val="18"/>
              </w:rPr>
              <w:t>0.942</w:t>
            </w:r>
          </w:p>
        </w:tc>
        <w:tc>
          <w:tcPr>
            <w:tcW w:w="740" w:type="dxa"/>
            <w:shd w:val="clear" w:color="auto" w:fill="F1F5F9"/>
            <w:tcMar>
              <w:top w:w="40" w:type="dxa"/>
              <w:left w:w="80" w:type="dxa"/>
              <w:bottom w:w="40" w:type="dxa"/>
              <w:right w:w="80" w:type="dxa"/>
            </w:tcMar>
          </w:tcPr>
          <w:p w14:paraId="383E6E26">
            <w:pPr>
              <w:jc w:val="right"/>
            </w:pPr>
            <w:r>
              <w:rPr>
                <w:rFonts w:ascii="Times New Roman" w:hAnsi="Times New Roman" w:eastAsia="Times New Roman" w:cs="Times New Roman"/>
                <w:b w:val="0"/>
                <w:bCs w:val="0"/>
                <w:color w:val="1F2933"/>
                <w:sz w:val="18"/>
                <w:szCs w:val="18"/>
              </w:rPr>
              <w:t>0.196</w:t>
            </w:r>
          </w:p>
        </w:tc>
        <w:tc>
          <w:tcPr>
            <w:tcW w:w="1280" w:type="dxa"/>
            <w:shd w:val="clear" w:color="auto" w:fill="F1F5F9"/>
            <w:tcMar>
              <w:top w:w="40" w:type="dxa"/>
              <w:left w:w="80" w:type="dxa"/>
              <w:bottom w:w="40" w:type="dxa"/>
              <w:right w:w="80" w:type="dxa"/>
            </w:tcMar>
          </w:tcPr>
          <w:p w14:paraId="562EAD0C">
            <w:pPr>
              <w:jc w:val="right"/>
            </w:pPr>
            <w:r>
              <w:rPr>
                <w:rFonts w:ascii="Times New Roman" w:hAnsi="Times New Roman" w:eastAsia="Times New Roman" w:cs="Times New Roman"/>
                <w:b w:val="0"/>
                <w:bCs w:val="0"/>
                <w:color w:val="1F2933"/>
                <w:sz w:val="18"/>
                <w:szCs w:val="18"/>
              </w:rPr>
              <w:t>0.569</w:t>
            </w:r>
          </w:p>
        </w:tc>
      </w:tr>
      <w:tr w14:paraId="5E532C38">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233FA4AB">
            <w:pPr>
              <w:jc w:val="left"/>
            </w:pPr>
            <w:r>
              <w:rPr>
                <w:rFonts w:ascii="Times New Roman" w:hAnsi="Times New Roman" w:eastAsia="Times New Roman" w:cs="Times New Roman"/>
                <w:b w:val="0"/>
                <w:bCs w:val="0"/>
                <w:color w:val="1F2933"/>
                <w:sz w:val="18"/>
                <w:szCs w:val="18"/>
              </w:rPr>
              <w:t>Low Speech Rate</w:t>
            </w:r>
          </w:p>
        </w:tc>
        <w:tc>
          <w:tcPr>
            <w:tcW w:w="1120" w:type="dxa"/>
            <w:tcMar>
              <w:top w:w="40" w:type="dxa"/>
              <w:left w:w="80" w:type="dxa"/>
              <w:bottom w:w="40" w:type="dxa"/>
              <w:right w:w="80" w:type="dxa"/>
            </w:tcMar>
          </w:tcPr>
          <w:p w14:paraId="3934FE71">
            <w:pPr>
              <w:jc w:val="left"/>
            </w:pPr>
            <w:r>
              <w:rPr>
                <w:rFonts w:ascii="Times New Roman" w:hAnsi="Times New Roman" w:eastAsia="Times New Roman" w:cs="Times New Roman"/>
                <w:b w:val="0"/>
                <w:bCs w:val="0"/>
                <w:color w:val="1F2933"/>
                <w:sz w:val="18"/>
                <w:szCs w:val="18"/>
              </w:rPr>
              <w:t>speech_rate</w:t>
            </w:r>
          </w:p>
        </w:tc>
        <w:tc>
          <w:tcPr>
            <w:tcW w:w="640" w:type="dxa"/>
            <w:tcMar>
              <w:top w:w="40" w:type="dxa"/>
              <w:left w:w="80" w:type="dxa"/>
              <w:bottom w:w="40" w:type="dxa"/>
              <w:right w:w="80" w:type="dxa"/>
            </w:tcMar>
          </w:tcPr>
          <w:p w14:paraId="37447A6D">
            <w:pPr>
              <w:jc w:val="right"/>
            </w:pPr>
            <w:r>
              <w:rPr>
                <w:rFonts w:ascii="Times New Roman" w:hAnsi="Times New Roman" w:eastAsia="Times New Roman" w:cs="Times New Roman"/>
                <w:b w:val="0"/>
                <w:bCs w:val="0"/>
                <w:color w:val="1F2933"/>
                <w:sz w:val="18"/>
                <w:szCs w:val="18"/>
              </w:rPr>
              <w:t>low</w:t>
            </w:r>
          </w:p>
        </w:tc>
        <w:tc>
          <w:tcPr>
            <w:tcW w:w="1160" w:type="dxa"/>
            <w:tcMar>
              <w:top w:w="40" w:type="dxa"/>
              <w:left w:w="80" w:type="dxa"/>
              <w:bottom w:w="40" w:type="dxa"/>
              <w:right w:w="80" w:type="dxa"/>
            </w:tcMar>
          </w:tcPr>
          <w:p w14:paraId="2651C1E6">
            <w:pPr>
              <w:jc w:val="right"/>
            </w:pPr>
            <w:r>
              <w:rPr>
                <w:rFonts w:ascii="Times New Roman" w:hAnsi="Times New Roman" w:eastAsia="Times New Roman" w:cs="Times New Roman"/>
                <w:b w:val="0"/>
                <w:bCs w:val="0"/>
                <w:color w:val="1F2933"/>
                <w:sz w:val="18"/>
                <w:szCs w:val="18"/>
              </w:rPr>
              <w:t>3.837305</w:t>
            </w:r>
          </w:p>
        </w:tc>
        <w:tc>
          <w:tcPr>
            <w:tcW w:w="520" w:type="dxa"/>
            <w:tcMar>
              <w:top w:w="40" w:type="dxa"/>
              <w:left w:w="80" w:type="dxa"/>
              <w:bottom w:w="40" w:type="dxa"/>
              <w:right w:w="80" w:type="dxa"/>
            </w:tcMar>
          </w:tcPr>
          <w:p w14:paraId="19F22192">
            <w:pPr>
              <w:jc w:val="right"/>
            </w:pPr>
            <w:r>
              <w:rPr>
                <w:rFonts w:ascii="Times New Roman" w:hAnsi="Times New Roman" w:eastAsia="Times New Roman" w:cs="Times New Roman"/>
                <w:b w:val="0"/>
                <w:bCs w:val="0"/>
                <w:color w:val="1F2933"/>
                <w:sz w:val="18"/>
                <w:szCs w:val="18"/>
              </w:rPr>
              <w:t>108</w:t>
            </w:r>
          </w:p>
        </w:tc>
        <w:tc>
          <w:tcPr>
            <w:tcW w:w="740" w:type="dxa"/>
            <w:tcMar>
              <w:top w:w="40" w:type="dxa"/>
              <w:left w:w="80" w:type="dxa"/>
              <w:bottom w:w="40" w:type="dxa"/>
              <w:right w:w="80" w:type="dxa"/>
            </w:tcMar>
          </w:tcPr>
          <w:p w14:paraId="6D6C2B7A">
            <w:pPr>
              <w:jc w:val="right"/>
            </w:pPr>
            <w:r>
              <w:rPr>
                <w:rFonts w:ascii="Times New Roman" w:hAnsi="Times New Roman" w:eastAsia="Times New Roman" w:cs="Times New Roman"/>
                <w:b w:val="0"/>
                <w:bCs w:val="0"/>
                <w:color w:val="1F2933"/>
                <w:sz w:val="18"/>
                <w:szCs w:val="18"/>
              </w:rPr>
              <w:t>0.942</w:t>
            </w:r>
          </w:p>
        </w:tc>
        <w:tc>
          <w:tcPr>
            <w:tcW w:w="740" w:type="dxa"/>
            <w:tcMar>
              <w:top w:w="40" w:type="dxa"/>
              <w:left w:w="80" w:type="dxa"/>
              <w:bottom w:w="40" w:type="dxa"/>
              <w:right w:w="80" w:type="dxa"/>
            </w:tcMar>
          </w:tcPr>
          <w:p w14:paraId="474B995A">
            <w:pPr>
              <w:jc w:val="right"/>
            </w:pPr>
            <w:r>
              <w:rPr>
                <w:rFonts w:ascii="Times New Roman" w:hAnsi="Times New Roman" w:eastAsia="Times New Roman" w:cs="Times New Roman"/>
                <w:b w:val="0"/>
                <w:bCs w:val="0"/>
                <w:color w:val="1F2933"/>
                <w:sz w:val="18"/>
                <w:szCs w:val="18"/>
              </w:rPr>
              <w:t>0.143</w:t>
            </w:r>
          </w:p>
        </w:tc>
        <w:tc>
          <w:tcPr>
            <w:tcW w:w="1280" w:type="dxa"/>
            <w:tcMar>
              <w:top w:w="40" w:type="dxa"/>
              <w:left w:w="80" w:type="dxa"/>
              <w:bottom w:w="40" w:type="dxa"/>
              <w:right w:w="80" w:type="dxa"/>
            </w:tcMar>
          </w:tcPr>
          <w:p w14:paraId="4D4C4E87">
            <w:pPr>
              <w:jc w:val="right"/>
            </w:pPr>
            <w:r>
              <w:rPr>
                <w:rFonts w:ascii="Times New Roman" w:hAnsi="Times New Roman" w:eastAsia="Times New Roman" w:cs="Times New Roman"/>
                <w:b w:val="0"/>
                <w:bCs w:val="0"/>
                <w:color w:val="1F2933"/>
                <w:sz w:val="18"/>
                <w:szCs w:val="18"/>
              </w:rPr>
              <w:t>0.543</w:t>
            </w:r>
          </w:p>
        </w:tc>
      </w:tr>
      <w:tr w14:paraId="5F0B04F0">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shd w:val="clear" w:color="auto" w:fill="F1F5F9"/>
            <w:tcMar>
              <w:top w:w="40" w:type="dxa"/>
              <w:left w:w="80" w:type="dxa"/>
              <w:bottom w:w="40" w:type="dxa"/>
              <w:right w:w="80" w:type="dxa"/>
            </w:tcMar>
          </w:tcPr>
          <w:p w14:paraId="329548FE">
            <w:pPr>
              <w:jc w:val="left"/>
            </w:pPr>
            <w:r>
              <w:rPr>
                <w:rFonts w:ascii="Times New Roman" w:hAnsi="Times New Roman" w:eastAsia="Times New Roman" w:cs="Times New Roman"/>
                <w:b w:val="0"/>
                <w:bCs w:val="0"/>
                <w:color w:val="1F2933"/>
                <w:sz w:val="18"/>
                <w:szCs w:val="18"/>
              </w:rPr>
              <w:t>Low Vocal Energy</w:t>
            </w:r>
          </w:p>
        </w:tc>
        <w:tc>
          <w:tcPr>
            <w:tcW w:w="1120" w:type="dxa"/>
            <w:shd w:val="clear" w:color="auto" w:fill="F1F5F9"/>
            <w:tcMar>
              <w:top w:w="40" w:type="dxa"/>
              <w:left w:w="80" w:type="dxa"/>
              <w:bottom w:w="40" w:type="dxa"/>
              <w:right w:w="80" w:type="dxa"/>
            </w:tcMar>
          </w:tcPr>
          <w:p w14:paraId="7EA27C87">
            <w:pPr>
              <w:jc w:val="left"/>
            </w:pPr>
            <w:r>
              <w:rPr>
                <w:rFonts w:ascii="Times New Roman" w:hAnsi="Times New Roman" w:eastAsia="Times New Roman" w:cs="Times New Roman"/>
                <w:b w:val="0"/>
                <w:bCs w:val="0"/>
                <w:color w:val="1F2933"/>
                <w:sz w:val="18"/>
                <w:szCs w:val="18"/>
              </w:rPr>
              <w:t>energy</w:t>
            </w:r>
          </w:p>
        </w:tc>
        <w:tc>
          <w:tcPr>
            <w:tcW w:w="640" w:type="dxa"/>
            <w:shd w:val="clear" w:color="auto" w:fill="F1F5F9"/>
            <w:tcMar>
              <w:top w:w="40" w:type="dxa"/>
              <w:left w:w="80" w:type="dxa"/>
              <w:bottom w:w="40" w:type="dxa"/>
              <w:right w:w="80" w:type="dxa"/>
            </w:tcMar>
          </w:tcPr>
          <w:p w14:paraId="0BF9DACC">
            <w:pPr>
              <w:jc w:val="right"/>
            </w:pPr>
            <w:r>
              <w:rPr>
                <w:rFonts w:ascii="Times New Roman" w:hAnsi="Times New Roman" w:eastAsia="Times New Roman" w:cs="Times New Roman"/>
                <w:b w:val="0"/>
                <w:bCs w:val="0"/>
                <w:color w:val="1F2933"/>
                <w:sz w:val="18"/>
                <w:szCs w:val="18"/>
              </w:rPr>
              <w:t>low</w:t>
            </w:r>
          </w:p>
        </w:tc>
        <w:tc>
          <w:tcPr>
            <w:tcW w:w="1160" w:type="dxa"/>
            <w:shd w:val="clear" w:color="auto" w:fill="F1F5F9"/>
            <w:tcMar>
              <w:top w:w="40" w:type="dxa"/>
              <w:left w:w="80" w:type="dxa"/>
              <w:bottom w:w="40" w:type="dxa"/>
              <w:right w:w="80" w:type="dxa"/>
            </w:tcMar>
          </w:tcPr>
          <w:p w14:paraId="5A403699">
            <w:pPr>
              <w:jc w:val="right"/>
            </w:pPr>
            <w:r>
              <w:rPr>
                <w:rFonts w:ascii="Times New Roman" w:hAnsi="Times New Roman" w:eastAsia="Times New Roman" w:cs="Times New Roman"/>
                <w:b w:val="0"/>
                <w:bCs w:val="0"/>
                <w:color w:val="1F2933"/>
                <w:sz w:val="18"/>
                <w:szCs w:val="18"/>
              </w:rPr>
              <w:t>0.004403</w:t>
            </w:r>
          </w:p>
        </w:tc>
        <w:tc>
          <w:tcPr>
            <w:tcW w:w="520" w:type="dxa"/>
            <w:shd w:val="clear" w:color="auto" w:fill="F1F5F9"/>
            <w:tcMar>
              <w:top w:w="40" w:type="dxa"/>
              <w:left w:w="80" w:type="dxa"/>
              <w:bottom w:w="40" w:type="dxa"/>
              <w:right w:w="80" w:type="dxa"/>
            </w:tcMar>
          </w:tcPr>
          <w:p w14:paraId="0270756C">
            <w:pPr>
              <w:jc w:val="right"/>
            </w:pPr>
            <w:r>
              <w:rPr>
                <w:rFonts w:ascii="Times New Roman" w:hAnsi="Times New Roman" w:eastAsia="Times New Roman" w:cs="Times New Roman"/>
                <w:b w:val="0"/>
                <w:bCs w:val="0"/>
                <w:color w:val="1F2933"/>
                <w:sz w:val="18"/>
                <w:szCs w:val="18"/>
              </w:rPr>
              <w:t>111</w:t>
            </w:r>
          </w:p>
        </w:tc>
        <w:tc>
          <w:tcPr>
            <w:tcW w:w="740" w:type="dxa"/>
            <w:shd w:val="clear" w:color="auto" w:fill="F1F5F9"/>
            <w:tcMar>
              <w:top w:w="40" w:type="dxa"/>
              <w:left w:w="80" w:type="dxa"/>
              <w:bottom w:w="40" w:type="dxa"/>
              <w:right w:w="80" w:type="dxa"/>
            </w:tcMar>
          </w:tcPr>
          <w:p w14:paraId="77092CB5">
            <w:pPr>
              <w:jc w:val="right"/>
            </w:pPr>
            <w:r>
              <w:rPr>
                <w:rFonts w:ascii="Times New Roman" w:hAnsi="Times New Roman" w:eastAsia="Times New Roman" w:cs="Times New Roman"/>
                <w:b w:val="0"/>
                <w:bCs w:val="0"/>
                <w:color w:val="1F2933"/>
                <w:sz w:val="18"/>
                <w:szCs w:val="18"/>
              </w:rPr>
              <w:t>0.273</w:t>
            </w:r>
          </w:p>
        </w:tc>
        <w:tc>
          <w:tcPr>
            <w:tcW w:w="740" w:type="dxa"/>
            <w:shd w:val="clear" w:color="auto" w:fill="F1F5F9"/>
            <w:tcMar>
              <w:top w:w="40" w:type="dxa"/>
              <w:left w:w="80" w:type="dxa"/>
              <w:bottom w:w="40" w:type="dxa"/>
              <w:right w:w="80" w:type="dxa"/>
            </w:tcMar>
          </w:tcPr>
          <w:p w14:paraId="0F74E6A8">
            <w:pPr>
              <w:jc w:val="right"/>
            </w:pPr>
            <w:r>
              <w:rPr>
                <w:rFonts w:ascii="Times New Roman" w:hAnsi="Times New Roman" w:eastAsia="Times New Roman" w:cs="Times New Roman"/>
                <w:b w:val="0"/>
                <w:bCs w:val="0"/>
                <w:color w:val="1F2933"/>
                <w:sz w:val="18"/>
                <w:szCs w:val="18"/>
              </w:rPr>
              <w:t>0.893</w:t>
            </w:r>
          </w:p>
        </w:tc>
        <w:tc>
          <w:tcPr>
            <w:tcW w:w="1280" w:type="dxa"/>
            <w:shd w:val="clear" w:color="auto" w:fill="F1F5F9"/>
            <w:tcMar>
              <w:top w:w="40" w:type="dxa"/>
              <w:left w:w="80" w:type="dxa"/>
              <w:bottom w:w="40" w:type="dxa"/>
              <w:right w:w="80" w:type="dxa"/>
            </w:tcMar>
          </w:tcPr>
          <w:p w14:paraId="7435FEAA">
            <w:pPr>
              <w:jc w:val="right"/>
            </w:pPr>
            <w:r>
              <w:rPr>
                <w:rFonts w:ascii="Times New Roman" w:hAnsi="Times New Roman" w:eastAsia="Times New Roman" w:cs="Times New Roman"/>
                <w:b w:val="0"/>
                <w:bCs w:val="0"/>
                <w:color w:val="1F2933"/>
                <w:sz w:val="18"/>
                <w:szCs w:val="18"/>
              </w:rPr>
              <w:t>0.583</w:t>
            </w:r>
          </w:p>
        </w:tc>
      </w:tr>
      <w:tr w14:paraId="019C49D0">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2865801B">
            <w:pPr>
              <w:jc w:val="left"/>
            </w:pPr>
            <w:r>
              <w:rPr>
                <w:rFonts w:ascii="Times New Roman" w:hAnsi="Times New Roman" w:eastAsia="Times New Roman" w:cs="Times New Roman"/>
                <w:b w:val="0"/>
                <w:bCs w:val="0"/>
                <w:color w:val="1F2933"/>
                <w:sz w:val="18"/>
                <w:szCs w:val="18"/>
              </w:rPr>
              <w:t>High Pitch Variability</w:t>
            </w:r>
          </w:p>
        </w:tc>
        <w:tc>
          <w:tcPr>
            <w:tcW w:w="1120" w:type="dxa"/>
            <w:tcMar>
              <w:top w:w="40" w:type="dxa"/>
              <w:left w:w="80" w:type="dxa"/>
              <w:bottom w:w="40" w:type="dxa"/>
              <w:right w:w="80" w:type="dxa"/>
            </w:tcMar>
          </w:tcPr>
          <w:p w14:paraId="1802E5BB">
            <w:pPr>
              <w:jc w:val="left"/>
            </w:pPr>
            <w:r>
              <w:rPr>
                <w:rFonts w:ascii="Times New Roman" w:hAnsi="Times New Roman" w:eastAsia="Times New Roman" w:cs="Times New Roman"/>
                <w:b w:val="0"/>
                <w:bCs w:val="0"/>
                <w:color w:val="1F2933"/>
                <w:sz w:val="18"/>
                <w:szCs w:val="18"/>
              </w:rPr>
              <w:t>pitch_std</w:t>
            </w:r>
          </w:p>
        </w:tc>
        <w:tc>
          <w:tcPr>
            <w:tcW w:w="640" w:type="dxa"/>
            <w:tcMar>
              <w:top w:w="40" w:type="dxa"/>
              <w:left w:w="80" w:type="dxa"/>
              <w:bottom w:w="40" w:type="dxa"/>
              <w:right w:w="80" w:type="dxa"/>
            </w:tcMar>
          </w:tcPr>
          <w:p w14:paraId="78200F13">
            <w:pPr>
              <w:jc w:val="right"/>
            </w:pPr>
            <w:r>
              <w:rPr>
                <w:rFonts w:ascii="Times New Roman" w:hAnsi="Times New Roman" w:eastAsia="Times New Roman" w:cs="Times New Roman"/>
                <w:b w:val="0"/>
                <w:bCs w:val="0"/>
                <w:color w:val="1F2933"/>
                <w:sz w:val="18"/>
                <w:szCs w:val="18"/>
              </w:rPr>
              <w:t>high</w:t>
            </w:r>
          </w:p>
        </w:tc>
        <w:tc>
          <w:tcPr>
            <w:tcW w:w="1160" w:type="dxa"/>
            <w:tcMar>
              <w:top w:w="40" w:type="dxa"/>
              <w:left w:w="80" w:type="dxa"/>
              <w:bottom w:w="40" w:type="dxa"/>
              <w:right w:w="80" w:type="dxa"/>
            </w:tcMar>
          </w:tcPr>
          <w:p w14:paraId="381B3DE3">
            <w:pPr>
              <w:jc w:val="right"/>
            </w:pPr>
            <w:r>
              <w:rPr>
                <w:rFonts w:ascii="Times New Roman" w:hAnsi="Times New Roman" w:eastAsia="Times New Roman" w:cs="Times New Roman"/>
                <w:b w:val="0"/>
                <w:bCs w:val="0"/>
                <w:color w:val="1F2933"/>
                <w:sz w:val="18"/>
                <w:szCs w:val="18"/>
              </w:rPr>
              <w:t>42.658337</w:t>
            </w:r>
          </w:p>
        </w:tc>
        <w:tc>
          <w:tcPr>
            <w:tcW w:w="520" w:type="dxa"/>
            <w:tcMar>
              <w:top w:w="40" w:type="dxa"/>
              <w:left w:w="80" w:type="dxa"/>
              <w:bottom w:w="40" w:type="dxa"/>
              <w:right w:w="80" w:type="dxa"/>
            </w:tcMar>
          </w:tcPr>
          <w:p w14:paraId="1B0D8167">
            <w:pPr>
              <w:jc w:val="right"/>
            </w:pPr>
            <w:r>
              <w:rPr>
                <w:rFonts w:ascii="Times New Roman" w:hAnsi="Times New Roman" w:eastAsia="Times New Roman" w:cs="Times New Roman"/>
                <w:b w:val="0"/>
                <w:bCs w:val="0"/>
                <w:color w:val="1F2933"/>
                <w:sz w:val="18"/>
                <w:szCs w:val="18"/>
              </w:rPr>
              <w:t>111</w:t>
            </w:r>
          </w:p>
        </w:tc>
        <w:tc>
          <w:tcPr>
            <w:tcW w:w="740" w:type="dxa"/>
            <w:tcMar>
              <w:top w:w="40" w:type="dxa"/>
              <w:left w:w="80" w:type="dxa"/>
              <w:bottom w:w="40" w:type="dxa"/>
              <w:right w:w="80" w:type="dxa"/>
            </w:tcMar>
          </w:tcPr>
          <w:p w14:paraId="1E88A224">
            <w:pPr>
              <w:jc w:val="right"/>
            </w:pPr>
            <w:r>
              <w:rPr>
                <w:rFonts w:ascii="Times New Roman" w:hAnsi="Times New Roman" w:eastAsia="Times New Roman" w:cs="Times New Roman"/>
                <w:b w:val="0"/>
                <w:bCs w:val="0"/>
                <w:color w:val="1F2933"/>
                <w:sz w:val="18"/>
                <w:szCs w:val="18"/>
              </w:rPr>
              <w:t>0.764</w:t>
            </w:r>
          </w:p>
        </w:tc>
        <w:tc>
          <w:tcPr>
            <w:tcW w:w="740" w:type="dxa"/>
            <w:tcMar>
              <w:top w:w="40" w:type="dxa"/>
              <w:left w:w="80" w:type="dxa"/>
              <w:bottom w:w="40" w:type="dxa"/>
              <w:right w:w="80" w:type="dxa"/>
            </w:tcMar>
          </w:tcPr>
          <w:p w14:paraId="10C6F538">
            <w:pPr>
              <w:jc w:val="right"/>
            </w:pPr>
            <w:r>
              <w:rPr>
                <w:rFonts w:ascii="Times New Roman" w:hAnsi="Times New Roman" w:eastAsia="Times New Roman" w:cs="Times New Roman"/>
                <w:b w:val="0"/>
                <w:bCs w:val="0"/>
                <w:color w:val="1F2933"/>
                <w:sz w:val="18"/>
                <w:szCs w:val="18"/>
              </w:rPr>
              <w:t>0.554</w:t>
            </w:r>
          </w:p>
        </w:tc>
        <w:tc>
          <w:tcPr>
            <w:tcW w:w="1280" w:type="dxa"/>
            <w:tcMar>
              <w:top w:w="40" w:type="dxa"/>
              <w:left w:w="80" w:type="dxa"/>
              <w:bottom w:w="40" w:type="dxa"/>
              <w:right w:w="80" w:type="dxa"/>
            </w:tcMar>
          </w:tcPr>
          <w:p w14:paraId="32D9CCA5">
            <w:pPr>
              <w:jc w:val="right"/>
            </w:pPr>
            <w:r>
              <w:rPr>
                <w:rFonts w:ascii="Times New Roman" w:hAnsi="Times New Roman" w:eastAsia="Times New Roman" w:cs="Times New Roman"/>
                <w:b w:val="0"/>
                <w:bCs w:val="0"/>
                <w:color w:val="1F2933"/>
                <w:sz w:val="18"/>
                <w:szCs w:val="18"/>
              </w:rPr>
              <w:t>0.659</w:t>
            </w:r>
          </w:p>
        </w:tc>
      </w:tr>
      <w:tr w14:paraId="2033C19B">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shd w:val="clear" w:color="auto" w:fill="F1F5F9"/>
            <w:tcMar>
              <w:top w:w="40" w:type="dxa"/>
              <w:left w:w="80" w:type="dxa"/>
              <w:bottom w:w="40" w:type="dxa"/>
              <w:right w:w="80" w:type="dxa"/>
            </w:tcMar>
          </w:tcPr>
          <w:p w14:paraId="571E120A">
            <w:pPr>
              <w:jc w:val="left"/>
            </w:pPr>
            <w:r>
              <w:rPr>
                <w:rFonts w:ascii="Times New Roman" w:hAnsi="Times New Roman" w:eastAsia="Times New Roman" w:cs="Times New Roman"/>
                <w:b w:val="0"/>
                <w:bCs w:val="0"/>
                <w:color w:val="1F2933"/>
                <w:sz w:val="18"/>
                <w:szCs w:val="18"/>
              </w:rPr>
              <w:t>High Mean Pitch</w:t>
            </w:r>
          </w:p>
        </w:tc>
        <w:tc>
          <w:tcPr>
            <w:tcW w:w="1120" w:type="dxa"/>
            <w:shd w:val="clear" w:color="auto" w:fill="F1F5F9"/>
            <w:tcMar>
              <w:top w:w="40" w:type="dxa"/>
              <w:left w:w="80" w:type="dxa"/>
              <w:bottom w:w="40" w:type="dxa"/>
              <w:right w:w="80" w:type="dxa"/>
            </w:tcMar>
          </w:tcPr>
          <w:p w14:paraId="40092634">
            <w:pPr>
              <w:jc w:val="left"/>
            </w:pPr>
            <w:r>
              <w:rPr>
                <w:rFonts w:ascii="Times New Roman" w:hAnsi="Times New Roman" w:eastAsia="Times New Roman" w:cs="Times New Roman"/>
                <w:b w:val="0"/>
                <w:bCs w:val="0"/>
                <w:color w:val="1F2933"/>
                <w:sz w:val="18"/>
                <w:szCs w:val="18"/>
              </w:rPr>
              <w:t>pitch_mean</w:t>
            </w:r>
          </w:p>
        </w:tc>
        <w:tc>
          <w:tcPr>
            <w:tcW w:w="640" w:type="dxa"/>
            <w:shd w:val="clear" w:color="auto" w:fill="F1F5F9"/>
            <w:tcMar>
              <w:top w:w="40" w:type="dxa"/>
              <w:left w:w="80" w:type="dxa"/>
              <w:bottom w:w="40" w:type="dxa"/>
              <w:right w:w="80" w:type="dxa"/>
            </w:tcMar>
          </w:tcPr>
          <w:p w14:paraId="4304BBF3">
            <w:pPr>
              <w:jc w:val="right"/>
            </w:pPr>
            <w:r>
              <w:rPr>
                <w:rFonts w:ascii="Times New Roman" w:hAnsi="Times New Roman" w:eastAsia="Times New Roman" w:cs="Times New Roman"/>
                <w:b w:val="0"/>
                <w:bCs w:val="0"/>
                <w:color w:val="1F2933"/>
                <w:sz w:val="18"/>
                <w:szCs w:val="18"/>
              </w:rPr>
              <w:t>high</w:t>
            </w:r>
          </w:p>
        </w:tc>
        <w:tc>
          <w:tcPr>
            <w:tcW w:w="1160" w:type="dxa"/>
            <w:shd w:val="clear" w:color="auto" w:fill="F1F5F9"/>
            <w:tcMar>
              <w:top w:w="40" w:type="dxa"/>
              <w:left w:w="80" w:type="dxa"/>
              <w:bottom w:w="40" w:type="dxa"/>
              <w:right w:w="80" w:type="dxa"/>
            </w:tcMar>
          </w:tcPr>
          <w:p w14:paraId="7DB851A8">
            <w:pPr>
              <w:jc w:val="right"/>
            </w:pPr>
            <w:r>
              <w:rPr>
                <w:rFonts w:ascii="Times New Roman" w:hAnsi="Times New Roman" w:eastAsia="Times New Roman" w:cs="Times New Roman"/>
                <w:b w:val="0"/>
                <w:bCs w:val="0"/>
                <w:color w:val="1F2933"/>
                <w:sz w:val="18"/>
                <w:szCs w:val="18"/>
              </w:rPr>
              <w:t>147.442277</w:t>
            </w:r>
          </w:p>
        </w:tc>
        <w:tc>
          <w:tcPr>
            <w:tcW w:w="520" w:type="dxa"/>
            <w:shd w:val="clear" w:color="auto" w:fill="F1F5F9"/>
            <w:tcMar>
              <w:top w:w="40" w:type="dxa"/>
              <w:left w:w="80" w:type="dxa"/>
              <w:bottom w:w="40" w:type="dxa"/>
              <w:right w:w="80" w:type="dxa"/>
            </w:tcMar>
          </w:tcPr>
          <w:p w14:paraId="095A8C3D">
            <w:pPr>
              <w:jc w:val="right"/>
            </w:pPr>
            <w:r>
              <w:rPr>
                <w:rFonts w:ascii="Times New Roman" w:hAnsi="Times New Roman" w:eastAsia="Times New Roman" w:cs="Times New Roman"/>
                <w:b w:val="0"/>
                <w:bCs w:val="0"/>
                <w:color w:val="1F2933"/>
                <w:sz w:val="18"/>
                <w:szCs w:val="18"/>
              </w:rPr>
              <w:t>111</w:t>
            </w:r>
          </w:p>
        </w:tc>
        <w:tc>
          <w:tcPr>
            <w:tcW w:w="740" w:type="dxa"/>
            <w:shd w:val="clear" w:color="auto" w:fill="F1F5F9"/>
            <w:tcMar>
              <w:top w:w="40" w:type="dxa"/>
              <w:left w:w="80" w:type="dxa"/>
              <w:bottom w:w="40" w:type="dxa"/>
              <w:right w:w="80" w:type="dxa"/>
            </w:tcMar>
          </w:tcPr>
          <w:p w14:paraId="6F331958">
            <w:pPr>
              <w:jc w:val="right"/>
            </w:pPr>
            <w:r>
              <w:rPr>
                <w:rFonts w:ascii="Times New Roman" w:hAnsi="Times New Roman" w:eastAsia="Times New Roman" w:cs="Times New Roman"/>
                <w:b w:val="0"/>
                <w:bCs w:val="0"/>
                <w:color w:val="1F2933"/>
                <w:sz w:val="18"/>
                <w:szCs w:val="18"/>
              </w:rPr>
              <w:t>0.727</w:t>
            </w:r>
          </w:p>
        </w:tc>
        <w:tc>
          <w:tcPr>
            <w:tcW w:w="740" w:type="dxa"/>
            <w:shd w:val="clear" w:color="auto" w:fill="F1F5F9"/>
            <w:tcMar>
              <w:top w:w="40" w:type="dxa"/>
              <w:left w:w="80" w:type="dxa"/>
              <w:bottom w:w="40" w:type="dxa"/>
              <w:right w:w="80" w:type="dxa"/>
            </w:tcMar>
          </w:tcPr>
          <w:p w14:paraId="165CC6AA">
            <w:pPr>
              <w:jc w:val="right"/>
            </w:pPr>
            <w:r>
              <w:rPr>
                <w:rFonts w:ascii="Times New Roman" w:hAnsi="Times New Roman" w:eastAsia="Times New Roman" w:cs="Times New Roman"/>
                <w:b w:val="0"/>
                <w:bCs w:val="0"/>
                <w:color w:val="1F2933"/>
                <w:sz w:val="18"/>
                <w:szCs w:val="18"/>
              </w:rPr>
              <w:t>0.571</w:t>
            </w:r>
          </w:p>
        </w:tc>
        <w:tc>
          <w:tcPr>
            <w:tcW w:w="1280" w:type="dxa"/>
            <w:shd w:val="clear" w:color="auto" w:fill="F1F5F9"/>
            <w:tcMar>
              <w:top w:w="40" w:type="dxa"/>
              <w:left w:w="80" w:type="dxa"/>
              <w:bottom w:w="40" w:type="dxa"/>
              <w:right w:w="80" w:type="dxa"/>
            </w:tcMar>
          </w:tcPr>
          <w:p w14:paraId="4370F360">
            <w:pPr>
              <w:jc w:val="right"/>
            </w:pPr>
            <w:r>
              <w:rPr>
                <w:rFonts w:ascii="Times New Roman" w:hAnsi="Times New Roman" w:eastAsia="Times New Roman" w:cs="Times New Roman"/>
                <w:b w:val="0"/>
                <w:bCs w:val="0"/>
                <w:color w:val="1F2933"/>
                <w:sz w:val="18"/>
                <w:szCs w:val="18"/>
              </w:rPr>
              <w:t>0.649</w:t>
            </w:r>
          </w:p>
        </w:tc>
      </w:tr>
      <w:tr w14:paraId="2851980A">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6AA62545">
            <w:pPr>
              <w:jc w:val="left"/>
            </w:pPr>
            <w:r>
              <w:rPr>
                <w:rFonts w:ascii="Times New Roman" w:hAnsi="Times New Roman" w:eastAsia="Times New Roman" w:cs="Times New Roman"/>
                <w:b w:val="0"/>
                <w:bCs w:val="0"/>
                <w:color w:val="1F2933"/>
                <w:sz w:val="18"/>
                <w:szCs w:val="18"/>
              </w:rPr>
              <w:t>Low Mean Pitch</w:t>
            </w:r>
          </w:p>
        </w:tc>
        <w:tc>
          <w:tcPr>
            <w:tcW w:w="1120" w:type="dxa"/>
            <w:tcMar>
              <w:top w:w="40" w:type="dxa"/>
              <w:left w:w="80" w:type="dxa"/>
              <w:bottom w:w="40" w:type="dxa"/>
              <w:right w:w="80" w:type="dxa"/>
            </w:tcMar>
          </w:tcPr>
          <w:p w14:paraId="47A2756E">
            <w:pPr>
              <w:jc w:val="left"/>
            </w:pPr>
            <w:r>
              <w:rPr>
                <w:rFonts w:ascii="Times New Roman" w:hAnsi="Times New Roman" w:eastAsia="Times New Roman" w:cs="Times New Roman"/>
                <w:b w:val="0"/>
                <w:bCs w:val="0"/>
                <w:color w:val="1F2933"/>
                <w:sz w:val="18"/>
                <w:szCs w:val="18"/>
              </w:rPr>
              <w:t>pitch_mean</w:t>
            </w:r>
          </w:p>
        </w:tc>
        <w:tc>
          <w:tcPr>
            <w:tcW w:w="640" w:type="dxa"/>
            <w:tcMar>
              <w:top w:w="40" w:type="dxa"/>
              <w:left w:w="80" w:type="dxa"/>
              <w:bottom w:w="40" w:type="dxa"/>
              <w:right w:w="80" w:type="dxa"/>
            </w:tcMar>
          </w:tcPr>
          <w:p w14:paraId="0129D755">
            <w:pPr>
              <w:jc w:val="right"/>
            </w:pPr>
            <w:r>
              <w:rPr>
                <w:rFonts w:ascii="Times New Roman" w:hAnsi="Times New Roman" w:eastAsia="Times New Roman" w:cs="Times New Roman"/>
                <w:b w:val="0"/>
                <w:bCs w:val="0"/>
                <w:color w:val="1F2933"/>
                <w:sz w:val="18"/>
                <w:szCs w:val="18"/>
              </w:rPr>
              <w:t>low</w:t>
            </w:r>
          </w:p>
        </w:tc>
        <w:tc>
          <w:tcPr>
            <w:tcW w:w="1160" w:type="dxa"/>
            <w:tcMar>
              <w:top w:w="40" w:type="dxa"/>
              <w:left w:w="80" w:type="dxa"/>
              <w:bottom w:w="40" w:type="dxa"/>
              <w:right w:w="80" w:type="dxa"/>
            </w:tcMar>
          </w:tcPr>
          <w:p w14:paraId="3FF52747">
            <w:pPr>
              <w:jc w:val="right"/>
            </w:pPr>
            <w:r>
              <w:rPr>
                <w:rFonts w:ascii="Times New Roman" w:hAnsi="Times New Roman" w:eastAsia="Times New Roman" w:cs="Times New Roman"/>
                <w:b w:val="0"/>
                <w:bCs w:val="0"/>
                <w:color w:val="1F2933"/>
                <w:sz w:val="18"/>
                <w:szCs w:val="18"/>
              </w:rPr>
              <w:t>122.941355</w:t>
            </w:r>
          </w:p>
        </w:tc>
        <w:tc>
          <w:tcPr>
            <w:tcW w:w="520" w:type="dxa"/>
            <w:tcMar>
              <w:top w:w="40" w:type="dxa"/>
              <w:left w:w="80" w:type="dxa"/>
              <w:bottom w:w="40" w:type="dxa"/>
              <w:right w:w="80" w:type="dxa"/>
            </w:tcMar>
          </w:tcPr>
          <w:p w14:paraId="71423E92">
            <w:pPr>
              <w:jc w:val="right"/>
            </w:pPr>
            <w:r>
              <w:rPr>
                <w:rFonts w:ascii="Times New Roman" w:hAnsi="Times New Roman" w:eastAsia="Times New Roman" w:cs="Times New Roman"/>
                <w:b w:val="0"/>
                <w:bCs w:val="0"/>
                <w:color w:val="1F2933"/>
                <w:sz w:val="18"/>
                <w:szCs w:val="18"/>
              </w:rPr>
              <w:t>111</w:t>
            </w:r>
          </w:p>
        </w:tc>
        <w:tc>
          <w:tcPr>
            <w:tcW w:w="740" w:type="dxa"/>
            <w:tcMar>
              <w:top w:w="40" w:type="dxa"/>
              <w:left w:w="80" w:type="dxa"/>
              <w:bottom w:w="40" w:type="dxa"/>
              <w:right w:w="80" w:type="dxa"/>
            </w:tcMar>
          </w:tcPr>
          <w:p w14:paraId="68C8E7A0">
            <w:pPr>
              <w:jc w:val="right"/>
            </w:pPr>
            <w:r>
              <w:rPr>
                <w:rFonts w:ascii="Times New Roman" w:hAnsi="Times New Roman" w:eastAsia="Times New Roman" w:cs="Times New Roman"/>
                <w:b w:val="0"/>
                <w:bCs w:val="0"/>
                <w:color w:val="1F2933"/>
                <w:sz w:val="18"/>
                <w:szCs w:val="18"/>
              </w:rPr>
              <w:t>0.145</w:t>
            </w:r>
          </w:p>
        </w:tc>
        <w:tc>
          <w:tcPr>
            <w:tcW w:w="740" w:type="dxa"/>
            <w:tcMar>
              <w:top w:w="40" w:type="dxa"/>
              <w:left w:w="80" w:type="dxa"/>
              <w:bottom w:w="40" w:type="dxa"/>
              <w:right w:w="80" w:type="dxa"/>
            </w:tcMar>
          </w:tcPr>
          <w:p w14:paraId="3565E6DC">
            <w:pPr>
              <w:jc w:val="right"/>
            </w:pPr>
            <w:r>
              <w:rPr>
                <w:rFonts w:ascii="Times New Roman" w:hAnsi="Times New Roman" w:eastAsia="Times New Roman" w:cs="Times New Roman"/>
                <w:b w:val="0"/>
                <w:bCs w:val="0"/>
                <w:color w:val="1F2933"/>
                <w:sz w:val="18"/>
                <w:szCs w:val="18"/>
              </w:rPr>
              <w:t>0.929</w:t>
            </w:r>
          </w:p>
        </w:tc>
        <w:tc>
          <w:tcPr>
            <w:tcW w:w="1280" w:type="dxa"/>
            <w:tcMar>
              <w:top w:w="40" w:type="dxa"/>
              <w:left w:w="80" w:type="dxa"/>
              <w:bottom w:w="40" w:type="dxa"/>
              <w:right w:w="80" w:type="dxa"/>
            </w:tcMar>
          </w:tcPr>
          <w:p w14:paraId="7171C710">
            <w:pPr>
              <w:jc w:val="right"/>
            </w:pPr>
            <w:r>
              <w:rPr>
                <w:rFonts w:ascii="Times New Roman" w:hAnsi="Times New Roman" w:eastAsia="Times New Roman" w:cs="Times New Roman"/>
                <w:b w:val="0"/>
                <w:bCs w:val="0"/>
                <w:color w:val="1F2933"/>
                <w:sz w:val="18"/>
                <w:szCs w:val="18"/>
              </w:rPr>
              <w:t>0.537</w:t>
            </w:r>
          </w:p>
        </w:tc>
      </w:tr>
      <w:tr w14:paraId="01620E35">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shd w:val="clear" w:color="auto" w:fill="F1F5F9"/>
            <w:tcMar>
              <w:top w:w="40" w:type="dxa"/>
              <w:left w:w="80" w:type="dxa"/>
              <w:bottom w:w="40" w:type="dxa"/>
              <w:right w:w="80" w:type="dxa"/>
            </w:tcMar>
          </w:tcPr>
          <w:p w14:paraId="285D5033">
            <w:pPr>
              <w:jc w:val="left"/>
            </w:pPr>
            <w:r>
              <w:rPr>
                <w:rFonts w:ascii="Times New Roman" w:hAnsi="Times New Roman" w:eastAsia="Times New Roman" w:cs="Times New Roman"/>
                <w:b w:val="0"/>
                <w:bCs w:val="0"/>
                <w:color w:val="1F2933"/>
                <w:sz w:val="18"/>
                <w:szCs w:val="18"/>
              </w:rPr>
              <w:t>High MFCC 1 Mean</w:t>
            </w:r>
          </w:p>
        </w:tc>
        <w:tc>
          <w:tcPr>
            <w:tcW w:w="1120" w:type="dxa"/>
            <w:shd w:val="clear" w:color="auto" w:fill="F1F5F9"/>
            <w:tcMar>
              <w:top w:w="40" w:type="dxa"/>
              <w:left w:w="80" w:type="dxa"/>
              <w:bottom w:w="40" w:type="dxa"/>
              <w:right w:w="80" w:type="dxa"/>
            </w:tcMar>
          </w:tcPr>
          <w:p w14:paraId="1C4D985C">
            <w:pPr>
              <w:jc w:val="left"/>
            </w:pPr>
            <w:r>
              <w:rPr>
                <w:rFonts w:ascii="Times New Roman" w:hAnsi="Times New Roman" w:eastAsia="Times New Roman" w:cs="Times New Roman"/>
                <w:b w:val="0"/>
                <w:bCs w:val="0"/>
                <w:color w:val="1F2933"/>
                <w:sz w:val="18"/>
                <w:szCs w:val="18"/>
              </w:rPr>
              <w:t>mfcc_mean_0</w:t>
            </w:r>
          </w:p>
        </w:tc>
        <w:tc>
          <w:tcPr>
            <w:tcW w:w="640" w:type="dxa"/>
            <w:shd w:val="clear" w:color="auto" w:fill="F1F5F9"/>
            <w:tcMar>
              <w:top w:w="40" w:type="dxa"/>
              <w:left w:w="80" w:type="dxa"/>
              <w:bottom w:w="40" w:type="dxa"/>
              <w:right w:w="80" w:type="dxa"/>
            </w:tcMar>
          </w:tcPr>
          <w:p w14:paraId="65F5443E">
            <w:pPr>
              <w:jc w:val="right"/>
            </w:pPr>
            <w:r>
              <w:rPr>
                <w:rFonts w:ascii="Times New Roman" w:hAnsi="Times New Roman" w:eastAsia="Times New Roman" w:cs="Times New Roman"/>
                <w:b w:val="0"/>
                <w:bCs w:val="0"/>
                <w:color w:val="1F2933"/>
                <w:sz w:val="18"/>
                <w:szCs w:val="18"/>
              </w:rPr>
              <w:t>high</w:t>
            </w:r>
          </w:p>
        </w:tc>
        <w:tc>
          <w:tcPr>
            <w:tcW w:w="1160" w:type="dxa"/>
            <w:shd w:val="clear" w:color="auto" w:fill="F1F5F9"/>
            <w:tcMar>
              <w:top w:w="40" w:type="dxa"/>
              <w:left w:w="80" w:type="dxa"/>
              <w:bottom w:w="40" w:type="dxa"/>
              <w:right w:w="80" w:type="dxa"/>
            </w:tcMar>
          </w:tcPr>
          <w:p w14:paraId="630B1636">
            <w:pPr>
              <w:jc w:val="right"/>
            </w:pPr>
            <w:r>
              <w:rPr>
                <w:rFonts w:ascii="Times New Roman" w:hAnsi="Times New Roman" w:eastAsia="Times New Roman" w:cs="Times New Roman"/>
                <w:b w:val="0"/>
                <w:bCs w:val="0"/>
                <w:color w:val="1F2933"/>
                <w:sz w:val="18"/>
                <w:szCs w:val="18"/>
              </w:rPr>
              <w:t>−85.899466</w:t>
            </w:r>
          </w:p>
        </w:tc>
        <w:tc>
          <w:tcPr>
            <w:tcW w:w="520" w:type="dxa"/>
            <w:shd w:val="clear" w:color="auto" w:fill="F1F5F9"/>
            <w:tcMar>
              <w:top w:w="40" w:type="dxa"/>
              <w:left w:w="80" w:type="dxa"/>
              <w:bottom w:w="40" w:type="dxa"/>
              <w:right w:w="80" w:type="dxa"/>
            </w:tcMar>
          </w:tcPr>
          <w:p w14:paraId="2D2DD62C">
            <w:pPr>
              <w:jc w:val="right"/>
            </w:pPr>
            <w:r>
              <w:rPr>
                <w:rFonts w:ascii="Times New Roman" w:hAnsi="Times New Roman" w:eastAsia="Times New Roman" w:cs="Times New Roman"/>
                <w:b w:val="0"/>
                <w:bCs w:val="0"/>
                <w:color w:val="1F2933"/>
                <w:sz w:val="18"/>
                <w:szCs w:val="18"/>
              </w:rPr>
              <w:t>111</w:t>
            </w:r>
          </w:p>
        </w:tc>
        <w:tc>
          <w:tcPr>
            <w:tcW w:w="740" w:type="dxa"/>
            <w:shd w:val="clear" w:color="auto" w:fill="F1F5F9"/>
            <w:tcMar>
              <w:top w:w="40" w:type="dxa"/>
              <w:left w:w="80" w:type="dxa"/>
              <w:bottom w:w="40" w:type="dxa"/>
              <w:right w:w="80" w:type="dxa"/>
            </w:tcMar>
          </w:tcPr>
          <w:p w14:paraId="72399EA1">
            <w:pPr>
              <w:jc w:val="right"/>
            </w:pPr>
            <w:r>
              <w:rPr>
                <w:rFonts w:ascii="Times New Roman" w:hAnsi="Times New Roman" w:eastAsia="Times New Roman" w:cs="Times New Roman"/>
                <w:b w:val="0"/>
                <w:bCs w:val="0"/>
                <w:color w:val="1F2933"/>
                <w:sz w:val="18"/>
                <w:szCs w:val="18"/>
              </w:rPr>
              <w:t>0.582</w:t>
            </w:r>
          </w:p>
        </w:tc>
        <w:tc>
          <w:tcPr>
            <w:tcW w:w="740" w:type="dxa"/>
            <w:shd w:val="clear" w:color="auto" w:fill="F1F5F9"/>
            <w:tcMar>
              <w:top w:w="40" w:type="dxa"/>
              <w:left w:w="80" w:type="dxa"/>
              <w:bottom w:w="40" w:type="dxa"/>
              <w:right w:w="80" w:type="dxa"/>
            </w:tcMar>
          </w:tcPr>
          <w:p w14:paraId="15CECAA2">
            <w:pPr>
              <w:jc w:val="right"/>
            </w:pPr>
            <w:r>
              <w:rPr>
                <w:rFonts w:ascii="Times New Roman" w:hAnsi="Times New Roman" w:eastAsia="Times New Roman" w:cs="Times New Roman"/>
                <w:b w:val="0"/>
                <w:bCs w:val="0"/>
                <w:color w:val="1F2933"/>
                <w:sz w:val="18"/>
                <w:szCs w:val="18"/>
              </w:rPr>
              <w:t>0.464</w:t>
            </w:r>
          </w:p>
        </w:tc>
        <w:tc>
          <w:tcPr>
            <w:tcW w:w="1280" w:type="dxa"/>
            <w:shd w:val="clear" w:color="auto" w:fill="F1F5F9"/>
            <w:tcMar>
              <w:top w:w="40" w:type="dxa"/>
              <w:left w:w="80" w:type="dxa"/>
              <w:bottom w:w="40" w:type="dxa"/>
              <w:right w:w="80" w:type="dxa"/>
            </w:tcMar>
          </w:tcPr>
          <w:p w14:paraId="0E199EA8">
            <w:pPr>
              <w:jc w:val="right"/>
            </w:pPr>
            <w:r>
              <w:rPr>
                <w:rFonts w:ascii="Times New Roman" w:hAnsi="Times New Roman" w:eastAsia="Times New Roman" w:cs="Times New Roman"/>
                <w:b w:val="0"/>
                <w:bCs w:val="0"/>
                <w:color w:val="1F2933"/>
                <w:sz w:val="18"/>
                <w:szCs w:val="18"/>
              </w:rPr>
              <w:t>0.523</w:t>
            </w:r>
          </w:p>
        </w:tc>
      </w:tr>
      <w:tr w14:paraId="496DCE77">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3A390D49">
            <w:pPr>
              <w:jc w:val="left"/>
            </w:pPr>
            <w:r>
              <w:rPr>
                <w:rFonts w:ascii="Times New Roman" w:hAnsi="Times New Roman" w:eastAsia="Times New Roman" w:cs="Times New Roman"/>
                <w:b w:val="0"/>
                <w:bCs w:val="0"/>
                <w:color w:val="1F2933"/>
                <w:sz w:val="18"/>
                <w:szCs w:val="18"/>
              </w:rPr>
              <w:t>High MFCC 2 Variability</w:t>
            </w:r>
          </w:p>
        </w:tc>
        <w:tc>
          <w:tcPr>
            <w:tcW w:w="1120" w:type="dxa"/>
            <w:tcMar>
              <w:top w:w="40" w:type="dxa"/>
              <w:left w:w="80" w:type="dxa"/>
              <w:bottom w:w="40" w:type="dxa"/>
              <w:right w:w="80" w:type="dxa"/>
            </w:tcMar>
          </w:tcPr>
          <w:p w14:paraId="61C3A1FE">
            <w:pPr>
              <w:jc w:val="left"/>
            </w:pPr>
            <w:r>
              <w:rPr>
                <w:rFonts w:ascii="Times New Roman" w:hAnsi="Times New Roman" w:eastAsia="Times New Roman" w:cs="Times New Roman"/>
                <w:b w:val="0"/>
                <w:bCs w:val="0"/>
                <w:color w:val="1F2933"/>
                <w:sz w:val="18"/>
                <w:szCs w:val="18"/>
              </w:rPr>
              <w:t>mfcc_std_1</w:t>
            </w:r>
          </w:p>
        </w:tc>
        <w:tc>
          <w:tcPr>
            <w:tcW w:w="640" w:type="dxa"/>
            <w:tcMar>
              <w:top w:w="40" w:type="dxa"/>
              <w:left w:w="80" w:type="dxa"/>
              <w:bottom w:w="40" w:type="dxa"/>
              <w:right w:w="80" w:type="dxa"/>
            </w:tcMar>
          </w:tcPr>
          <w:p w14:paraId="76DF5527">
            <w:pPr>
              <w:jc w:val="right"/>
            </w:pPr>
            <w:r>
              <w:rPr>
                <w:rFonts w:ascii="Times New Roman" w:hAnsi="Times New Roman" w:eastAsia="Times New Roman" w:cs="Times New Roman"/>
                <w:b w:val="0"/>
                <w:bCs w:val="0"/>
                <w:color w:val="1F2933"/>
                <w:sz w:val="18"/>
                <w:szCs w:val="18"/>
              </w:rPr>
              <w:t>high</w:t>
            </w:r>
          </w:p>
        </w:tc>
        <w:tc>
          <w:tcPr>
            <w:tcW w:w="1160" w:type="dxa"/>
            <w:tcMar>
              <w:top w:w="40" w:type="dxa"/>
              <w:left w:w="80" w:type="dxa"/>
              <w:bottom w:w="40" w:type="dxa"/>
              <w:right w:w="80" w:type="dxa"/>
            </w:tcMar>
          </w:tcPr>
          <w:p w14:paraId="64D72AE0">
            <w:pPr>
              <w:jc w:val="right"/>
            </w:pPr>
            <w:r>
              <w:rPr>
                <w:rFonts w:ascii="Times New Roman" w:hAnsi="Times New Roman" w:eastAsia="Times New Roman" w:cs="Times New Roman"/>
                <w:b w:val="0"/>
                <w:bCs w:val="0"/>
                <w:color w:val="1F2933"/>
                <w:sz w:val="18"/>
                <w:szCs w:val="18"/>
              </w:rPr>
              <w:t>4.798455</w:t>
            </w:r>
          </w:p>
        </w:tc>
        <w:tc>
          <w:tcPr>
            <w:tcW w:w="520" w:type="dxa"/>
            <w:tcMar>
              <w:top w:w="40" w:type="dxa"/>
              <w:left w:w="80" w:type="dxa"/>
              <w:bottom w:w="40" w:type="dxa"/>
              <w:right w:w="80" w:type="dxa"/>
            </w:tcMar>
          </w:tcPr>
          <w:p w14:paraId="5392FA78">
            <w:pPr>
              <w:jc w:val="right"/>
            </w:pPr>
            <w:r>
              <w:rPr>
                <w:rFonts w:ascii="Times New Roman" w:hAnsi="Times New Roman" w:eastAsia="Times New Roman" w:cs="Times New Roman"/>
                <w:b w:val="0"/>
                <w:bCs w:val="0"/>
                <w:color w:val="1F2933"/>
                <w:sz w:val="18"/>
                <w:szCs w:val="18"/>
              </w:rPr>
              <w:t>111</w:t>
            </w:r>
          </w:p>
        </w:tc>
        <w:tc>
          <w:tcPr>
            <w:tcW w:w="740" w:type="dxa"/>
            <w:tcMar>
              <w:top w:w="40" w:type="dxa"/>
              <w:left w:w="80" w:type="dxa"/>
              <w:bottom w:w="40" w:type="dxa"/>
              <w:right w:w="80" w:type="dxa"/>
            </w:tcMar>
          </w:tcPr>
          <w:p w14:paraId="2D563E08">
            <w:pPr>
              <w:jc w:val="right"/>
            </w:pPr>
            <w:r>
              <w:rPr>
                <w:rFonts w:ascii="Times New Roman" w:hAnsi="Times New Roman" w:eastAsia="Times New Roman" w:cs="Times New Roman"/>
                <w:b w:val="0"/>
                <w:bCs w:val="0"/>
                <w:color w:val="1F2933"/>
                <w:sz w:val="18"/>
                <w:szCs w:val="18"/>
              </w:rPr>
              <w:t>0.691</w:t>
            </w:r>
          </w:p>
        </w:tc>
        <w:tc>
          <w:tcPr>
            <w:tcW w:w="740" w:type="dxa"/>
            <w:tcMar>
              <w:top w:w="40" w:type="dxa"/>
              <w:left w:w="80" w:type="dxa"/>
              <w:bottom w:w="40" w:type="dxa"/>
              <w:right w:w="80" w:type="dxa"/>
            </w:tcMar>
          </w:tcPr>
          <w:p w14:paraId="1219A55E">
            <w:pPr>
              <w:jc w:val="right"/>
            </w:pPr>
            <w:r>
              <w:rPr>
                <w:rFonts w:ascii="Times New Roman" w:hAnsi="Times New Roman" w:eastAsia="Times New Roman" w:cs="Times New Roman"/>
                <w:b w:val="0"/>
                <w:bCs w:val="0"/>
                <w:color w:val="1F2933"/>
                <w:sz w:val="18"/>
                <w:szCs w:val="18"/>
              </w:rPr>
              <w:t>0.446</w:t>
            </w:r>
          </w:p>
        </w:tc>
        <w:tc>
          <w:tcPr>
            <w:tcW w:w="1280" w:type="dxa"/>
            <w:tcMar>
              <w:top w:w="40" w:type="dxa"/>
              <w:left w:w="80" w:type="dxa"/>
              <w:bottom w:w="40" w:type="dxa"/>
              <w:right w:w="80" w:type="dxa"/>
            </w:tcMar>
          </w:tcPr>
          <w:p w14:paraId="6F8E4E70">
            <w:pPr>
              <w:jc w:val="right"/>
            </w:pPr>
            <w:r>
              <w:rPr>
                <w:rFonts w:ascii="Times New Roman" w:hAnsi="Times New Roman" w:eastAsia="Times New Roman" w:cs="Times New Roman"/>
                <w:b w:val="0"/>
                <w:bCs w:val="0"/>
                <w:color w:val="1F2933"/>
                <w:sz w:val="18"/>
                <w:szCs w:val="18"/>
              </w:rPr>
              <w:t>0.569</w:t>
            </w:r>
          </w:p>
        </w:tc>
      </w:tr>
      <w:tr w14:paraId="53184CF2">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shd w:val="clear" w:color="auto" w:fill="F1F5F9"/>
            <w:tcMar>
              <w:top w:w="40" w:type="dxa"/>
              <w:left w:w="80" w:type="dxa"/>
              <w:bottom w:w="40" w:type="dxa"/>
              <w:right w:w="80" w:type="dxa"/>
            </w:tcMar>
          </w:tcPr>
          <w:p w14:paraId="2B102246">
            <w:pPr>
              <w:jc w:val="left"/>
            </w:pPr>
            <w:r>
              <w:rPr>
                <w:rFonts w:ascii="Times New Roman" w:hAnsi="Times New Roman" w:eastAsia="Times New Roman" w:cs="Times New Roman"/>
                <w:b w:val="0"/>
                <w:bCs w:val="0"/>
                <w:color w:val="1F2933"/>
                <w:sz w:val="18"/>
                <w:szCs w:val="18"/>
              </w:rPr>
              <w:t>Low MFCC 3 Mean</w:t>
            </w:r>
          </w:p>
        </w:tc>
        <w:tc>
          <w:tcPr>
            <w:tcW w:w="1120" w:type="dxa"/>
            <w:shd w:val="clear" w:color="auto" w:fill="F1F5F9"/>
            <w:tcMar>
              <w:top w:w="40" w:type="dxa"/>
              <w:left w:w="80" w:type="dxa"/>
              <w:bottom w:w="40" w:type="dxa"/>
              <w:right w:w="80" w:type="dxa"/>
            </w:tcMar>
          </w:tcPr>
          <w:p w14:paraId="1568F2A0">
            <w:pPr>
              <w:jc w:val="left"/>
            </w:pPr>
            <w:r>
              <w:rPr>
                <w:rFonts w:ascii="Times New Roman" w:hAnsi="Times New Roman" w:eastAsia="Times New Roman" w:cs="Times New Roman"/>
                <w:b w:val="0"/>
                <w:bCs w:val="0"/>
                <w:color w:val="1F2933"/>
                <w:sz w:val="18"/>
                <w:szCs w:val="18"/>
              </w:rPr>
              <w:t>mfcc_mean_2</w:t>
            </w:r>
          </w:p>
        </w:tc>
        <w:tc>
          <w:tcPr>
            <w:tcW w:w="640" w:type="dxa"/>
            <w:shd w:val="clear" w:color="auto" w:fill="F1F5F9"/>
            <w:tcMar>
              <w:top w:w="40" w:type="dxa"/>
              <w:left w:w="80" w:type="dxa"/>
              <w:bottom w:w="40" w:type="dxa"/>
              <w:right w:w="80" w:type="dxa"/>
            </w:tcMar>
          </w:tcPr>
          <w:p w14:paraId="4617D033">
            <w:pPr>
              <w:jc w:val="right"/>
            </w:pPr>
            <w:r>
              <w:rPr>
                <w:rFonts w:ascii="Times New Roman" w:hAnsi="Times New Roman" w:eastAsia="Times New Roman" w:cs="Times New Roman"/>
                <w:b w:val="0"/>
                <w:bCs w:val="0"/>
                <w:color w:val="1F2933"/>
                <w:sz w:val="18"/>
                <w:szCs w:val="18"/>
              </w:rPr>
              <w:t>low</w:t>
            </w:r>
          </w:p>
        </w:tc>
        <w:tc>
          <w:tcPr>
            <w:tcW w:w="1160" w:type="dxa"/>
            <w:shd w:val="clear" w:color="auto" w:fill="F1F5F9"/>
            <w:tcMar>
              <w:top w:w="40" w:type="dxa"/>
              <w:left w:w="80" w:type="dxa"/>
              <w:bottom w:w="40" w:type="dxa"/>
              <w:right w:w="80" w:type="dxa"/>
            </w:tcMar>
          </w:tcPr>
          <w:p w14:paraId="363FBD7C">
            <w:pPr>
              <w:jc w:val="right"/>
            </w:pPr>
            <w:r>
              <w:rPr>
                <w:rFonts w:ascii="Times New Roman" w:hAnsi="Times New Roman" w:eastAsia="Times New Roman" w:cs="Times New Roman"/>
                <w:b w:val="0"/>
                <w:bCs w:val="0"/>
                <w:color w:val="1F2933"/>
                <w:sz w:val="18"/>
                <w:szCs w:val="18"/>
              </w:rPr>
              <w:t>−0.375294</w:t>
            </w:r>
          </w:p>
        </w:tc>
        <w:tc>
          <w:tcPr>
            <w:tcW w:w="520" w:type="dxa"/>
            <w:shd w:val="clear" w:color="auto" w:fill="F1F5F9"/>
            <w:tcMar>
              <w:top w:w="40" w:type="dxa"/>
              <w:left w:w="80" w:type="dxa"/>
              <w:bottom w:w="40" w:type="dxa"/>
              <w:right w:w="80" w:type="dxa"/>
            </w:tcMar>
          </w:tcPr>
          <w:p w14:paraId="1A00395D">
            <w:pPr>
              <w:jc w:val="right"/>
            </w:pPr>
            <w:r>
              <w:rPr>
                <w:rFonts w:ascii="Times New Roman" w:hAnsi="Times New Roman" w:eastAsia="Times New Roman" w:cs="Times New Roman"/>
                <w:b w:val="0"/>
                <w:bCs w:val="0"/>
                <w:color w:val="1F2933"/>
                <w:sz w:val="18"/>
                <w:szCs w:val="18"/>
              </w:rPr>
              <w:t>111</w:t>
            </w:r>
          </w:p>
        </w:tc>
        <w:tc>
          <w:tcPr>
            <w:tcW w:w="740" w:type="dxa"/>
            <w:shd w:val="clear" w:color="auto" w:fill="F1F5F9"/>
            <w:tcMar>
              <w:top w:w="40" w:type="dxa"/>
              <w:left w:w="80" w:type="dxa"/>
              <w:bottom w:w="40" w:type="dxa"/>
              <w:right w:w="80" w:type="dxa"/>
            </w:tcMar>
          </w:tcPr>
          <w:p w14:paraId="46049063">
            <w:pPr>
              <w:jc w:val="right"/>
            </w:pPr>
            <w:r>
              <w:rPr>
                <w:rFonts w:ascii="Times New Roman" w:hAnsi="Times New Roman" w:eastAsia="Times New Roman" w:cs="Times New Roman"/>
                <w:b w:val="0"/>
                <w:bCs w:val="0"/>
                <w:color w:val="1F2933"/>
                <w:sz w:val="18"/>
                <w:szCs w:val="18"/>
              </w:rPr>
              <w:t>0.800</w:t>
            </w:r>
          </w:p>
        </w:tc>
        <w:tc>
          <w:tcPr>
            <w:tcW w:w="740" w:type="dxa"/>
            <w:shd w:val="clear" w:color="auto" w:fill="F1F5F9"/>
            <w:tcMar>
              <w:top w:w="40" w:type="dxa"/>
              <w:left w:w="80" w:type="dxa"/>
              <w:bottom w:w="40" w:type="dxa"/>
              <w:right w:w="80" w:type="dxa"/>
            </w:tcMar>
          </w:tcPr>
          <w:p w14:paraId="1787176B">
            <w:pPr>
              <w:jc w:val="right"/>
            </w:pPr>
            <w:r>
              <w:rPr>
                <w:rFonts w:ascii="Times New Roman" w:hAnsi="Times New Roman" w:eastAsia="Times New Roman" w:cs="Times New Roman"/>
                <w:b w:val="0"/>
                <w:bCs w:val="0"/>
                <w:color w:val="1F2933"/>
                <w:sz w:val="18"/>
                <w:szCs w:val="18"/>
              </w:rPr>
              <w:t>0.339</w:t>
            </w:r>
          </w:p>
        </w:tc>
        <w:tc>
          <w:tcPr>
            <w:tcW w:w="1280" w:type="dxa"/>
            <w:shd w:val="clear" w:color="auto" w:fill="F1F5F9"/>
            <w:tcMar>
              <w:top w:w="40" w:type="dxa"/>
              <w:left w:w="80" w:type="dxa"/>
              <w:bottom w:w="40" w:type="dxa"/>
              <w:right w:w="80" w:type="dxa"/>
            </w:tcMar>
          </w:tcPr>
          <w:p w14:paraId="380A67C3">
            <w:pPr>
              <w:jc w:val="right"/>
            </w:pPr>
            <w:r>
              <w:rPr>
                <w:rFonts w:ascii="Times New Roman" w:hAnsi="Times New Roman" w:eastAsia="Times New Roman" w:cs="Times New Roman"/>
                <w:b w:val="0"/>
                <w:bCs w:val="0"/>
                <w:color w:val="1F2933"/>
                <w:sz w:val="18"/>
                <w:szCs w:val="18"/>
              </w:rPr>
              <w:t>0.570</w:t>
            </w:r>
          </w:p>
        </w:tc>
      </w:tr>
      <w:tr w14:paraId="78E70E90">
        <w:tblPrEx>
          <w:tblBorders>
            <w:top w:val="single" w:color="9AA5B1" w:sz="4" w:space="0"/>
            <w:left w:val="none" w:color="auto" w:sz="0" w:space="0"/>
            <w:bottom w:val="single" w:color="9AA5B1" w:sz="4" w:space="0"/>
            <w:right w:val="none" w:color="auto" w:sz="0" w:space="0"/>
            <w:insideH w:val="single" w:color="E2E8F0" w:sz="2" w:space="0"/>
            <w:insideV w:val="none" w:color="auto" w:sz="0" w:space="0"/>
          </w:tblBorders>
          <w:tblCellMar>
            <w:top w:w="0" w:type="dxa"/>
            <w:left w:w="10" w:type="dxa"/>
            <w:bottom w:w="0" w:type="dxa"/>
            <w:right w:w="10" w:type="dxa"/>
          </w:tblCellMar>
        </w:tblPrEx>
        <w:tc>
          <w:tcPr>
            <w:tcW w:w="2100" w:type="dxa"/>
            <w:tcMar>
              <w:top w:w="40" w:type="dxa"/>
              <w:left w:w="80" w:type="dxa"/>
              <w:bottom w:w="40" w:type="dxa"/>
              <w:right w:w="80" w:type="dxa"/>
            </w:tcMar>
          </w:tcPr>
          <w:p w14:paraId="03A187DE">
            <w:pPr>
              <w:jc w:val="left"/>
            </w:pPr>
            <w:r>
              <w:rPr>
                <w:rFonts w:ascii="Times New Roman" w:hAnsi="Times New Roman" w:eastAsia="Times New Roman" w:cs="Times New Roman"/>
                <w:b w:val="0"/>
                <w:bCs w:val="0"/>
                <w:color w:val="1F2933"/>
                <w:sz w:val="18"/>
                <w:szCs w:val="18"/>
              </w:rPr>
              <w:t>High MFCC 4 Variability</w:t>
            </w:r>
          </w:p>
        </w:tc>
        <w:tc>
          <w:tcPr>
            <w:tcW w:w="1120" w:type="dxa"/>
            <w:tcMar>
              <w:top w:w="40" w:type="dxa"/>
              <w:left w:w="80" w:type="dxa"/>
              <w:bottom w:w="40" w:type="dxa"/>
              <w:right w:w="80" w:type="dxa"/>
            </w:tcMar>
          </w:tcPr>
          <w:p w14:paraId="6D7E82C5">
            <w:pPr>
              <w:jc w:val="left"/>
            </w:pPr>
            <w:r>
              <w:rPr>
                <w:rFonts w:ascii="Times New Roman" w:hAnsi="Times New Roman" w:eastAsia="Times New Roman" w:cs="Times New Roman"/>
                <w:b w:val="0"/>
                <w:bCs w:val="0"/>
                <w:color w:val="1F2933"/>
                <w:sz w:val="18"/>
                <w:szCs w:val="18"/>
              </w:rPr>
              <w:t>mfcc_std_3</w:t>
            </w:r>
          </w:p>
        </w:tc>
        <w:tc>
          <w:tcPr>
            <w:tcW w:w="640" w:type="dxa"/>
            <w:tcMar>
              <w:top w:w="40" w:type="dxa"/>
              <w:left w:w="80" w:type="dxa"/>
              <w:bottom w:w="40" w:type="dxa"/>
              <w:right w:w="80" w:type="dxa"/>
            </w:tcMar>
          </w:tcPr>
          <w:p w14:paraId="329F73EB">
            <w:pPr>
              <w:jc w:val="right"/>
            </w:pPr>
            <w:r>
              <w:rPr>
                <w:rFonts w:ascii="Times New Roman" w:hAnsi="Times New Roman" w:eastAsia="Times New Roman" w:cs="Times New Roman"/>
                <w:b w:val="0"/>
                <w:bCs w:val="0"/>
                <w:color w:val="1F2933"/>
                <w:sz w:val="18"/>
                <w:szCs w:val="18"/>
              </w:rPr>
              <w:t>high</w:t>
            </w:r>
          </w:p>
        </w:tc>
        <w:tc>
          <w:tcPr>
            <w:tcW w:w="1160" w:type="dxa"/>
            <w:tcMar>
              <w:top w:w="40" w:type="dxa"/>
              <w:left w:w="80" w:type="dxa"/>
              <w:bottom w:w="40" w:type="dxa"/>
              <w:right w:w="80" w:type="dxa"/>
            </w:tcMar>
          </w:tcPr>
          <w:p w14:paraId="53C7F324">
            <w:pPr>
              <w:jc w:val="right"/>
            </w:pPr>
            <w:r>
              <w:rPr>
                <w:rFonts w:ascii="Times New Roman" w:hAnsi="Times New Roman" w:eastAsia="Times New Roman" w:cs="Times New Roman"/>
                <w:b w:val="0"/>
                <w:bCs w:val="0"/>
                <w:color w:val="1F2933"/>
                <w:sz w:val="18"/>
                <w:szCs w:val="18"/>
              </w:rPr>
              <w:t>2.556283</w:t>
            </w:r>
          </w:p>
        </w:tc>
        <w:tc>
          <w:tcPr>
            <w:tcW w:w="520" w:type="dxa"/>
            <w:tcMar>
              <w:top w:w="40" w:type="dxa"/>
              <w:left w:w="80" w:type="dxa"/>
              <w:bottom w:w="40" w:type="dxa"/>
              <w:right w:w="80" w:type="dxa"/>
            </w:tcMar>
          </w:tcPr>
          <w:p w14:paraId="34192BDE">
            <w:pPr>
              <w:jc w:val="right"/>
            </w:pPr>
            <w:r>
              <w:rPr>
                <w:rFonts w:ascii="Times New Roman" w:hAnsi="Times New Roman" w:eastAsia="Times New Roman" w:cs="Times New Roman"/>
                <w:b w:val="0"/>
                <w:bCs w:val="0"/>
                <w:color w:val="1F2933"/>
                <w:sz w:val="18"/>
                <w:szCs w:val="18"/>
              </w:rPr>
              <w:t>111</w:t>
            </w:r>
          </w:p>
        </w:tc>
        <w:tc>
          <w:tcPr>
            <w:tcW w:w="740" w:type="dxa"/>
            <w:tcMar>
              <w:top w:w="40" w:type="dxa"/>
              <w:left w:w="80" w:type="dxa"/>
              <w:bottom w:w="40" w:type="dxa"/>
              <w:right w:w="80" w:type="dxa"/>
            </w:tcMar>
          </w:tcPr>
          <w:p w14:paraId="5C9406CB">
            <w:pPr>
              <w:jc w:val="right"/>
            </w:pPr>
            <w:r>
              <w:rPr>
                <w:rFonts w:ascii="Times New Roman" w:hAnsi="Times New Roman" w:eastAsia="Times New Roman" w:cs="Times New Roman"/>
                <w:b w:val="0"/>
                <w:bCs w:val="0"/>
                <w:color w:val="1F2933"/>
                <w:sz w:val="18"/>
                <w:szCs w:val="18"/>
              </w:rPr>
              <w:t>0.164</w:t>
            </w:r>
          </w:p>
        </w:tc>
        <w:tc>
          <w:tcPr>
            <w:tcW w:w="740" w:type="dxa"/>
            <w:tcMar>
              <w:top w:w="40" w:type="dxa"/>
              <w:left w:w="80" w:type="dxa"/>
              <w:bottom w:w="40" w:type="dxa"/>
              <w:right w:w="80" w:type="dxa"/>
            </w:tcMar>
          </w:tcPr>
          <w:p w14:paraId="062FA40C">
            <w:pPr>
              <w:jc w:val="right"/>
            </w:pPr>
            <w:r>
              <w:rPr>
                <w:rFonts w:ascii="Times New Roman" w:hAnsi="Times New Roman" w:eastAsia="Times New Roman" w:cs="Times New Roman"/>
                <w:b w:val="0"/>
                <w:bCs w:val="0"/>
                <w:color w:val="1F2933"/>
                <w:sz w:val="18"/>
                <w:szCs w:val="18"/>
              </w:rPr>
              <w:t>0.929</w:t>
            </w:r>
          </w:p>
        </w:tc>
        <w:tc>
          <w:tcPr>
            <w:tcW w:w="1280" w:type="dxa"/>
            <w:tcMar>
              <w:top w:w="40" w:type="dxa"/>
              <w:left w:w="80" w:type="dxa"/>
              <w:bottom w:w="40" w:type="dxa"/>
              <w:right w:w="80" w:type="dxa"/>
            </w:tcMar>
          </w:tcPr>
          <w:p w14:paraId="7072FE99">
            <w:pPr>
              <w:jc w:val="right"/>
            </w:pPr>
            <w:r>
              <w:rPr>
                <w:rFonts w:ascii="Times New Roman" w:hAnsi="Times New Roman" w:eastAsia="Times New Roman" w:cs="Times New Roman"/>
                <w:b w:val="0"/>
                <w:bCs w:val="0"/>
                <w:color w:val="1F2933"/>
                <w:sz w:val="18"/>
                <w:szCs w:val="18"/>
              </w:rPr>
              <w:t>0.546</w:t>
            </w:r>
          </w:p>
        </w:tc>
      </w:tr>
    </w:tbl>
    <w:p w14:paraId="5F3EEF49">
      <w:pPr>
        <w:spacing w:before="80" w:after="220"/>
        <w:jc w:val="left"/>
      </w:pPr>
      <w:r>
        <w:rPr>
          <w:rFonts w:ascii="Times New Roman" w:hAnsi="Times New Roman" w:eastAsia="Times New Roman" w:cs="Times New Roman"/>
          <w:i/>
          <w:iCs/>
          <w:color w:val="475569"/>
          <w:sz w:val="20"/>
          <w:szCs w:val="20"/>
        </w:rPr>
        <w:t>Table A.1. Full calibrated acoustic operating thresholds (DAIC-WOZ, PHQ-8 ≥ 10 reference).</w:t>
      </w:r>
    </w:p>
    <w:p w14:paraId="326CE062">
      <w:r>
        <w:br w:type="page"/>
      </w:r>
    </w:p>
    <w:p w14:paraId="4392CFDA">
      <w:pPr>
        <w:pStyle w:val="2"/>
        <w:keepNext/>
        <w:spacing w:before="360" w:after="200"/>
      </w:pPr>
      <w:r>
        <w:t>Appendix B  Knowledge Graph Inventory</w:t>
      </w:r>
    </w:p>
    <w:p w14:paraId="628CBD1C">
      <w:pPr>
        <w:spacing w:after="120" w:line="480" w:lineRule="auto"/>
        <w:jc w:val="both"/>
      </w:pPr>
      <w:r>
        <w:rPr>
          <w:rFonts w:ascii="Times New Roman" w:hAnsi="Times New Roman" w:eastAsia="Times New Roman" w:cs="Times New Roman"/>
          <w:sz w:val="24"/>
          <w:szCs w:val="24"/>
        </w:rPr>
        <w:t>The Clinical Knowledge Graph contains 24 nodes and 27 edges, with 11 active biomarker rules. Nodes are of six types, and edges use a deliberately cautious relationship vocabulary so that no path can be read as a diagnostic claim.</w:t>
      </w:r>
    </w:p>
    <w:p w14:paraId="39510178">
      <w:pPr>
        <w:pStyle w:val="3"/>
        <w:keepNext/>
        <w:spacing w:before="280" w:after="140"/>
      </w:pPr>
      <w:r>
        <w:t>B.1  Node Types</w:t>
      </w:r>
    </w:p>
    <w:p w14:paraId="1E8173C7">
      <w:pPr>
        <w:pStyle w:val="16"/>
        <w:numPr>
          <w:ilvl w:val="0"/>
          <w:numId w:val="1"/>
        </w:numPr>
        <w:spacing w:after="120" w:line="480" w:lineRule="auto"/>
        <w:jc w:val="both"/>
      </w:pPr>
      <w:r>
        <w:rPr>
          <w:rFonts w:ascii="Times New Roman" w:hAnsi="Times New Roman" w:eastAsia="Times New Roman" w:cs="Times New Roman"/>
          <w:sz w:val="24"/>
          <w:szCs w:val="24"/>
        </w:rPr>
        <w:t>Biomarker — calibrated acoustic markers such as High Pause Ratio, Low Speech Rate, High Pitch Variability, Low Vocal Energy, and the MFCC-based markers.</w:t>
      </w:r>
    </w:p>
    <w:p w14:paraId="5FAFE5D2">
      <w:pPr>
        <w:pStyle w:val="16"/>
        <w:numPr>
          <w:ilvl w:val="0"/>
          <w:numId w:val="1"/>
        </w:numPr>
        <w:spacing w:after="120" w:line="480" w:lineRule="auto"/>
        <w:jc w:val="both"/>
      </w:pPr>
      <w:r>
        <w:rPr>
          <w:rFonts w:ascii="Times New Roman" w:hAnsi="Times New Roman" w:eastAsia="Times New Roman" w:cs="Times New Roman"/>
          <w:sz w:val="24"/>
          <w:szCs w:val="24"/>
        </w:rPr>
        <w:t>ClinicalConcept — interpretable intermediate concepts such as Speech Disruption, Reduced Expressivity, Vocal Instability, and Spectral Shift.</w:t>
      </w:r>
    </w:p>
    <w:p w14:paraId="23F8701D">
      <w:pPr>
        <w:pStyle w:val="16"/>
        <w:numPr>
          <w:ilvl w:val="0"/>
          <w:numId w:val="1"/>
        </w:numPr>
        <w:spacing w:after="120" w:line="480" w:lineRule="auto"/>
        <w:jc w:val="both"/>
      </w:pPr>
      <w:r>
        <w:rPr>
          <w:rFonts w:ascii="Times New Roman" w:hAnsi="Times New Roman" w:eastAsia="Times New Roman" w:cs="Times New Roman"/>
          <w:sz w:val="24"/>
          <w:szCs w:val="24"/>
        </w:rPr>
        <w:t>Symptom — symptom-level concepts such as Difficulty Concentrating and Psychomotor Slowing.</w:t>
      </w:r>
    </w:p>
    <w:p w14:paraId="0E5AF011">
      <w:pPr>
        <w:pStyle w:val="16"/>
        <w:numPr>
          <w:ilvl w:val="0"/>
          <w:numId w:val="1"/>
        </w:numPr>
        <w:spacing w:after="120" w:line="480" w:lineRule="auto"/>
        <w:jc w:val="both"/>
      </w:pPr>
      <w:r>
        <w:rPr>
          <w:rFonts w:ascii="Times New Roman" w:hAnsi="Times New Roman" w:eastAsia="Times New Roman" w:cs="Times New Roman"/>
          <w:sz w:val="24"/>
          <w:szCs w:val="24"/>
        </w:rPr>
        <w:t>ScreeningConstruct — the PHQ-8 Depression Severity screening construct.</w:t>
      </w:r>
    </w:p>
    <w:p w14:paraId="74DBBC70">
      <w:pPr>
        <w:pStyle w:val="16"/>
        <w:numPr>
          <w:ilvl w:val="0"/>
          <w:numId w:val="1"/>
        </w:numPr>
        <w:spacing w:after="120" w:line="480" w:lineRule="auto"/>
        <w:jc w:val="both"/>
      </w:pPr>
      <w:r>
        <w:rPr>
          <w:rFonts w:ascii="Times New Roman" w:hAnsi="Times New Roman" w:eastAsia="Times New Roman" w:cs="Times New Roman"/>
          <w:sz w:val="24"/>
          <w:szCs w:val="24"/>
        </w:rPr>
        <w:t>Risk — screening-risk nodes such as Depression Screening Risk and Clinical Review.</w:t>
      </w:r>
    </w:p>
    <w:p w14:paraId="7032084A">
      <w:pPr>
        <w:pStyle w:val="16"/>
        <w:numPr>
          <w:ilvl w:val="0"/>
          <w:numId w:val="1"/>
        </w:numPr>
        <w:spacing w:after="120" w:line="480" w:lineRule="auto"/>
        <w:jc w:val="both"/>
      </w:pPr>
      <w:r>
        <w:rPr>
          <w:rFonts w:ascii="Times New Roman" w:hAnsi="Times New Roman" w:eastAsia="Times New Roman" w:cs="Times New Roman"/>
          <w:sz w:val="24"/>
          <w:szCs w:val="24"/>
        </w:rPr>
        <w:t>Intervention — cautious follow-up nodes such as Supportive Follow-up and PHQ-8 Follow-up.</w:t>
      </w:r>
    </w:p>
    <w:p w14:paraId="5325DF38">
      <w:pPr>
        <w:pStyle w:val="3"/>
        <w:keepNext/>
        <w:spacing w:before="280" w:after="140"/>
      </w:pPr>
      <w:r>
        <w:t>B.2  Edge Relationship Vocabulary</w:t>
      </w:r>
    </w:p>
    <w:p w14:paraId="51D42694">
      <w:pPr>
        <w:pStyle w:val="16"/>
        <w:numPr>
          <w:ilvl w:val="0"/>
          <w:numId w:val="1"/>
        </w:numPr>
        <w:spacing w:after="120" w:line="480" w:lineRule="auto"/>
        <w:jc w:val="both"/>
      </w:pPr>
      <w:r>
        <w:rPr>
          <w:rFonts w:ascii="Times New Roman" w:hAnsi="Times New Roman" w:eastAsia="Times New Roman" w:cs="Times New Roman"/>
          <w:sz w:val="24"/>
          <w:szCs w:val="24"/>
        </w:rPr>
        <w:t>indicates — a biomarker indicates an intermediate clinical concept.</w:t>
      </w:r>
    </w:p>
    <w:p w14:paraId="6466CB17">
      <w:pPr>
        <w:pStyle w:val="16"/>
        <w:numPr>
          <w:ilvl w:val="0"/>
          <w:numId w:val="1"/>
        </w:numPr>
        <w:spacing w:after="120" w:line="480" w:lineRule="auto"/>
        <w:jc w:val="both"/>
      </w:pPr>
      <w:r>
        <w:rPr>
          <w:rFonts w:ascii="Times New Roman" w:hAnsi="Times New Roman" w:eastAsia="Times New Roman" w:cs="Times New Roman"/>
          <w:sz w:val="24"/>
          <w:szCs w:val="24"/>
        </w:rPr>
        <w:t>may_support — a concept may support a symptom-level interpretation.</w:t>
      </w:r>
    </w:p>
    <w:p w14:paraId="4200294C">
      <w:pPr>
        <w:pStyle w:val="16"/>
        <w:numPr>
          <w:ilvl w:val="0"/>
          <w:numId w:val="1"/>
        </w:numPr>
        <w:spacing w:after="120" w:line="480" w:lineRule="auto"/>
        <w:jc w:val="both"/>
      </w:pPr>
      <w:r>
        <w:rPr>
          <w:rFonts w:ascii="Times New Roman" w:hAnsi="Times New Roman" w:eastAsia="Times New Roman" w:cs="Times New Roman"/>
          <w:sz w:val="24"/>
          <w:szCs w:val="24"/>
        </w:rPr>
        <w:t>contributes_to — a symptom contributes to a screening construct.</w:t>
      </w:r>
    </w:p>
    <w:p w14:paraId="4114406A">
      <w:pPr>
        <w:pStyle w:val="16"/>
        <w:numPr>
          <w:ilvl w:val="0"/>
          <w:numId w:val="1"/>
        </w:numPr>
        <w:spacing w:after="120" w:line="480" w:lineRule="auto"/>
        <w:jc w:val="both"/>
      </w:pPr>
      <w:r>
        <w:rPr>
          <w:rFonts w:ascii="Times New Roman" w:hAnsi="Times New Roman" w:eastAsia="Times New Roman" w:cs="Times New Roman"/>
          <w:sz w:val="24"/>
          <w:szCs w:val="24"/>
        </w:rPr>
        <w:t>estimates — a screening construct estimates screening status.</w:t>
      </w:r>
    </w:p>
    <w:p w14:paraId="5FA75E4B">
      <w:pPr>
        <w:pStyle w:val="16"/>
        <w:numPr>
          <w:ilvl w:val="0"/>
          <w:numId w:val="1"/>
        </w:numPr>
        <w:spacing w:after="120" w:line="480" w:lineRule="auto"/>
        <w:jc w:val="both"/>
      </w:pPr>
      <w:r>
        <w:rPr>
          <w:rFonts w:ascii="Times New Roman" w:hAnsi="Times New Roman" w:eastAsia="Times New Roman" w:cs="Times New Roman"/>
          <w:sz w:val="24"/>
          <w:szCs w:val="24"/>
        </w:rPr>
        <w:t>recommends — a risk node recommends a follow-up action.</w:t>
      </w:r>
    </w:p>
    <w:p w14:paraId="76C68F89">
      <w:pPr>
        <w:pStyle w:val="16"/>
        <w:numPr>
          <w:ilvl w:val="0"/>
          <w:numId w:val="1"/>
        </w:numPr>
        <w:spacing w:after="120" w:line="480" w:lineRule="auto"/>
        <w:jc w:val="both"/>
      </w:pPr>
      <w:r>
        <w:rPr>
          <w:rFonts w:ascii="Times New Roman" w:hAnsi="Times New Roman" w:eastAsia="Times New Roman" w:cs="Times New Roman"/>
          <w:sz w:val="24"/>
          <w:szCs w:val="24"/>
        </w:rPr>
        <w:t>may_benefit_from — a state may benefit from a supportive intervention.</w:t>
      </w:r>
    </w:p>
    <w:p w14:paraId="7C63AE06">
      <w:pPr>
        <w:spacing w:after="120" w:line="480" w:lineRule="auto"/>
        <w:jc w:val="both"/>
      </w:pPr>
      <w:r>
        <w:rPr>
          <w:rFonts w:ascii="Times New Roman" w:hAnsi="Times New Roman" w:eastAsia="Times New Roman" w:cs="Times New Roman"/>
          <w:sz w:val="24"/>
          <w:szCs w:val="24"/>
        </w:rPr>
        <w:t>The conservative vocabulary is a deliberate safeguard: the graph never asserts that a biomarker causes depression. Even read literally, a retrieved path remains hedged and non-diagnostic.</w:t>
      </w:r>
    </w:p>
    <w:p w14:paraId="6EAA1AB9">
      <w:r>
        <w:br w:type="page"/>
      </w:r>
    </w:p>
    <w:p w14:paraId="7854CD97">
      <w:pPr>
        <w:pStyle w:val="2"/>
        <w:keepNext/>
        <w:spacing w:before="360" w:after="200"/>
      </w:pPr>
      <w:r>
        <w:t>Appendix C  Project Structure and Key Files</w:t>
      </w:r>
    </w:p>
    <w:p w14:paraId="02D9B2E7">
      <w:pPr>
        <w:spacing w:after="120" w:line="480" w:lineRule="auto"/>
        <w:jc w:val="both"/>
      </w:pPr>
      <w:r>
        <w:rPr>
          <w:rFonts w:ascii="Times New Roman" w:hAnsi="Times New Roman" w:eastAsia="Times New Roman" w:cs="Times New Roman"/>
          <w:sz w:val="24"/>
          <w:szCs w:val="24"/>
        </w:rPr>
        <w:t>The implementation is organised into four main source areas and a data directory for the knowledge graph and calibration artefacts.</w:t>
      </w:r>
    </w:p>
    <w:p w14:paraId="00907DC1">
      <w:pPr>
        <w:shd w:val="clear" w:fill="F1F5F9"/>
        <w:spacing w:before="60" w:after="0" w:line="240" w:lineRule="auto"/>
        <w:ind w:left="180" w:right="180"/>
      </w:pPr>
      <w:r>
        <w:rPr>
          <w:rFonts w:ascii="Courier New" w:hAnsi="Courier New" w:eastAsia="Courier New" w:cs="Courier New"/>
          <w:color w:val="1E293B"/>
          <w:sz w:val="19"/>
          <w:szCs w:val="19"/>
        </w:rPr>
        <w:t>src/</w:t>
      </w:r>
    </w:p>
    <w:p w14:paraId="4A1939FC">
      <w:pPr>
        <w:shd w:val="clear" w:fill="F1F5F9"/>
        <w:spacing w:before="0" w:after="0" w:line="240" w:lineRule="auto"/>
        <w:ind w:left="180" w:right="180"/>
      </w:pPr>
      <w:r>
        <w:rPr>
          <w:rFonts w:ascii="Courier New" w:hAnsi="Courier New" w:eastAsia="Courier New" w:cs="Courier New"/>
          <w:color w:val="1E293B"/>
          <w:sz w:val="19"/>
          <w:szCs w:val="19"/>
        </w:rPr>
        <w:t xml:space="preserve">  feature_extraction.py      # WAV loading and audio feature extraction</w:t>
      </w:r>
    </w:p>
    <w:p w14:paraId="789098F7">
      <w:pPr>
        <w:shd w:val="clear" w:fill="F1F5F9"/>
        <w:spacing w:before="0" w:after="0" w:line="240" w:lineRule="auto"/>
        <w:ind w:left="180" w:right="180"/>
      </w:pPr>
      <w:r>
        <w:rPr>
          <w:rFonts w:ascii="Courier New" w:hAnsi="Courier New" w:eastAsia="Courier New" w:cs="Courier New"/>
          <w:color w:val="1E293B"/>
          <w:sz w:val="19"/>
          <w:szCs w:val="19"/>
        </w:rPr>
        <w:t xml:space="preserve">  graph/                     # KG loading, validation, mapping, inspection</w:t>
      </w:r>
    </w:p>
    <w:p w14:paraId="15267D35">
      <w:pPr>
        <w:shd w:val="clear" w:fill="F1F5F9"/>
        <w:spacing w:before="0" w:after="0" w:line="240" w:lineRule="auto"/>
        <w:ind w:left="180" w:right="180"/>
      </w:pPr>
      <w:r>
        <w:rPr>
          <w:rFonts w:ascii="Courier New" w:hAnsi="Courier New" w:eastAsia="Courier New" w:cs="Courier New"/>
          <w:color w:val="1E293B"/>
          <w:sz w:val="19"/>
          <w:szCs w:val="19"/>
        </w:rPr>
        <w:t xml:space="preserve">  rag/                       # graph retrieval, local LLM client, Reporter Agent</w:t>
      </w:r>
    </w:p>
    <w:p w14:paraId="086DFF2F">
      <w:pPr>
        <w:shd w:val="clear" w:fill="F1F5F9"/>
        <w:spacing w:before="0" w:after="0" w:line="240" w:lineRule="auto"/>
        <w:ind w:left="180" w:right="180"/>
      </w:pPr>
      <w:r>
        <w:rPr>
          <w:rFonts w:ascii="Courier New" w:hAnsi="Courier New" w:eastAsia="Courier New" w:cs="Courier New"/>
          <w:color w:val="1E293B"/>
          <w:sz w:val="19"/>
          <w:szCs w:val="19"/>
        </w:rPr>
        <w:t xml:space="preserve">  calibration/               # dataset feature extraction and threshold calibration</w:t>
      </w:r>
    </w:p>
    <w:p w14:paraId="24621AF5">
      <w:pPr>
        <w:shd w:val="clear" w:fill="F1F5F9"/>
        <w:spacing w:before="0" w:after="0" w:line="240" w:lineRule="auto"/>
        <w:ind w:left="180" w:right="180"/>
      </w:pPr>
      <w:r>
        <w:rPr>
          <w:rFonts w:ascii="Courier New" w:hAnsi="Courier New" w:eastAsia="Courier New" w:cs="Courier New"/>
          <w:color w:val="1E293B"/>
          <w:sz w:val="19"/>
          <w:szCs w:val="19"/>
        </w:rPr>
        <w:t>data/</w:t>
      </w:r>
    </w:p>
    <w:p w14:paraId="0943F3AF">
      <w:pPr>
        <w:shd w:val="clear" w:fill="F1F5F9"/>
        <w:spacing w:before="0" w:after="0" w:line="240" w:lineRule="auto"/>
        <w:ind w:left="180" w:right="180"/>
      </w:pPr>
      <w:r>
        <w:rPr>
          <w:rFonts w:ascii="Courier New" w:hAnsi="Courier New" w:eastAsia="Courier New" w:cs="Courier New"/>
          <w:color w:val="1E293B"/>
          <w:sz w:val="19"/>
          <w:szCs w:val="19"/>
        </w:rPr>
        <w:t xml:space="preserve">  knowledge_graph/</w:t>
      </w:r>
    </w:p>
    <w:p w14:paraId="6AA6E88F">
      <w:pPr>
        <w:shd w:val="clear" w:fill="F1F5F9"/>
        <w:spacing w:before="0" w:after="0" w:line="240" w:lineRule="auto"/>
        <w:ind w:left="180" w:right="180"/>
      </w:pPr>
      <w:r>
        <w:rPr>
          <w:rFonts w:ascii="Courier New" w:hAnsi="Courier New" w:eastAsia="Courier New" w:cs="Courier New"/>
          <w:color w:val="1E293B"/>
          <w:sz w:val="19"/>
          <w:szCs w:val="19"/>
        </w:rPr>
        <w:t xml:space="preserve">    siegen_audio_depression_kg.jsonld            # seed (ontology template)</w:t>
      </w:r>
    </w:p>
    <w:p w14:paraId="08B3CA8E">
      <w:pPr>
        <w:shd w:val="clear" w:fill="F1F5F9"/>
        <w:spacing w:before="0" w:after="0" w:line="240" w:lineRule="auto"/>
        <w:ind w:left="180" w:right="180"/>
      </w:pPr>
      <w:r>
        <w:rPr>
          <w:rFonts w:ascii="Courier New" w:hAnsi="Courier New" w:eastAsia="Courier New" w:cs="Courier New"/>
          <w:color w:val="1E293B"/>
          <w:sz w:val="19"/>
          <w:szCs w:val="19"/>
        </w:rPr>
        <w:t xml:space="preserve">    siegen_audio_depression_kg.calibrated.jsonld # calibrated graph + metadata</w:t>
      </w:r>
    </w:p>
    <w:p w14:paraId="5A558524">
      <w:pPr>
        <w:shd w:val="clear" w:fill="F1F5F9"/>
        <w:spacing w:before="0" w:after="0" w:line="240" w:lineRule="auto"/>
        <w:ind w:left="180" w:right="180"/>
      </w:pPr>
      <w:r>
        <w:rPr>
          <w:rFonts w:ascii="Courier New" w:hAnsi="Courier New" w:eastAsia="Courier New" w:cs="Courier New"/>
          <w:color w:val="1E293B"/>
          <w:sz w:val="19"/>
          <w:szCs w:val="19"/>
        </w:rPr>
        <w:t xml:space="preserve">  month_02_knowledge_graph/calibration/</w:t>
      </w:r>
    </w:p>
    <w:p w14:paraId="3CBCE5D0">
      <w:pPr>
        <w:shd w:val="clear" w:fill="F1F5F9"/>
        <w:spacing w:before="0" w:after="0" w:line="240" w:lineRule="auto"/>
        <w:ind w:left="180" w:right="180"/>
      </w:pPr>
      <w:r>
        <w:rPr>
          <w:rFonts w:ascii="Courier New" w:hAnsi="Courier New" w:eastAsia="Courier New" w:cs="Courier New"/>
          <w:color w:val="1E293B"/>
          <w:sz w:val="19"/>
          <w:szCs w:val="19"/>
        </w:rPr>
        <w:t xml:space="preserve">    acoustic_feature_matrix.csv                  # participant-level features</w:t>
      </w:r>
    </w:p>
    <w:p w14:paraId="743A6AF0">
      <w:pPr>
        <w:shd w:val="clear" w:fill="F1F5F9"/>
        <w:spacing w:before="0" w:after="0" w:line="240" w:lineRule="auto"/>
        <w:ind w:left="180" w:right="180"/>
      </w:pPr>
      <w:r>
        <w:rPr>
          <w:rFonts w:ascii="Courier New" w:hAnsi="Courier New" w:eastAsia="Courier New" w:cs="Courier New"/>
          <w:color w:val="1E293B"/>
          <w:sz w:val="19"/>
          <w:szCs w:val="19"/>
        </w:rPr>
        <w:t xml:space="preserve">    calibrated_thresholds.csv</w:t>
      </w:r>
    </w:p>
    <w:p w14:paraId="76B9785E">
      <w:pPr>
        <w:shd w:val="clear" w:fill="F1F5F9"/>
        <w:spacing w:before="0" w:after="0" w:line="240" w:lineRule="auto"/>
        <w:ind w:left="180" w:right="180"/>
      </w:pPr>
      <w:r>
        <w:rPr>
          <w:rFonts w:ascii="Courier New" w:hAnsi="Courier New" w:eastAsia="Courier New" w:cs="Courier New"/>
          <w:color w:val="1E293B"/>
          <w:sz w:val="19"/>
          <w:szCs w:val="19"/>
        </w:rPr>
        <w:t xml:space="preserve">    calibration_summary.json</w:t>
      </w:r>
    </w:p>
    <w:p w14:paraId="4B8DC6E0">
      <w:pPr>
        <w:shd w:val="clear" w:fill="F1F5F9"/>
        <w:spacing w:before="0" w:after="0" w:line="240" w:lineRule="auto"/>
        <w:ind w:left="180" w:right="180"/>
      </w:pPr>
      <w:r>
        <w:rPr>
          <w:rFonts w:ascii="Courier New" w:hAnsi="Courier New" w:eastAsia="Courier New" w:cs="Courier New"/>
          <w:color w:val="1E293B"/>
          <w:sz w:val="19"/>
          <w:szCs w:val="19"/>
        </w:rPr>
        <w:t xml:space="preserve">  month_03_graph_rag/</w:t>
      </w:r>
    </w:p>
    <w:p w14:paraId="495A5EDA">
      <w:pPr>
        <w:shd w:val="clear" w:fill="F1F5F9"/>
        <w:spacing w:before="0" w:after="180" w:line="240" w:lineRule="auto"/>
        <w:ind w:left="180" w:right="180"/>
      </w:pPr>
      <w:r>
        <w:rPr>
          <w:rFonts w:ascii="Courier New" w:hAnsi="Courier New" w:eastAsia="Courier New" w:cs="Courier New"/>
          <w:color w:val="1E293B"/>
          <w:sz w:val="19"/>
          <w:szCs w:val="19"/>
        </w:rPr>
        <w:t xml:space="preserve">    300_gemma_report.json                        # Month 3 demonstration report</w:t>
      </w:r>
    </w:p>
    <w:p w14:paraId="691981D5">
      <w:r>
        <w:br w:type="page"/>
      </w:r>
    </w:p>
    <w:p w14:paraId="1E586E77">
      <w:pPr>
        <w:pStyle w:val="2"/>
        <w:keepNext/>
        <w:spacing w:before="360" w:after="200"/>
      </w:pPr>
      <w:r>
        <w:t>Appendix D  Command-Line Usage</w:t>
      </w:r>
    </w:p>
    <w:p w14:paraId="1FF5723B">
      <w:pPr>
        <w:spacing w:after="120" w:line="480" w:lineRule="auto"/>
        <w:jc w:val="both"/>
      </w:pPr>
      <w:r>
        <w:rPr>
          <w:rFonts w:ascii="Times New Roman" w:hAnsi="Times New Roman" w:eastAsia="Times New Roman" w:cs="Times New Roman"/>
          <w:sz w:val="24"/>
          <w:szCs w:val="24"/>
        </w:rPr>
        <w:t>The pipeline exposes command-line controls for the model name, timeout, temperature, persona, maximum analysis duration, and whether the LLM should be disabled. The command used for the Month 3 demonstration run was:</w:t>
      </w:r>
    </w:p>
    <w:p w14:paraId="4DD247B8">
      <w:pPr>
        <w:shd w:val="clear" w:fill="F1F5F9"/>
        <w:spacing w:before="60" w:after="0" w:line="240" w:lineRule="auto"/>
        <w:ind w:left="180" w:right="180"/>
      </w:pPr>
      <w:r>
        <w:rPr>
          <w:rFonts w:ascii="Courier New" w:hAnsi="Courier New" w:eastAsia="Courier New" w:cs="Courier New"/>
          <w:color w:val="1E293B"/>
          <w:sz w:val="19"/>
          <w:szCs w:val="19"/>
        </w:rPr>
        <w:t>python -m src.pipeline.run_pipeline Dataset\300_AUDIO.wav \</w:t>
      </w:r>
    </w:p>
    <w:p w14:paraId="381DC282">
      <w:pPr>
        <w:shd w:val="clear" w:fill="F1F5F9"/>
        <w:spacing w:before="0" w:after="0" w:line="240" w:lineRule="auto"/>
        <w:ind w:left="180" w:right="180"/>
      </w:pPr>
      <w:r>
        <w:rPr>
          <w:rFonts w:ascii="Courier New" w:hAnsi="Courier New" w:eastAsia="Courier New" w:cs="Courier New"/>
          <w:color w:val="1E293B"/>
          <w:sz w:val="19"/>
          <w:szCs w:val="19"/>
        </w:rPr>
        <w:t xml:space="preserve">  --max-duration-seconds 30 --llm-provider ollama --llm-model gemma3:1b \</w:t>
      </w:r>
    </w:p>
    <w:p w14:paraId="088C49AD">
      <w:pPr>
        <w:shd w:val="clear" w:fill="F1F5F9"/>
        <w:spacing w:before="0" w:after="0" w:line="240" w:lineRule="auto"/>
        <w:ind w:left="180" w:right="180"/>
      </w:pPr>
      <w:r>
        <w:rPr>
          <w:rFonts w:ascii="Courier New" w:hAnsi="Courier New" w:eastAsia="Courier New" w:cs="Courier New"/>
          <w:color w:val="1E293B"/>
          <w:sz w:val="19"/>
          <w:szCs w:val="19"/>
        </w:rPr>
        <w:t xml:space="preserve">  --llm-timeout 180 --persona psychologist --quiet \</w:t>
      </w:r>
    </w:p>
    <w:p w14:paraId="671BC21C">
      <w:pPr>
        <w:shd w:val="clear" w:fill="F1F5F9"/>
        <w:spacing w:before="0" w:after="180" w:line="240" w:lineRule="auto"/>
        <w:ind w:left="180" w:right="180"/>
      </w:pPr>
      <w:r>
        <w:rPr>
          <w:rFonts w:ascii="Courier New" w:hAnsi="Courier New" w:eastAsia="Courier New" w:cs="Courier New"/>
          <w:color w:val="1E293B"/>
          <w:sz w:val="19"/>
          <w:szCs w:val="19"/>
        </w:rPr>
        <w:t xml:space="preserve">  --output data\month_03_graph_rag\300_gemma_report.json</w:t>
      </w:r>
    </w:p>
    <w:p w14:paraId="40ECC1D2">
      <w:pPr>
        <w:spacing w:after="120" w:line="480" w:lineRule="auto"/>
        <w:jc w:val="both"/>
      </w:pPr>
      <w:r>
        <w:rPr>
          <w:rFonts w:ascii="Times New Roman" w:hAnsi="Times New Roman" w:eastAsia="Times New Roman" w:cs="Times New Roman"/>
          <w:sz w:val="24"/>
          <w:szCs w:val="24"/>
        </w:rPr>
        <w:t>The local model is reached through Ollama's HTTP generation endpoint at http://localhost:11434/api/generate with streaming disabled, so that the pipeline receives a single complete JSON response. If the endpoint is unavailable, the pipeline records the condition in an llm_status field and returns a deterministic graph-grounded report instead of failing.</w:t>
      </w:r>
    </w:p>
    <w:p w14:paraId="0FE8BAC6">
      <w:r>
        <w:br w:type="page"/>
      </w:r>
    </w:p>
    <w:p w14:paraId="6784501D">
      <w:pPr>
        <w:pStyle w:val="2"/>
        <w:keepNext/>
        <w:spacing w:before="360" w:after="200"/>
      </w:pPr>
      <w:r>
        <w:t>Appendix E  Example Graph Explanation Paths</w:t>
      </w:r>
    </w:p>
    <w:p w14:paraId="6476AEEA">
      <w:pPr>
        <w:spacing w:after="120" w:line="480" w:lineRule="auto"/>
        <w:jc w:val="both"/>
      </w:pPr>
      <w:r>
        <w:rPr>
          <w:rFonts w:ascii="Times New Roman" w:hAnsi="Times New Roman" w:eastAsia="Times New Roman" w:cs="Times New Roman"/>
          <w:sz w:val="24"/>
          <w:szCs w:val="24"/>
        </w:rPr>
        <w:t>The following paths illustrate the kind of structured evidence the Retriever supplies to the Reporter Agent. Each path is an explanation trace, not a diagnosis.</w:t>
      </w:r>
    </w:p>
    <w:p w14:paraId="1AEE096F">
      <w:pPr>
        <w:pBdr>
          <w:left w:val="single" w:color="2B6CB0" w:sz="18" w:space="12"/>
        </w:pBdr>
        <w:spacing w:before="80" w:after="200" w:line="360" w:lineRule="auto"/>
        <w:ind w:left="720" w:right="720"/>
        <w:jc w:val="left"/>
      </w:pPr>
      <w:r>
        <w:rPr>
          <w:rFonts w:ascii="Times New Roman" w:hAnsi="Times New Roman" w:eastAsia="Times New Roman" w:cs="Times New Roman"/>
          <w:i/>
          <w:iCs/>
          <w:color w:val="334155"/>
          <w:sz w:val="23"/>
          <w:szCs w:val="23"/>
        </w:rPr>
        <w:t>High Pause Ratio → Speech Disruption → Difficulty Concentrating → PHQ-8 Depression Severity → Clinical Review</w:t>
      </w:r>
    </w:p>
    <w:p w14:paraId="2FEC43A8">
      <w:pPr>
        <w:pBdr>
          <w:left w:val="single" w:color="2B6CB0" w:sz="18" w:space="12"/>
        </w:pBdr>
        <w:spacing w:before="80" w:after="200" w:line="360" w:lineRule="auto"/>
        <w:ind w:left="720" w:right="720"/>
        <w:jc w:val="left"/>
      </w:pPr>
      <w:r>
        <w:rPr>
          <w:rFonts w:ascii="Times New Roman" w:hAnsi="Times New Roman" w:eastAsia="Times New Roman" w:cs="Times New Roman"/>
          <w:i/>
          <w:iCs/>
          <w:color w:val="334155"/>
          <w:sz w:val="23"/>
          <w:szCs w:val="23"/>
        </w:rPr>
        <w:t>Low Speech Rate → Speech Disruption → Difficulty Concentrating → Screening Context</w:t>
      </w:r>
    </w:p>
    <w:p w14:paraId="7CCBE4AA">
      <w:pPr>
        <w:pBdr>
          <w:left w:val="single" w:color="2B6CB0" w:sz="18" w:space="12"/>
        </w:pBdr>
        <w:spacing w:before="80" w:after="200" w:line="360" w:lineRule="auto"/>
        <w:ind w:left="720" w:right="720"/>
        <w:jc w:val="left"/>
      </w:pPr>
      <w:r>
        <w:rPr>
          <w:rFonts w:ascii="Times New Roman" w:hAnsi="Times New Roman" w:eastAsia="Times New Roman" w:cs="Times New Roman"/>
          <w:i/>
          <w:iCs/>
          <w:color w:val="334155"/>
          <w:sz w:val="23"/>
          <w:szCs w:val="23"/>
        </w:rPr>
        <w:t>High Pitch Variability → Vocal Instability → Psychomotor Slowing → PHQ-8 Depression Severity → Supportive Follow-up</w:t>
      </w:r>
    </w:p>
    <w:p w14:paraId="668C7E21">
      <w:pPr>
        <w:pBdr>
          <w:left w:val="single" w:color="2B6CB0" w:sz="18" w:space="12"/>
        </w:pBdr>
        <w:spacing w:before="80" w:after="200" w:line="360" w:lineRule="auto"/>
        <w:ind w:left="720" w:right="720"/>
        <w:jc w:val="left"/>
      </w:pPr>
      <w:r>
        <w:rPr>
          <w:rFonts w:ascii="Times New Roman" w:hAnsi="Times New Roman" w:eastAsia="Times New Roman" w:cs="Times New Roman"/>
          <w:i/>
          <w:iCs/>
          <w:color w:val="334155"/>
          <w:sz w:val="23"/>
          <w:szCs w:val="23"/>
        </w:rPr>
        <w:t>Low Vocal Energy → Reduced Expressivity → Psychomotor Slowing → PHQ-8 Depression Severity → Clinical Review</w:t>
      </w:r>
    </w:p>
    <w:p w14:paraId="688D974C">
      <w:pPr>
        <w:spacing w:after="120" w:line="480" w:lineRule="auto"/>
        <w:jc w:val="both"/>
      </w:pPr>
      <w:r>
        <w:rPr>
          <w:rFonts w:ascii="Times New Roman" w:hAnsi="Times New Roman" w:eastAsia="Times New Roman" w:cs="Times New Roman"/>
          <w:sz w:val="24"/>
          <w:szCs w:val="24"/>
        </w:rPr>
        <w:t>For the Month 3 demonstration sample, 5 calibrated biomarker rules were matched and 22 graph explanation paths were retrieved, which were then passed to the Reporter Agent as grounding for the generated narrative.</w:t>
      </w:r>
    </w:p>
    <w:p w14:paraId="66E88144">
      <w:r>
        <w:br w:type="page"/>
      </w:r>
    </w:p>
    <w:p w14:paraId="08850DF6">
      <w:pPr>
        <w:pStyle w:val="2"/>
        <w:keepNext/>
        <w:spacing w:before="360" w:after="200"/>
      </w:pPr>
      <w:r>
        <w:t>Appendix F  Sources Used for the Month 3 Update</w:t>
      </w:r>
    </w:p>
    <w:p w14:paraId="34609E25">
      <w:pPr>
        <w:spacing w:after="120" w:line="480" w:lineRule="auto"/>
        <w:jc w:val="both"/>
      </w:pPr>
      <w:r>
        <w:rPr>
          <w:rFonts w:ascii="Times New Roman" w:hAnsi="Times New Roman" w:eastAsia="Times New Roman" w:cs="Times New Roman"/>
          <w:sz w:val="24"/>
          <w:szCs w:val="24"/>
        </w:rPr>
        <w:t>The Month 3 literature and implementation update draws on the following sources:</w:t>
      </w:r>
    </w:p>
    <w:p w14:paraId="2069E1EC">
      <w:pPr>
        <w:pStyle w:val="16"/>
        <w:numPr>
          <w:ilvl w:val="0"/>
          <w:numId w:val="1"/>
        </w:numPr>
        <w:spacing w:after="120" w:line="480" w:lineRule="auto"/>
        <w:jc w:val="both"/>
      </w:pPr>
      <w:r>
        <w:rPr>
          <w:rFonts w:ascii="Times New Roman" w:hAnsi="Times New Roman" w:eastAsia="Times New Roman" w:cs="Times New Roman"/>
          <w:sz w:val="24"/>
          <w:szCs w:val="24"/>
        </w:rPr>
        <w:t>Lewis et al. (2020) — the foundation for retrieval-augmented generation; supports grounding generation in retrieved external knowledge rather than parametric memory alone.</w:t>
      </w:r>
    </w:p>
    <w:p w14:paraId="6E0F2926">
      <w:pPr>
        <w:pStyle w:val="16"/>
        <w:numPr>
          <w:ilvl w:val="0"/>
          <w:numId w:val="1"/>
        </w:numPr>
        <w:spacing w:after="120" w:line="480" w:lineRule="auto"/>
        <w:jc w:val="both"/>
      </w:pPr>
      <w:r>
        <w:rPr>
          <w:rFonts w:ascii="Times New Roman" w:hAnsi="Times New Roman" w:eastAsia="Times New Roman" w:cs="Times New Roman"/>
          <w:sz w:val="24"/>
          <w:szCs w:val="24"/>
        </w:rPr>
        <w:t>Microsoft Research GraphRAG (2024) — justifies graph-based retrieval over purely vector-based text retrieval when explanations require relationships among entities.</w:t>
      </w:r>
    </w:p>
    <w:p w14:paraId="24172EAF">
      <w:pPr>
        <w:pStyle w:val="16"/>
        <w:numPr>
          <w:ilvl w:val="0"/>
          <w:numId w:val="1"/>
        </w:numPr>
        <w:spacing w:after="120" w:line="480" w:lineRule="auto"/>
        <w:jc w:val="both"/>
      </w:pPr>
      <w:r>
        <w:rPr>
          <w:rFonts w:ascii="Times New Roman" w:hAnsi="Times New Roman" w:eastAsia="Times New Roman" w:cs="Times New Roman"/>
          <w:sz w:val="24"/>
          <w:szCs w:val="24"/>
        </w:rPr>
        <w:t>Asai et al. (2023), Self-RAG — supports the safety principle that generation should be grounded in, and checked against, retrieved evidence.</w:t>
      </w:r>
    </w:p>
    <w:p w14:paraId="7C474845">
      <w:pPr>
        <w:pStyle w:val="16"/>
        <w:numPr>
          <w:ilvl w:val="0"/>
          <w:numId w:val="1"/>
        </w:numPr>
        <w:spacing w:after="120" w:line="480" w:lineRule="auto"/>
        <w:jc w:val="both"/>
      </w:pPr>
      <w:r>
        <w:rPr>
          <w:rFonts w:ascii="Times New Roman" w:hAnsi="Times New Roman" w:eastAsia="Times New Roman" w:cs="Times New Roman"/>
          <w:sz w:val="24"/>
          <w:szCs w:val="24"/>
        </w:rPr>
        <w:t>Yao et al. (2022), ReAct — justifies the agentic structure, adapted here into a constrained clinical pipeline of feature extraction, graph retrieval, and report generation.</w:t>
      </w:r>
    </w:p>
    <w:p w14:paraId="3089A745">
      <w:pPr>
        <w:pStyle w:val="16"/>
        <w:numPr>
          <w:ilvl w:val="0"/>
          <w:numId w:val="1"/>
        </w:numPr>
        <w:spacing w:after="120" w:line="480" w:lineRule="auto"/>
        <w:jc w:val="both"/>
      </w:pPr>
      <w:r>
        <w:rPr>
          <w:rFonts w:ascii="Times New Roman" w:hAnsi="Times New Roman" w:eastAsia="Times New Roman" w:cs="Times New Roman"/>
          <w:sz w:val="24"/>
          <w:szCs w:val="24"/>
        </w:rPr>
        <w:t>Ji et al. (2023) — motivates hallucination control, which is critical in clinical and mental-health contexts.</w:t>
      </w:r>
    </w:p>
    <w:p w14:paraId="36FD2741">
      <w:pPr>
        <w:pStyle w:val="16"/>
        <w:numPr>
          <w:ilvl w:val="0"/>
          <w:numId w:val="1"/>
        </w:numPr>
        <w:spacing w:after="120" w:line="480" w:lineRule="auto"/>
        <w:jc w:val="both"/>
      </w:pPr>
      <w:r>
        <w:rPr>
          <w:rFonts w:ascii="Times New Roman" w:hAnsi="Times New Roman" w:eastAsia="Times New Roman" w:cs="Times New Roman"/>
          <w:sz w:val="24"/>
          <w:szCs w:val="24"/>
        </w:rPr>
        <w:t>Google DeepMind Gemma 3 model card (2025) — justifies the choice of a lightweight local model for report generation.</w:t>
      </w:r>
    </w:p>
    <w:p w14:paraId="13D202D2">
      <w:pPr>
        <w:pStyle w:val="16"/>
        <w:numPr>
          <w:ilvl w:val="0"/>
          <w:numId w:val="1"/>
        </w:numPr>
        <w:spacing w:after="120" w:line="480" w:lineRule="auto"/>
        <w:jc w:val="both"/>
      </w:pPr>
      <w:r>
        <w:rPr>
          <w:rFonts w:ascii="Times New Roman" w:hAnsi="Times New Roman" w:eastAsia="Times New Roman" w:cs="Times New Roman"/>
          <w:sz w:val="24"/>
          <w:szCs w:val="24"/>
        </w:rPr>
        <w:t>Ollama API documentation (n.d.) — justifies the local deployment method, which avoids sending report context to an external cloud service.</w:t>
      </w:r>
    </w:p>
    <w:p w14:paraId="05D731A3">
      <w:r>
        <w:br w:type="page"/>
      </w:r>
    </w:p>
    <w:p w14:paraId="5C4833BB">
      <w:pPr>
        <w:pStyle w:val="2"/>
        <w:keepNext/>
        <w:spacing w:before="360" w:after="200"/>
      </w:pPr>
      <w:r>
        <w:t>Appendix G  Glossary of Key Terms</w:t>
      </w:r>
    </w:p>
    <w:p w14:paraId="56F404EB">
      <w:pPr>
        <w:spacing w:after="120" w:line="480" w:lineRule="auto"/>
        <w:jc w:val="both"/>
      </w:pPr>
      <w:r>
        <w:rPr>
          <w:rFonts w:ascii="Times New Roman" w:hAnsi="Times New Roman" w:eastAsia="Times New Roman" w:cs="Times New Roman"/>
          <w:sz w:val="24"/>
          <w:szCs w:val="24"/>
        </w:rPr>
        <w:t>The following glossary defines the principal technical and clinical terms used in this report, for the convenience of readers from either background.</w:t>
      </w:r>
    </w:p>
    <w:p w14:paraId="61BF8E79">
      <w:pPr>
        <w:pStyle w:val="16"/>
        <w:numPr>
          <w:ilvl w:val="0"/>
          <w:numId w:val="1"/>
        </w:numPr>
        <w:spacing w:after="120" w:line="480" w:lineRule="auto"/>
        <w:jc w:val="both"/>
      </w:pPr>
      <w:r>
        <w:rPr>
          <w:rFonts w:ascii="Times New Roman" w:hAnsi="Times New Roman" w:eastAsia="Times New Roman" w:cs="Times New Roman"/>
          <w:sz w:val="24"/>
          <w:szCs w:val="24"/>
        </w:rPr>
        <w:t>Acoustic biomarker — a measurable property of the speech signal (such as pause ratio or pitch variability) used here as weak, interpretable evidence rather than as a diagnosis.</w:t>
      </w:r>
    </w:p>
    <w:p w14:paraId="208195C1">
      <w:pPr>
        <w:pStyle w:val="16"/>
        <w:numPr>
          <w:ilvl w:val="0"/>
          <w:numId w:val="1"/>
        </w:numPr>
        <w:spacing w:after="120" w:line="480" w:lineRule="auto"/>
        <w:jc w:val="both"/>
      </w:pPr>
      <w:r>
        <w:rPr>
          <w:rFonts w:ascii="Times New Roman" w:hAnsi="Times New Roman" w:eastAsia="Times New Roman" w:cs="Times New Roman"/>
          <w:sz w:val="24"/>
          <w:szCs w:val="24"/>
        </w:rPr>
        <w:t>Agentic pipeline — a system decomposed into modular components, each with a defined role (Analyzer, Retriever, Reporter), whose intermediate outputs are explicit and inspectable.</w:t>
      </w:r>
    </w:p>
    <w:p w14:paraId="771DC5C9">
      <w:pPr>
        <w:pStyle w:val="16"/>
        <w:numPr>
          <w:ilvl w:val="0"/>
          <w:numId w:val="1"/>
        </w:numPr>
        <w:spacing w:after="120" w:line="480" w:lineRule="auto"/>
        <w:jc w:val="both"/>
      </w:pPr>
      <w:r>
        <w:rPr>
          <w:rFonts w:ascii="Times New Roman" w:hAnsi="Times New Roman" w:eastAsia="Times New Roman" w:cs="Times New Roman"/>
          <w:sz w:val="24"/>
          <w:szCs w:val="24"/>
        </w:rPr>
        <w:t>Balanced accuracy — the mean of sensitivity and specificity; a performance measure that is not inflated by class imbalance.</w:t>
      </w:r>
    </w:p>
    <w:p w14:paraId="1CEF01B0">
      <w:pPr>
        <w:pStyle w:val="16"/>
        <w:numPr>
          <w:ilvl w:val="0"/>
          <w:numId w:val="1"/>
        </w:numPr>
        <w:spacing w:after="120" w:line="480" w:lineRule="auto"/>
        <w:jc w:val="both"/>
      </w:pPr>
      <w:r>
        <w:rPr>
          <w:rFonts w:ascii="Times New Roman" w:hAnsi="Times New Roman" w:eastAsia="Times New Roman" w:cs="Times New Roman"/>
          <w:sz w:val="24"/>
          <w:szCs w:val="24"/>
        </w:rPr>
        <w:t>COVAREP — a collaborative repository of voice-analysis algorithms; here, the source of the frame-level F0 contour used for pitch statistics.</w:t>
      </w:r>
    </w:p>
    <w:p w14:paraId="589FD699">
      <w:pPr>
        <w:pStyle w:val="16"/>
        <w:numPr>
          <w:ilvl w:val="0"/>
          <w:numId w:val="1"/>
        </w:numPr>
        <w:spacing w:after="120" w:line="480" w:lineRule="auto"/>
        <w:jc w:val="both"/>
      </w:pPr>
      <w:r>
        <w:rPr>
          <w:rFonts w:ascii="Times New Roman" w:hAnsi="Times New Roman" w:eastAsia="Times New Roman" w:cs="Times New Roman"/>
          <w:sz w:val="24"/>
          <w:szCs w:val="24"/>
        </w:rPr>
        <w:t>DAIC-WOZ — the Wizard-of-Oz subset of the Distress Analysis Interview Corpus, providing interview recordings, transcripts, and PHQ-8 labels.</w:t>
      </w:r>
    </w:p>
    <w:p w14:paraId="6776B4D6">
      <w:pPr>
        <w:pStyle w:val="16"/>
        <w:numPr>
          <w:ilvl w:val="0"/>
          <w:numId w:val="1"/>
        </w:numPr>
        <w:spacing w:after="120" w:line="480" w:lineRule="auto"/>
        <w:jc w:val="both"/>
      </w:pPr>
      <w:r>
        <w:rPr>
          <w:rFonts w:ascii="Times New Roman" w:hAnsi="Times New Roman" w:eastAsia="Times New Roman" w:cs="Times New Roman"/>
          <w:sz w:val="24"/>
          <w:szCs w:val="24"/>
        </w:rPr>
        <w:t>Graph-RAG — retrieval-augmented generation in which the retrieved context is a structured subgraph or path rather than unstructured text.</w:t>
      </w:r>
    </w:p>
    <w:p w14:paraId="2FF69FAE">
      <w:pPr>
        <w:pStyle w:val="16"/>
        <w:numPr>
          <w:ilvl w:val="0"/>
          <w:numId w:val="1"/>
        </w:numPr>
        <w:spacing w:after="120" w:line="480" w:lineRule="auto"/>
        <w:jc w:val="both"/>
      </w:pPr>
      <w:r>
        <w:rPr>
          <w:rFonts w:ascii="Times New Roman" w:hAnsi="Times New Roman" w:eastAsia="Times New Roman" w:cs="Times New Roman"/>
          <w:sz w:val="24"/>
          <w:szCs w:val="24"/>
        </w:rPr>
        <w:t>JSON-LD — a JSON-based serialisation for linked data, used here to store the Clinical Knowledge Graph in a portable, inspectable form.</w:t>
      </w:r>
    </w:p>
    <w:p w14:paraId="1163B1EE">
      <w:pPr>
        <w:pStyle w:val="16"/>
        <w:numPr>
          <w:ilvl w:val="0"/>
          <w:numId w:val="1"/>
        </w:numPr>
        <w:spacing w:after="120" w:line="480" w:lineRule="auto"/>
        <w:jc w:val="both"/>
      </w:pPr>
      <w:r>
        <w:rPr>
          <w:rFonts w:ascii="Times New Roman" w:hAnsi="Times New Roman" w:eastAsia="Times New Roman" w:cs="Times New Roman"/>
          <w:sz w:val="24"/>
          <w:szCs w:val="24"/>
        </w:rPr>
        <w:t>MFCC — Mel-frequency cepstral coefficient; a compact representation of the short-term power spectrum of speech.</w:t>
      </w:r>
    </w:p>
    <w:p w14:paraId="096FB050">
      <w:pPr>
        <w:pStyle w:val="16"/>
        <w:numPr>
          <w:ilvl w:val="0"/>
          <w:numId w:val="1"/>
        </w:numPr>
        <w:spacing w:after="120" w:line="480" w:lineRule="auto"/>
        <w:jc w:val="both"/>
      </w:pPr>
      <w:r>
        <w:rPr>
          <w:rFonts w:ascii="Times New Roman" w:hAnsi="Times New Roman" w:eastAsia="Times New Roman" w:cs="Times New Roman"/>
          <w:sz w:val="24"/>
          <w:szCs w:val="24"/>
        </w:rPr>
        <w:t>PHQ-8 — an eight-item self-report depression-screening questionnaire; PHQ-8 ≥ 10 is used as the validated screening reference label.</w:t>
      </w:r>
    </w:p>
    <w:p w14:paraId="1C30C2B2">
      <w:pPr>
        <w:pStyle w:val="16"/>
        <w:numPr>
          <w:ilvl w:val="0"/>
          <w:numId w:val="1"/>
        </w:numPr>
        <w:spacing w:after="120" w:line="480" w:lineRule="auto"/>
        <w:jc w:val="both"/>
      </w:pPr>
      <w:r>
        <w:rPr>
          <w:rFonts w:ascii="Times New Roman" w:hAnsi="Times New Roman" w:eastAsia="Times New Roman" w:cs="Times New Roman"/>
          <w:sz w:val="24"/>
          <w:szCs w:val="24"/>
        </w:rPr>
        <w:t>Sensitivity / Specificity — the true-positive rate and true-negative rate of a test at a given threshold.</w:t>
      </w:r>
    </w:p>
    <w:p w14:paraId="39E2014A">
      <w:pPr>
        <w:pStyle w:val="16"/>
        <w:numPr>
          <w:ilvl w:val="0"/>
          <w:numId w:val="1"/>
        </w:numPr>
        <w:spacing w:after="120" w:line="480" w:lineRule="auto"/>
        <w:jc w:val="both"/>
      </w:pPr>
      <w:r>
        <w:rPr>
          <w:rFonts w:ascii="Times New Roman" w:hAnsi="Times New Roman" w:eastAsia="Times New Roman" w:cs="Times New Roman"/>
          <w:sz w:val="24"/>
          <w:szCs w:val="24"/>
        </w:rPr>
        <w:t>Youden's J — sensitivity + specificity − 1; a single summary of a threshold's discriminative value, maximised during calibration.</w:t>
      </w:r>
    </w:p>
    <w:p>
      <w:pPr>
        <w:spacing w:after="120" w:line="259" w:lineRule="auto"/>
      </w:pPr>
    </w:p>
    <w:p>
      <w:pPr>
        <w:spacing w:after="120" w:line="259" w:lineRule="auto"/>
      </w:pPr>
    </w:p>
    <w:p>
      <w:pPr>
        <w:spacing w:after="120" w:line="259" w:lineRule="auto"/>
      </w:pPr>
    </w:p>
    <w:p>
      <w:pPr>
        <w:spacing w:after="120" w:line="259" w:lineRule="auto"/>
      </w:pPr>
    </w:p>
    <w:p>
      <w:pPr>
        <w:spacing w:after="120" w:line="259" w:lineRule="auto"/>
      </w:pPr>
    </w:p>
    <w:p>
      <w:pPr>
        <w:spacing w:after="120" w:line="259" w:lineRule="auto"/>
      </w:pPr>
    </w:p>
    <w:p>
      <w:pPr>
        <w:spacing w:after="120" w:line="259" w:lineRule="auto"/>
      </w:pPr>
    </w:p>
    <w:sectPr>
      <w:headerReference r:id="rId4" w:type="default"/>
      <w:footerReference r:id="rId5" w:type="default"/>
      <w:pgSz w:w="11906" w:h="16838"/>
      <w:pgMar w:top="1440" w:right="1440" w:bottom="1440" w:left="216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60CF2">
    <w:pPr>
      <w:pBdr>
        <w:top w:val="single" w:color="CBD5E0" w:sz="4" w:space="6"/>
      </w:pBdr>
      <w:jc w:val="center"/>
    </w:pPr>
    <w:r>
      <w:rPr>
        <w:rFonts w:ascii="Times New Roman" w:hAnsi="Times New Roman" w:eastAsia="Times New Roman" w:cs="Times New Roman"/>
        <w:color w:val="64748B"/>
        <w:sz w:val="20"/>
        <w:szCs w:val="20"/>
      </w:rPr>
      <w:fldChar w:fldCharType="begin"/>
    </w:r>
    <w:r>
      <w:rPr>
        <w:rFonts w:ascii="Times New Roman" w:hAnsi="Times New Roman" w:eastAsia="Times New Roman" w:cs="Times New Roman"/>
        <w:color w:val="64748B"/>
        <w:sz w:val="20"/>
        <w:szCs w:val="20"/>
      </w:rPr>
      <w:instrText xml:space="preserve">PAGE</w:instrText>
    </w:r>
    <w:r>
      <w:rPr>
        <w:rFonts w:ascii="Times New Roman" w:hAnsi="Times New Roman" w:eastAsia="Times New Roman" w:cs="Times New Roman"/>
        <w:color w:val="64748B"/>
        <w:sz w:val="20"/>
        <w:szCs w:val="20"/>
      </w:rPr>
      <w:fldChar w:fldCharType="separate"/>
    </w:r>
    <w:r>
      <w:rPr>
        <w:rFonts w:ascii="Times New Roman" w:hAnsi="Times New Roman" w:eastAsia="Times New Roman" w:cs="Times New Roman"/>
        <w:color w:val="64748B"/>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1BF01">
    <w:pPr>
      <w:pBdr>
        <w:top w:val="single" w:color="CBD5E0" w:sz="4" w:space="6"/>
      </w:pBdr>
      <w:jc w:val="center"/>
    </w:pPr>
    <w:r>
      <w:rPr>
        <w:rFonts w:ascii="Times New Roman" w:hAnsi="Times New Roman" w:eastAsia="Times New Roman" w:cs="Times New Roman"/>
        <w:color w:val="64748B"/>
        <w:sz w:val="20"/>
        <w:szCs w:val="20"/>
      </w:rPr>
      <w:fldChar w:fldCharType="begin"/>
    </w:r>
    <w:r>
      <w:rPr>
        <w:rFonts w:ascii="Times New Roman" w:hAnsi="Times New Roman" w:eastAsia="Times New Roman" w:cs="Times New Roman"/>
        <w:color w:val="64748B"/>
        <w:sz w:val="20"/>
        <w:szCs w:val="20"/>
      </w:rPr>
      <w:instrText xml:space="preserve">PAGE</w:instrText>
    </w:r>
    <w:r>
      <w:rPr>
        <w:rFonts w:ascii="Times New Roman" w:hAnsi="Times New Roman" w:eastAsia="Times New Roman" w:cs="Times New Roman"/>
        <w:color w:val="64748B"/>
        <w:sz w:val="20"/>
        <w:szCs w:val="20"/>
      </w:rPr>
      <w:fldChar w:fldCharType="separate"/>
    </w:r>
    <w:r>
      <w:rPr>
        <w:rFonts w:ascii="Times New Roman" w:hAnsi="Times New Roman" w:eastAsia="Times New Roman" w:cs="Times New Roman"/>
        <w:color w:val="64748B"/>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EE14C">
    <w:pPr>
      <w:pBdr>
        <w:bottom w:val="single" w:color="E2E8F0" w:sz="4" w:space="6"/>
      </w:pBdr>
      <w:jc w:val="right"/>
    </w:pPr>
    <w:r>
      <w:rPr>
        <w:rFonts w:ascii="Times New Roman" w:hAnsi="Times New Roman" w:eastAsia="Times New Roman" w:cs="Times New Roman"/>
        <w:i/>
        <w:iCs/>
        <w:color w:val="94A3B8"/>
        <w:sz w:val="16"/>
        <w:szCs w:val="16"/>
      </w:rPr>
      <w:t>Explainable Audio Biomarkers for Depression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2EC173"/>
    <w:multiLevelType w:val="singleLevel"/>
    <w:tmpl w:val="882EC173"/>
    <w:lvl w:ilvl="0" w:tentative="0">
      <w:start w:val="1"/>
      <w:numFmt w:val="decimal"/>
      <w:lvlText w:val="%1."/>
      <w:lvlJc w:val="left"/>
      <w:pPr>
        <w:ind w:left="540" w:hanging="300"/>
      </w:pPr>
    </w:lvl>
  </w:abstractNum>
  <w:abstractNum w:abstractNumId="1">
    <w:nsid w:val="0053208E"/>
    <w:multiLevelType w:val="singleLevel"/>
    <w:tmpl w:val="0053208E"/>
    <w:lvl w:ilvl="0" w:tentative="0">
      <w:start w:val="1"/>
      <w:numFmt w:val="bullet"/>
      <w:lvlText w:val="•"/>
      <w:lvlJc w:val="left"/>
      <w:pPr>
        <w:ind w:left="54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documentProtection w:enforcement="0"/>
  <w:compat>
    <w:compatSetting w:name="compatibilityMode" w:uri="http://schemas.microsoft.com/office/word" w:val="15"/>
  </w:compat>
  <w:rsids>
    <w:rsidRoot w:val="00000000"/>
    <w:rsid w:val="4A8C40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1F2933"/>
      <w:sz w:val="24"/>
      <w:szCs w:val="24"/>
    </w:rPr>
  </w:style>
  <w:style w:type="paragraph" w:styleId="2">
    <w:name w:val="heading 1"/>
    <w:next w:val="1"/>
    <w:qFormat/>
    <w:uiPriority w:val="0"/>
    <w:pPr>
      <w:spacing w:before="360" w:after="200"/>
      <w:outlineLvl w:val="0"/>
    </w:pPr>
    <w:rPr>
      <w:rFonts w:ascii="Times New Roman" w:hAnsi="Times New Roman" w:eastAsia="Times New Roman" w:cs="Times New Roman"/>
      <w:b/>
      <w:bCs/>
      <w:color w:val="1A3A5C"/>
      <w:sz w:val="32"/>
      <w:szCs w:val="32"/>
    </w:rPr>
  </w:style>
  <w:style w:type="paragraph" w:styleId="3">
    <w:name w:val="heading 2"/>
    <w:next w:val="1"/>
    <w:qFormat/>
    <w:uiPriority w:val="0"/>
    <w:pPr>
      <w:spacing w:before="280" w:after="140"/>
      <w:outlineLvl w:val="1"/>
    </w:pPr>
    <w:rPr>
      <w:rFonts w:ascii="Times New Roman" w:hAnsi="Times New Roman" w:eastAsia="Times New Roman" w:cs="Times New Roman"/>
      <w:b/>
      <w:bCs/>
      <w:color w:val="20486E"/>
      <w:sz w:val="27"/>
      <w:szCs w:val="27"/>
    </w:rPr>
  </w:style>
  <w:style w:type="paragraph" w:styleId="4">
    <w:name w:val="heading 3"/>
    <w:next w:val="1"/>
    <w:qFormat/>
    <w:uiPriority w:val="0"/>
    <w:pPr>
      <w:spacing w:before="220" w:after="120"/>
      <w:outlineLvl w:val="2"/>
    </w:pPr>
    <w:rPr>
      <w:rFonts w:ascii="Times New Roman" w:hAnsi="Times New Roman" w:eastAsia="Times New Roman" w:cs="Times New Roman"/>
      <w:b/>
      <w:bCs/>
      <w:i/>
      <w:iCs/>
      <w:color w:val="334155"/>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color w:val="1F2933"/>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1F2933"/>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color w:val="1F2933"/>
      <w:sz w:val="56"/>
      <w:szCs w:val="56"/>
    </w:rPr>
  </w:style>
  <w:style w:type="paragraph" w:styleId="16">
    <w:name w:val="List Paragraph"/>
    <w:qFormat/>
    <w:uiPriority w:val="0"/>
    <w:rPr>
      <w:rFonts w:ascii="Times New Roman" w:hAnsi="Times New Roman" w:eastAsia="Times New Roman" w:cs="Times New Roman"/>
      <w:color w:val="1F2933"/>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88</Pages>
  <Words>187</Words>
  <Characters>1075</Characters>
  <TotalTime>0</TotalTime>
  <ScaleCrop>false</ScaleCrop>
  <LinksUpToDate>false</LinksUpToDate>
  <CharactersWithSpaces>1244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2026-10-07T18:08:00Z</dcterms:created>
  <dc:creator>Ameer Hamza</dc:creator>
  <dc:description>Master's thesis report</dc:description>
  <cp:lastModifiedBy>zain ulabdin</cp:lastModifiedBy>
  <dcterms:modified xsi:type="dcterms:W3CDTF">2026-10-12T12:32:35Z</dcterms:modified>
  <dc:title>Agentic Reasoning and Graph-RAG for Explainable Audio Biomarkers for Depression Detection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eyJoZGlkIjoiNGFkNDU1ODBkMzVhZjk3NzVlNmQ3YTk5OGZiMjg0MmIiLCJ1c2VySWQiOiI4ODEzNTcxMDc2OTE2In0=</vt:lpwstr>
  </property>
  <property fmtid="{D5CDD505-2E9C-101B-9397-08002B2CF9AE}" pid="3" name="KSOProductBuildVer">
    <vt:lpwstr>1033-12.1.0.28485</vt:lpwstr>
  </property>
  <property fmtid="{D5CDD505-2E9C-101B-9397-08002B2CF9AE}" pid="4" name="ICV">
    <vt:lpwstr>EE0C9B20CE0E4984AF21D0808A597F8A_12</vt:lpwstr>
  </property>
</Properties>
</file>