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4"/>
        </w:rPr>
        <w:t>END-TO-END RECRUITMENT SOLUTIONS</w:t>
      </w:r>
    </w:p>
    <w:p>
      <w:pPr>
        <w:jc w:val="center"/>
      </w:pPr>
      <w:r>
        <w:rPr>
          <w:rFonts w:ascii="Calibri" w:hAnsi="Calibri"/>
          <w:i/>
          <w:color w:val="4682B4"/>
          <w:sz w:val="26"/>
        </w:rPr>
        <w:t>Comprehensive Company &amp; Service Overview for Recruiters &amp; Candidates</w:t>
      </w:r>
    </w:p>
    <w:p/>
    <w:p>
      <w:pPr>
        <w:pStyle w:val="Heading1"/>
      </w:pPr>
      <w:r>
        <w:rPr>
          <w:rFonts w:ascii="Calibri" w:hAnsi="Calibri"/>
          <w:b/>
          <w:color w:val="1B365D"/>
        </w:rPr>
        <w:t>1. Executive Summary &amp; Value Proposition</w:t>
      </w:r>
    </w:p>
    <w:p>
      <w:pPr>
        <w:spacing w:line="276" w:lineRule="auto" w:after="200"/>
      </w:pPr>
      <w:r>
        <w:rPr>
          <w:rFonts w:ascii="Calibri" w:hAnsi="Calibri"/>
          <w:color w:val="282828"/>
          <w:sz w:val="22"/>
        </w:rPr>
        <w:t>Our company delivers a seamless, turn-key recruitment infrastructure designed to connect employers with high-caliber talent across global industries. We simplify complex hiring lifecycles by providing an integrated solution that spans initial talent sourcing, candidate verification, interactive interview scheduling, regulatory document processing, and final travel dispatch.</w:t>
      </w:r>
    </w:p>
    <w:p>
      <w:pPr>
        <w:pStyle w:val="Heading1"/>
      </w:pPr>
      <w:r>
        <w:rPr>
          <w:rFonts w:ascii="Calibri" w:hAnsi="Calibri"/>
          <w:b/>
          <w:color w:val="1B365D"/>
        </w:rPr>
        <w:t>2. Complete Solutions for Recruiters &amp; Employers</w:t>
      </w:r>
    </w:p>
    <w:p>
      <w:pPr>
        <w:spacing w:line="276" w:lineRule="auto"/>
      </w:pPr>
      <w:r>
        <w:rPr>
          <w:color w:val="282828"/>
        </w:rPr>
        <w:t>We empower recruitment teams and hiring organizations with powerful tools and end-to-end operational support to fulfill staffing demands efficiently:</w:t>
      </w:r>
    </w:p>
    <w:p>
      <w:pPr>
        <w:pStyle w:val="ListBullet"/>
        <w:spacing w:after="80" w:line="276" w:lineRule="auto"/>
      </w:pPr>
      <w:r>
        <w:rPr>
          <w:rFonts w:ascii="Calibri" w:hAnsi="Calibri"/>
          <w:b/>
          <w:color w:val="1B365D"/>
        </w:rPr>
        <w:t xml:space="preserve">Direct Talent Database Access: </w:t>
      </w:r>
      <w:r>
        <w:rPr>
          <w:rFonts w:ascii="Calibri" w:hAnsi="Calibri"/>
          <w:color w:val="282828"/>
        </w:rPr>
        <w:t>Gain instant access to a vast, active database of verified professionals, pre-screened to meet industry requirements.</w:t>
      </w:r>
    </w:p>
    <w:p>
      <w:pPr>
        <w:pStyle w:val="ListBullet"/>
        <w:spacing w:after="80" w:line="276" w:lineRule="auto"/>
      </w:pPr>
      <w:r>
        <w:rPr>
          <w:rFonts w:ascii="Calibri" w:hAnsi="Calibri"/>
          <w:b/>
          <w:color w:val="1B365D"/>
        </w:rPr>
        <w:t xml:space="preserve">Targeted Job Advertising: </w:t>
      </w:r>
      <w:r>
        <w:rPr>
          <w:rFonts w:ascii="Calibri" w:hAnsi="Calibri"/>
          <w:color w:val="282828"/>
        </w:rPr>
        <w:t>Promote your vacancies across premier channels and targeted professional networks to reach ideal talent quickly.</w:t>
      </w:r>
    </w:p>
    <w:p>
      <w:pPr>
        <w:pStyle w:val="ListBullet"/>
        <w:spacing w:after="80" w:line="276" w:lineRule="auto"/>
      </w:pPr>
      <w:r>
        <w:rPr>
          <w:rFonts w:ascii="Calibri" w:hAnsi="Calibri"/>
          <w:b/>
          <w:color w:val="1B365D"/>
        </w:rPr>
        <w:t xml:space="preserve">Smart Filtering &amp; Sourcing: </w:t>
      </w:r>
      <w:r>
        <w:rPr>
          <w:rFonts w:ascii="Calibri" w:hAnsi="Calibri"/>
          <w:color w:val="282828"/>
        </w:rPr>
        <w:t>Apply precision filters based on skills, certifications, experience, and availability, or request custom shortlists prepared by our recruitment specialists.</w:t>
      </w:r>
    </w:p>
    <w:p>
      <w:pPr>
        <w:pStyle w:val="ListBullet"/>
        <w:spacing w:after="80" w:line="276" w:lineRule="auto"/>
      </w:pPr>
      <w:r>
        <w:rPr>
          <w:rFonts w:ascii="Calibri" w:hAnsi="Calibri"/>
          <w:b/>
          <w:color w:val="1B365D"/>
        </w:rPr>
        <w:t xml:space="preserve">Interview Coordination &amp; Logistics: </w:t>
      </w:r>
      <w:r>
        <w:rPr>
          <w:rFonts w:ascii="Calibri" w:hAnsi="Calibri"/>
          <w:color w:val="282828"/>
        </w:rPr>
        <w:t>Seamlessly host and schedule virtual video interviews or organized on-site walk-in recruitment drives.</w:t>
      </w:r>
    </w:p>
    <w:p>
      <w:pPr>
        <w:pStyle w:val="ListBullet"/>
        <w:spacing w:after="80" w:line="276" w:lineRule="auto"/>
      </w:pPr>
      <w:r>
        <w:rPr>
          <w:rFonts w:ascii="Calibri" w:hAnsi="Calibri"/>
          <w:b/>
          <w:color w:val="1B365D"/>
        </w:rPr>
        <w:t xml:space="preserve">Document Processing &amp; Compliance: </w:t>
      </w:r>
      <w:r>
        <w:rPr>
          <w:rFonts w:ascii="Calibri" w:hAnsi="Calibri"/>
          <w:color w:val="282828"/>
        </w:rPr>
        <w:t>Full oversight of background checks, license verifications, medical clearances, and regulatory paperwork customized to employer and regional requirements.</w:t>
      </w:r>
    </w:p>
    <w:p>
      <w:pPr>
        <w:pStyle w:val="ListBullet"/>
        <w:spacing w:after="80" w:line="276" w:lineRule="auto"/>
      </w:pPr>
      <w:r>
        <w:rPr>
          <w:rFonts w:ascii="Calibri" w:hAnsi="Calibri"/>
          <w:b/>
          <w:color w:val="1B365D"/>
        </w:rPr>
        <w:t xml:space="preserve">Deployment &amp; Travel Dispatch: </w:t>
      </w:r>
      <w:r>
        <w:rPr>
          <w:rFonts w:ascii="Calibri" w:hAnsi="Calibri"/>
          <w:color w:val="282828"/>
        </w:rPr>
        <w:t>Complete coordination of visa processing, travel documentation, air ticketing, and final candidate deployment to your operational location.</w:t>
      </w:r>
    </w:p>
    <w:p/>
    <w:p>
      <w:pPr>
        <w:pStyle w:val="Heading1"/>
      </w:pPr>
      <w:r>
        <w:rPr>
          <w:rFonts w:ascii="Calibri" w:hAnsi="Calibri"/>
          <w:b/>
          <w:color w:val="1B365D"/>
        </w:rPr>
        <w:t>3. Dedicated Support for Potential Candidates</w:t>
      </w:r>
    </w:p>
    <w:p>
      <w:pPr>
        <w:spacing w:line="276" w:lineRule="auto"/>
      </w:pPr>
      <w:r>
        <w:rPr>
          <w:color w:val="282828"/>
        </w:rPr>
        <w:t>We guide job seekers through every stage of their career progression, providing structured mentorship and hassle-free onboarding:</w:t>
      </w:r>
    </w:p>
    <w:p>
      <w:pPr>
        <w:pStyle w:val="ListBullet"/>
        <w:spacing w:after="80" w:line="276" w:lineRule="auto"/>
      </w:pPr>
      <w:r>
        <w:rPr>
          <w:rFonts w:ascii="Calibri" w:hAnsi="Calibri"/>
          <w:b/>
          <w:color w:val="1B365D"/>
        </w:rPr>
        <w:t xml:space="preserve">Free Registration &amp; Profile Building: </w:t>
      </w:r>
      <w:r>
        <w:rPr>
          <w:rFonts w:ascii="Calibri" w:hAnsi="Calibri"/>
          <w:color w:val="282828"/>
        </w:rPr>
        <w:t>Create a comprehensive digital portfolio highlighting certifications, credentials, skills, and work history.</w:t>
      </w:r>
    </w:p>
    <w:p>
      <w:pPr>
        <w:pStyle w:val="ListBullet"/>
        <w:spacing w:after="80" w:line="276" w:lineRule="auto"/>
      </w:pPr>
      <w:r>
        <w:rPr>
          <w:rFonts w:ascii="Calibri" w:hAnsi="Calibri"/>
          <w:b/>
          <w:color w:val="1B365D"/>
        </w:rPr>
        <w:t xml:space="preserve">Personalized Career Notifications: </w:t>
      </w:r>
      <w:r>
        <w:rPr>
          <w:rFonts w:ascii="Calibri" w:hAnsi="Calibri"/>
          <w:color w:val="282828"/>
        </w:rPr>
        <w:t>Receive tailored email updates and instant alerts for career opportunities that match your specific experience profile.</w:t>
      </w:r>
    </w:p>
    <w:p>
      <w:pPr>
        <w:pStyle w:val="ListBullet"/>
        <w:spacing w:after="80" w:line="276" w:lineRule="auto"/>
      </w:pPr>
      <w:r>
        <w:rPr>
          <w:rFonts w:ascii="Calibri" w:hAnsi="Calibri"/>
          <w:b/>
          <w:color w:val="1B365D"/>
        </w:rPr>
        <w:t xml:space="preserve">Streamlined Interviewing: </w:t>
      </w:r>
      <w:r>
        <w:rPr>
          <w:rFonts w:ascii="Calibri" w:hAnsi="Calibri"/>
          <w:color w:val="282828"/>
        </w:rPr>
        <w:t>Full preparation and logistics management for online video interviews or walk-in recruitment drives upon being shortlisted.</w:t>
      </w:r>
    </w:p>
    <w:p>
      <w:pPr>
        <w:pStyle w:val="ListBullet"/>
        <w:spacing w:after="80" w:line="276" w:lineRule="auto"/>
      </w:pPr>
      <w:r>
        <w:rPr>
          <w:rFonts w:ascii="Calibri" w:hAnsi="Calibri"/>
          <w:b/>
          <w:color w:val="1B365D"/>
        </w:rPr>
        <w:t xml:space="preserve">Paperwork &amp; Compliance Assistance: </w:t>
      </w:r>
      <w:r>
        <w:rPr>
          <w:rFonts w:ascii="Calibri" w:hAnsi="Calibri"/>
          <w:color w:val="282828"/>
        </w:rPr>
        <w:t>Step-by-step guidance for completing required medical exams, background verifications, and regulatory paperwork specified by recruiters.</w:t>
      </w:r>
    </w:p>
    <w:p>
      <w:pPr>
        <w:pStyle w:val="ListBullet"/>
        <w:spacing w:after="80" w:line="276" w:lineRule="auto"/>
      </w:pPr>
      <w:r>
        <w:rPr>
          <w:rFonts w:ascii="Calibri" w:hAnsi="Calibri"/>
          <w:b/>
          <w:color w:val="1B365D"/>
        </w:rPr>
        <w:t xml:space="preserve">Travel &amp; Deployment Support: </w:t>
      </w:r>
      <w:r>
        <w:rPr>
          <w:rFonts w:ascii="Calibri" w:hAnsi="Calibri"/>
          <w:color w:val="282828"/>
        </w:rPr>
        <w:t>End-to-end guidance for visa applications, travel document completion, and final dispatch to your new placement site.</w:t>
      </w:r>
    </w:p>
    <w:p/>
    <w:p>
      <w:pPr>
        <w:pStyle w:val="Heading1"/>
      </w:pPr>
      <w:r>
        <w:rPr>
          <w:rFonts w:ascii="Calibri" w:hAnsi="Calibri"/>
          <w:b/>
          <w:color w:val="1B365D"/>
        </w:rPr>
        <w:t>4. End-to-End Workflow Breakdown</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B365D"/>
            <w:tcMar>
              <w:top w:w="120" w:type="dxa"/>
              <w:bottom w:w="120" w:type="dxa"/>
              <w:left w:w="150" w:type="dxa"/>
              <w:right w:w="150" w:type="dxa"/>
            </w:tcMar>
          </w:tcPr>
          <w:p>
            <w:pPr>
              <w:jc w:val="left"/>
            </w:pPr>
            <w:r>
              <w:rPr>
                <w:rFonts w:ascii="Calibri" w:hAnsi="Calibri"/>
                <w:b/>
                <w:color w:val="FFFFFF"/>
                <w:sz w:val="20"/>
              </w:rPr>
              <w:t>Stage</w:t>
            </w:r>
          </w:p>
        </w:tc>
        <w:tc>
          <w:tcPr>
            <w:tcW w:type="dxa" w:w="3888"/>
            <w:shd w:fill="1B365D"/>
            <w:tcMar>
              <w:top w:w="120" w:type="dxa"/>
              <w:bottom w:w="120" w:type="dxa"/>
              <w:left w:w="150" w:type="dxa"/>
              <w:right w:w="150" w:type="dxa"/>
            </w:tcMar>
          </w:tcPr>
          <w:p>
            <w:pPr>
              <w:jc w:val="left"/>
            </w:pPr>
            <w:r>
              <w:rPr>
                <w:rFonts w:ascii="Calibri" w:hAnsi="Calibri"/>
                <w:b/>
                <w:color w:val="FFFFFF"/>
                <w:sz w:val="20"/>
              </w:rPr>
              <w:t>Services for Recruiters / Employers</w:t>
            </w:r>
          </w:p>
        </w:tc>
        <w:tc>
          <w:tcPr>
            <w:tcW w:type="dxa" w:w="3888"/>
            <w:shd w:fill="1B365D"/>
            <w:tcMar>
              <w:top w:w="120" w:type="dxa"/>
              <w:bottom w:w="120" w:type="dxa"/>
              <w:left w:w="150" w:type="dxa"/>
              <w:right w:w="150" w:type="dxa"/>
            </w:tcMar>
          </w:tcPr>
          <w:p>
            <w:pPr>
              <w:jc w:val="left"/>
            </w:pPr>
            <w:r>
              <w:rPr>
                <w:rFonts w:ascii="Calibri" w:hAnsi="Calibri"/>
                <w:b/>
                <w:color w:val="FFFFFF"/>
                <w:sz w:val="20"/>
              </w:rPr>
              <w:t>Services for Potential Candidates</w:t>
            </w:r>
          </w:p>
        </w:tc>
      </w:tr>
      <w:tr>
        <w:tc>
          <w:tcPr>
            <w:tcW w:type="dxa" w:w="2160"/>
            <w:shd w:fill="F0F4F8"/>
            <w:tcMar>
              <w:top w:w="100" w:type="dxa"/>
              <w:bottom w:w="100" w:type="dxa"/>
              <w:left w:w="150" w:type="dxa"/>
              <w:right w:w="150" w:type="dxa"/>
            </w:tcMar>
          </w:tcPr>
          <w:p>
            <w:pPr>
              <w:spacing w:line="276" w:lineRule="auto"/>
            </w:pPr>
            <w:r>
              <w:rPr>
                <w:rFonts w:ascii="Calibri" w:hAnsi="Calibri"/>
                <w:color w:val="282828"/>
                <w:sz w:val="19"/>
              </w:rPr>
              <w:t>1. Sourcing &amp; Outreach</w:t>
            </w:r>
          </w:p>
        </w:tc>
        <w:tc>
          <w:tcPr>
            <w:tcW w:type="dxa" w:w="3888"/>
            <w:shd w:fill="F0F4F8"/>
            <w:tcMar>
              <w:top w:w="100" w:type="dxa"/>
              <w:bottom w:w="100" w:type="dxa"/>
              <w:left w:w="150" w:type="dxa"/>
              <w:right w:w="150" w:type="dxa"/>
            </w:tcMar>
          </w:tcPr>
          <w:p>
            <w:pPr>
              <w:spacing w:line="276" w:lineRule="auto"/>
            </w:pPr>
            <w:r>
              <w:rPr>
                <w:rFonts w:ascii="Calibri" w:hAnsi="Calibri"/>
                <w:color w:val="282828"/>
                <w:sz w:val="19"/>
              </w:rPr>
              <w:t>Access verified database; post targeted job ads; request candidate shortlists.</w:t>
            </w:r>
          </w:p>
        </w:tc>
        <w:tc>
          <w:tcPr>
            <w:tcW w:type="dxa" w:w="3888"/>
            <w:shd w:fill="F0F4F8"/>
            <w:tcMar>
              <w:top w:w="100" w:type="dxa"/>
              <w:bottom w:w="100" w:type="dxa"/>
              <w:left w:w="150" w:type="dxa"/>
              <w:right w:w="150" w:type="dxa"/>
            </w:tcMar>
          </w:tcPr>
          <w:p>
            <w:pPr>
              <w:spacing w:line="276" w:lineRule="auto"/>
            </w:pPr>
            <w:r>
              <w:rPr>
                <w:rFonts w:ascii="Calibri" w:hAnsi="Calibri"/>
                <w:color w:val="282828"/>
                <w:sz w:val="19"/>
              </w:rPr>
              <w:t>Free registration; automated profile matching; career opportunity email alerts.</w:t>
            </w:r>
          </w:p>
        </w:tc>
      </w:tr>
      <w:tr>
        <w:tc>
          <w:tcPr>
            <w:tcW w:type="dxa" w:w="2160"/>
            <w:shd w:fill="FFFFFF"/>
            <w:tcMar>
              <w:top w:w="100" w:type="dxa"/>
              <w:bottom w:w="100" w:type="dxa"/>
              <w:left w:w="150" w:type="dxa"/>
              <w:right w:w="150" w:type="dxa"/>
            </w:tcMar>
          </w:tcPr>
          <w:p>
            <w:pPr>
              <w:spacing w:line="276" w:lineRule="auto"/>
            </w:pPr>
            <w:r>
              <w:rPr>
                <w:rFonts w:ascii="Calibri" w:hAnsi="Calibri"/>
                <w:color w:val="282828"/>
                <w:sz w:val="19"/>
              </w:rPr>
              <w:t>2. Shortlisting &amp; Screening</w:t>
            </w:r>
          </w:p>
        </w:tc>
        <w:tc>
          <w:tcPr>
            <w:tcW w:type="dxa" w:w="3888"/>
            <w:shd w:fill="FFFFFF"/>
            <w:tcMar>
              <w:top w:w="100" w:type="dxa"/>
              <w:bottom w:w="100" w:type="dxa"/>
              <w:left w:w="150" w:type="dxa"/>
              <w:right w:w="150" w:type="dxa"/>
            </w:tcMar>
          </w:tcPr>
          <w:p>
            <w:pPr>
              <w:spacing w:line="276" w:lineRule="auto"/>
            </w:pPr>
            <w:r>
              <w:rPr>
                <w:rFonts w:ascii="Calibri" w:hAnsi="Calibri"/>
                <w:color w:val="282828"/>
                <w:sz w:val="19"/>
              </w:rPr>
              <w:t>Apply advanced custom filters; evaluate pre-screened applicant profiles.</w:t>
            </w:r>
          </w:p>
        </w:tc>
        <w:tc>
          <w:tcPr>
            <w:tcW w:type="dxa" w:w="3888"/>
            <w:shd w:fill="FFFFFF"/>
            <w:tcMar>
              <w:top w:w="100" w:type="dxa"/>
              <w:bottom w:w="100" w:type="dxa"/>
              <w:left w:w="150" w:type="dxa"/>
              <w:right w:w="150" w:type="dxa"/>
            </w:tcMar>
          </w:tcPr>
          <w:p>
            <w:pPr>
              <w:spacing w:line="276" w:lineRule="auto"/>
            </w:pPr>
            <w:r>
              <w:rPr>
                <w:rFonts w:ascii="Calibri" w:hAnsi="Calibri"/>
                <w:color w:val="282828"/>
                <w:sz w:val="19"/>
              </w:rPr>
              <w:t>Candidate profile evaluation; notification upon shortlisting for active roles.</w:t>
            </w:r>
          </w:p>
        </w:tc>
      </w:tr>
      <w:tr>
        <w:tc>
          <w:tcPr>
            <w:tcW w:type="dxa" w:w="2160"/>
            <w:shd w:fill="F0F4F8"/>
            <w:tcMar>
              <w:top w:w="100" w:type="dxa"/>
              <w:bottom w:w="100" w:type="dxa"/>
              <w:left w:w="150" w:type="dxa"/>
              <w:right w:w="150" w:type="dxa"/>
            </w:tcMar>
          </w:tcPr>
          <w:p>
            <w:pPr>
              <w:spacing w:line="276" w:lineRule="auto"/>
            </w:pPr>
            <w:r>
              <w:rPr>
                <w:rFonts w:ascii="Calibri" w:hAnsi="Calibri"/>
                <w:color w:val="282828"/>
                <w:sz w:val="19"/>
              </w:rPr>
              <w:t>3. Interview Management</w:t>
            </w:r>
          </w:p>
        </w:tc>
        <w:tc>
          <w:tcPr>
            <w:tcW w:type="dxa" w:w="3888"/>
            <w:shd w:fill="F0F4F8"/>
            <w:tcMar>
              <w:top w:w="100" w:type="dxa"/>
              <w:bottom w:w="100" w:type="dxa"/>
              <w:left w:w="150" w:type="dxa"/>
              <w:right w:w="150" w:type="dxa"/>
            </w:tcMar>
          </w:tcPr>
          <w:p>
            <w:pPr>
              <w:spacing w:line="276" w:lineRule="auto"/>
            </w:pPr>
            <w:r>
              <w:rPr>
                <w:rFonts w:ascii="Calibri" w:hAnsi="Calibri"/>
                <w:color w:val="282828"/>
                <w:sz w:val="19"/>
              </w:rPr>
              <w:t>Arrange and manage online video interviews or walk-in recruitment events.</w:t>
            </w:r>
          </w:p>
        </w:tc>
        <w:tc>
          <w:tcPr>
            <w:tcW w:type="dxa" w:w="3888"/>
            <w:shd w:fill="F0F4F8"/>
            <w:tcMar>
              <w:top w:w="100" w:type="dxa"/>
              <w:bottom w:w="100" w:type="dxa"/>
              <w:left w:w="150" w:type="dxa"/>
              <w:right w:w="150" w:type="dxa"/>
            </w:tcMar>
          </w:tcPr>
          <w:p>
            <w:pPr>
              <w:spacing w:line="276" w:lineRule="auto"/>
            </w:pPr>
            <w:r>
              <w:rPr>
                <w:rFonts w:ascii="Calibri" w:hAnsi="Calibri"/>
                <w:color w:val="282828"/>
                <w:sz w:val="19"/>
              </w:rPr>
              <w:t>Comprehensive schedule coordination and candidate guidance for interviews.</w:t>
            </w:r>
          </w:p>
        </w:tc>
      </w:tr>
      <w:tr>
        <w:tc>
          <w:tcPr>
            <w:tcW w:type="dxa" w:w="2160"/>
            <w:shd w:fill="FFFFFF"/>
            <w:tcMar>
              <w:top w:w="100" w:type="dxa"/>
              <w:bottom w:w="100" w:type="dxa"/>
              <w:left w:w="150" w:type="dxa"/>
              <w:right w:w="150" w:type="dxa"/>
            </w:tcMar>
          </w:tcPr>
          <w:p>
            <w:pPr>
              <w:spacing w:line="276" w:lineRule="auto"/>
            </w:pPr>
            <w:r>
              <w:rPr>
                <w:rFonts w:ascii="Calibri" w:hAnsi="Calibri"/>
                <w:color w:val="282828"/>
                <w:sz w:val="19"/>
              </w:rPr>
              <w:t>4. Compliance &amp; Paperwork</w:t>
            </w:r>
          </w:p>
        </w:tc>
        <w:tc>
          <w:tcPr>
            <w:tcW w:type="dxa" w:w="3888"/>
            <w:shd w:fill="FFFFFF"/>
            <w:tcMar>
              <w:top w:w="100" w:type="dxa"/>
              <w:bottom w:w="100" w:type="dxa"/>
              <w:left w:w="150" w:type="dxa"/>
              <w:right w:w="150" w:type="dxa"/>
            </w:tcMar>
          </w:tcPr>
          <w:p>
            <w:pPr>
              <w:spacing w:line="276" w:lineRule="auto"/>
            </w:pPr>
            <w:r>
              <w:rPr>
                <w:rFonts w:ascii="Calibri" w:hAnsi="Calibri"/>
                <w:color w:val="282828"/>
                <w:sz w:val="19"/>
              </w:rPr>
              <w:t>Full processing of background checks, licenses, and recruiter requirements.</w:t>
            </w:r>
          </w:p>
        </w:tc>
        <w:tc>
          <w:tcPr>
            <w:tcW w:type="dxa" w:w="3888"/>
            <w:shd w:fill="FFFFFF"/>
            <w:tcMar>
              <w:top w:w="100" w:type="dxa"/>
              <w:bottom w:w="100" w:type="dxa"/>
              <w:left w:w="150" w:type="dxa"/>
              <w:right w:w="150" w:type="dxa"/>
            </w:tcMar>
          </w:tcPr>
          <w:p>
            <w:pPr>
              <w:spacing w:line="276" w:lineRule="auto"/>
            </w:pPr>
            <w:r>
              <w:rPr>
                <w:rFonts w:ascii="Calibri" w:hAnsi="Calibri"/>
                <w:color w:val="282828"/>
                <w:sz w:val="19"/>
              </w:rPr>
              <w:t>Step-by-step assistance and guidance through documentation and paperwork.</w:t>
            </w:r>
          </w:p>
        </w:tc>
      </w:tr>
      <w:tr>
        <w:tc>
          <w:tcPr>
            <w:tcW w:type="dxa" w:w="2160"/>
            <w:shd w:fill="F0F4F8"/>
            <w:tcMar>
              <w:top w:w="100" w:type="dxa"/>
              <w:bottom w:w="100" w:type="dxa"/>
              <w:left w:w="150" w:type="dxa"/>
              <w:right w:w="150" w:type="dxa"/>
            </w:tcMar>
          </w:tcPr>
          <w:p>
            <w:pPr>
              <w:spacing w:line="276" w:lineRule="auto"/>
            </w:pPr>
            <w:r>
              <w:rPr>
                <w:rFonts w:ascii="Calibri" w:hAnsi="Calibri"/>
                <w:color w:val="282828"/>
                <w:sz w:val="19"/>
              </w:rPr>
              <w:t>5. Deployment &amp; Dispatch</w:t>
            </w:r>
          </w:p>
        </w:tc>
        <w:tc>
          <w:tcPr>
            <w:tcW w:type="dxa" w:w="3888"/>
            <w:shd w:fill="F0F4F8"/>
            <w:tcMar>
              <w:top w:w="100" w:type="dxa"/>
              <w:bottom w:w="100" w:type="dxa"/>
              <w:left w:w="150" w:type="dxa"/>
              <w:right w:w="150" w:type="dxa"/>
            </w:tcMar>
          </w:tcPr>
          <w:p>
            <w:pPr>
              <w:spacing w:line="276" w:lineRule="auto"/>
            </w:pPr>
            <w:r>
              <w:rPr>
                <w:rFonts w:ascii="Calibri" w:hAnsi="Calibri"/>
                <w:color w:val="282828"/>
                <w:sz w:val="19"/>
              </w:rPr>
              <w:t>Manage visas, travel documents, air tickets, and final deployment dispatch.</w:t>
            </w:r>
          </w:p>
        </w:tc>
        <w:tc>
          <w:tcPr>
            <w:tcW w:type="dxa" w:w="3888"/>
            <w:shd w:fill="F0F4F8"/>
            <w:tcMar>
              <w:top w:w="100" w:type="dxa"/>
              <w:bottom w:w="100" w:type="dxa"/>
              <w:left w:w="150" w:type="dxa"/>
              <w:right w:w="150" w:type="dxa"/>
            </w:tcMar>
          </w:tcPr>
          <w:p>
            <w:pPr>
              <w:spacing w:line="276" w:lineRule="auto"/>
            </w:pPr>
            <w:r>
              <w:rPr>
                <w:rFonts w:ascii="Calibri" w:hAnsi="Calibri"/>
                <w:color w:val="282828"/>
                <w:sz w:val="19"/>
              </w:rPr>
              <w:t>Complete travel document setup, visa assistance, and final travel dispatch.</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