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upplementary-appendix"/>
    <w:p>
      <w:pPr>
        <w:pStyle w:val="Heading1"/>
      </w:pPr>
      <w:r>
        <w:t xml:space="preserve">Supplementary Appendix</w:t>
      </w:r>
    </w:p>
    <w:p>
      <w:pPr>
        <w:pStyle w:val="FirstParagraph"/>
      </w:pPr>
      <w:r>
        <w:rPr>
          <w:i/>
          <w:iCs/>
        </w:rPr>
        <w:t xml:space="preserve">Supplementary material for: Independent Reproduction and Label-Leakage Audit of Multimodal Pulmonary Embolism Detection on the RadFusion Benchmark</w:t>
      </w:r>
    </w:p>
    <w:bookmarkStart w:id="12" w:name="supplementary-figure-s1"/>
    <w:p>
      <w:pPr>
        <w:pStyle w:val="Heading2"/>
      </w:pPr>
      <w:r>
        <w:t xml:space="preserve">Supplementary Figure S1</w:t>
      </w:r>
    </w:p>
    <w:p>
      <w:pPr>
        <w:pStyle w:val="FirstParagraph"/>
      </w:pPr>
      <w:r>
        <w:drawing>
          <wp:inline>
            <wp:extent cx="5334000" cy="503766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Figure_S1_global_SHAP_importanc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S1: Global SHAP feature importance for the EHR arm (30 highest-ranked features)</w:t>
      </w:r>
    </w:p>
    <w:p>
      <w:pPr>
        <w:pStyle w:val="BodyText"/>
      </w:pPr>
      <w:r>
        <w:rPr>
          <w:i/>
          <w:iCs/>
        </w:rPr>
        <w:t xml:space="preserve">Bars show the mean absolute SHAP value of each feature over the 190 test studies (exact linear SHAP, training-set background, log-odds units). Red bars mark features in a prespecified leakage-candidate group. Only 199 of the 1,505 input features have non-zero attribution, a consequence of elastic-net sparsity; the two pulmonary-circulation diagnosis features account for 40.8% of the total. This figure replaces the coefficient heatmap in the original submission. Generated in Python 3.11.15 using SHAP 0.51.0 and matplotlib 3.11.2. EHR: electronic health record; SHAP: SHapley Additive exPlanations.</w:t>
      </w:r>
    </w:p>
    <w:bookmarkEnd w:id="12"/>
    <w:bookmarkStart w:id="13" w:name="supplementary-table-s1"/>
    <w:p>
      <w:pPr>
        <w:pStyle w:val="Heading2"/>
      </w:pPr>
      <w:r>
        <w:t xml:space="preserve">Supplementary Table S1</w:t>
      </w:r>
    </w:p>
    <w:p>
      <w:pPr>
        <w:pStyle w:val="FirstParagraph"/>
      </w:pPr>
      <w:r>
        <w:rPr>
          <w:b/>
          <w:bCs/>
        </w:rPr>
        <w:t xml:space="preserve">Supplementary Table S1: Columns in each prespecified leakage-candidate feature 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Leakage-candidate group</w:t>
            </w:r>
          </w:p>
        </w:tc>
        <w:tc>
          <w:tcPr/>
          <w:p>
            <w:pPr>
              <w:pStyle w:val="Compact"/>
            </w:pPr>
            <w:r>
              <w:t xml:space="preserve">Source table</w:t>
            </w:r>
          </w:p>
        </w:tc>
        <w:tc>
          <w:tcPr/>
          <w:p>
            <w:pPr>
              <w:pStyle w:val="Compact"/>
            </w:pPr>
            <w:r>
              <w:t xml:space="preserve">Released column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Pulmonary-circulation diagnoses</w:t>
            </w:r>
          </w:p>
        </w:tc>
        <w:tc>
          <w:tcPr/>
          <w:p>
            <w:pPr>
              <w:pStyle w:val="Compact"/>
            </w:pPr>
            <w:r>
              <w:t xml:space="preserve">ICD diagnosis groupings</w:t>
            </w:r>
          </w:p>
        </w:tc>
        <w:tc>
          <w:tcPr/>
          <w:p>
            <w:pPr>
              <w:pStyle w:val="Compact"/>
            </w:pPr>
            <w:r>
              <w:t xml:space="preserve">DISEASES OF PULMONARY CIRCULATION:frequency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Pulmonary-circulation diagnoses</w:t>
            </w:r>
          </w:p>
        </w:tc>
        <w:tc>
          <w:tcPr/>
          <w:p>
            <w:pPr>
              <w:pStyle w:val="Compact"/>
            </w:pPr>
            <w:r>
              <w:t xml:space="preserve">ICD diagnosis groupings</w:t>
            </w:r>
          </w:p>
        </w:tc>
        <w:tc>
          <w:tcPr/>
          <w:p>
            <w:pPr>
              <w:pStyle w:val="Compact"/>
            </w:pPr>
            <w:r>
              <w:t xml:space="preserve">DISEASES OF PULMONARY CIRCULATION:presence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Outpatient_HEPARIN AND RELATED PREPARATIONS:Binary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Outpatient_ANTICOAGULANTS,COUMARIN TYPE:Binary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Outpatient_THROMBOLYTIC ENZYMES:Binary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Outpatient_DIRECT FACTOR XA INHIBITORS:Binary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Outpatient_THROMBIN INHIBITORS, SELECTIVE, DIRECT, REVERSIBLE:Binary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Outpatient_HEPARIN AND RELATED PREPARATIONS:Frequeny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Outpatient_ANTICOAGULANTS,COUMARIN TYPE:Frequeny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Outpatient_THROMBOLYTIC ENZYMES:Frequeny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Outpatient_DIRECT FACTOR XA INHIBITORS:Frequeny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Outpatient medications</w:t>
            </w:r>
          </w:p>
        </w:tc>
        <w:tc>
          <w:tcPr/>
          <w:p>
            <w:pPr>
              <w:pStyle w:val="Compact"/>
            </w:pPr>
            <w:r>
              <w:t xml:space="preserve">Outpatient_THROMBIN INHIBITORS, SELECTIVE, DIRECT, REVERSIBLE:Frequeny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HEPARIN AND RELATED PREPARATIONS:Binary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ANTICOAGULANTS,COUMARIN TYPE:Binary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THROMBOLYTIC ENZYMES:Binary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THROMBIN INHIBITORS, SELECTIVE, DIRECT, REVERSIBLE:Binary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THROMBIN INHIBITORS,SEL,DIRECT,REVERS-HIRUDIN TYPE:Binary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HEPARIN AND RELATED PREPARATIONS:Frequeny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ANTICOAGULANTS,COUMARIN TYPE:Frequeny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THROMBOLYTIC ENZYMES:Frequeny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THROMBIN INHIBITORS, SELECTIVE, DIRECT, REVERSIBLE:Frequeny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Anticoagulant/thrombolytic medications</w:t>
            </w:r>
          </w:p>
        </w:tc>
        <w:tc>
          <w:tcPr/>
          <w:p>
            <w:pPr>
              <w:pStyle w:val="Compact"/>
            </w:pPr>
            <w:r>
              <w:t xml:space="preserve">Inpatient medications</w:t>
            </w:r>
          </w:p>
        </w:tc>
        <w:tc>
          <w:tcPr/>
          <w:p>
            <w:pPr>
              <w:pStyle w:val="Compact"/>
            </w:pPr>
            <w:r>
              <w:t xml:space="preserve">THROMBIN INHIBITORS,SEL,DIRECT,REVERS-HIRUDIN TYPE:Frequeny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D-dimer testing</w:t>
            </w:r>
          </w:p>
        </w:tc>
        <w:tc>
          <w:tcPr/>
          <w:p>
            <w:pPr>
              <w:pStyle w:val="Compact"/>
            </w:pPr>
            <w:r>
              <w:t xml:space="preserve">Laboratory tests</w:t>
            </w:r>
          </w:p>
        </w:tc>
        <w:tc>
          <w:tcPr/>
          <w:p>
            <w:pPr>
              <w:pStyle w:val="Compact"/>
            </w:pPr>
            <w:r>
              <w:t xml:space="preserve">d-dimer:Binary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D-dimer testing</w:t>
            </w:r>
          </w:p>
        </w:tc>
        <w:tc>
          <w:tcPr/>
          <w:p>
            <w:pPr>
              <w:pStyle w:val="Compact"/>
            </w:pPr>
            <w:r>
              <w:t xml:space="preserve">Laboratory tests</w:t>
            </w:r>
          </w:p>
        </w:tc>
        <w:tc>
          <w:tcPr/>
          <w:p>
            <w:pPr>
              <w:pStyle w:val="Compact"/>
            </w:pPr>
            <w:r>
              <w:t xml:space="preserve">d-dimer:Value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Venous-disease diagnoses</w:t>
            </w:r>
          </w:p>
        </w:tc>
        <w:tc>
          <w:tcPr/>
          <w:p>
            <w:pPr>
              <w:pStyle w:val="Compact"/>
            </w:pPr>
            <w:r>
              <w:t xml:space="preserve">ICD diagnosis groupings</w:t>
            </w:r>
          </w:p>
        </w:tc>
        <w:tc>
          <w:tcPr/>
          <w:p>
            <w:pPr>
              <w:pStyle w:val="Compact"/>
            </w:pPr>
            <w:r>
              <w:t xml:space="preserve">DISEASES OF VEINS AND LYMPHATICS, AND OTHER DISEASES OF CIRCULATORY SYSTEM:frequency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Venous-disease diagnoses</w:t>
            </w:r>
          </w:p>
        </w:tc>
        <w:tc>
          <w:tcPr/>
          <w:p>
            <w:pPr>
              <w:pStyle w:val="Compact"/>
            </w:pPr>
            <w:r>
              <w:t xml:space="preserve">ICD diagnosis groupings</w:t>
            </w:r>
          </w:p>
        </w:tc>
        <w:tc>
          <w:tcPr/>
          <w:p>
            <w:pPr>
              <w:pStyle w:val="Compact"/>
            </w:pPr>
            <w:r>
              <w:t xml:space="preserve">DISEASES OF VEINS AND LYMPHATICS, AND OTHER DISEASES OF CIRCULATORY SYSTEM:presence</w:t>
            </w:r>
          </w:p>
        </w:tc>
      </w:tr>
    </w:tbl>
    <w:p>
      <w:pPr>
        <w:pStyle w:val="BodyText"/>
      </w:pPr>
      <w:r>
        <w:rPr>
          <w:i/>
          <w:iCs/>
        </w:rPr>
        <w:t xml:space="preserve">Column names are reproduced exactly as released, including the dataset’s spelling (</w:t>
      </w:r>
      <w:r>
        <w:rPr>
          <w:i/>
          <w:iCs/>
        </w:rPr>
        <w:t xml:space="preserve">“Frequeny”</w:t>
      </w:r>
      <w:r>
        <w:rPr>
          <w:i/>
          <w:iCs/>
        </w:rPr>
        <w:t xml:space="preserve">). Groups (a)–(c) were defined by the criteria in Materials &amp; Methods (Label-leakage audit); group (d) is secondary. Only columns retained after zero-variance removal are listed. ICD: International Classification of Diseases.</w:t>
      </w:r>
    </w:p>
    <w:bookmarkEnd w:id="13"/>
    <w:bookmarkStart w:id="14" w:name="supplementary-table-s2"/>
    <w:p>
      <w:pPr>
        <w:pStyle w:val="Heading2"/>
      </w:pPr>
      <w:r>
        <w:t xml:space="preserve">Supplementary Table S2</w:t>
      </w:r>
    </w:p>
    <w:p>
      <w:pPr>
        <w:pStyle w:val="FirstParagraph"/>
      </w:pPr>
      <w:r>
        <w:rPr>
          <w:b/>
          <w:bCs/>
        </w:rPr>
        <w:t xml:space="preserve">Supplementary Table S2: Sensitivity analyses (full test cohort, n=190)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EHR AUROC</w:t>
            </w:r>
          </w:p>
        </w:tc>
        <w:tc>
          <w:tcPr/>
          <w:p>
            <w:pPr>
              <w:pStyle w:val="Compact"/>
            </w:pPr>
            <w:r>
              <w:t xml:space="preserve">Average-fusion AUROC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analysis (reference configuration: C=0.1, L1 ratio 0.99, standardization over all studies)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Standardization fitted on training split only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Elastic-net tuned by 5-fold CV grid search (selected C=0.1, l1_ratio=0.99)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Grid-searched elastic-net without all three prespecified groups (C=0.01, l1_ratio=0.5)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 EHR estimator (Table 2 operating point model)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</w:tbl>
    <w:p>
      <w:pPr>
        <w:pStyle w:val="BodyText"/>
      </w:pPr>
      <w:r>
        <w:rPr>
          <w:i/>
          <w:iCs/>
        </w:rPr>
        <w:t xml:space="preserve">Grid search used five-fold stratified cross-validation on the training split (1,454 studies), scored by AUROC. Cross-validated AUROC for each candidate configuration is shown below. The SVC row reports discrimination of the estimator used for the Table 5 operating point. AUROC: area under the receiver operating characteristic curve; CV: cross-validation; EHR: electronic health record; SVC: support-vector classifier.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L1 ratio</w:t>
            </w:r>
          </w:p>
        </w:tc>
        <w:tc>
          <w:tcPr/>
          <w:p>
            <w:pPr>
              <w:pStyle w:val="Compact"/>
            </w:pPr>
            <w:r>
              <w:t xml:space="preserve">Mean 5-fold CV AUROC (training split)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</w:tr>
    </w:tbl>
    <w:bookmarkEnd w:id="14"/>
    <w:bookmarkStart w:id="15" w:name="supplementary-table-s3"/>
    <w:p>
      <w:pPr>
        <w:pStyle w:val="Heading2"/>
      </w:pPr>
      <w:r>
        <w:t xml:space="preserve">Supplementary Table S3</w:t>
      </w:r>
    </w:p>
    <w:p>
      <w:pPr>
        <w:pStyle w:val="FirstParagraph"/>
      </w:pPr>
      <w:r>
        <w:rPr>
          <w:b/>
          <w:bCs/>
        </w:rPr>
        <w:t xml:space="preserve">Supplementary Table S3: TRIPOD+AI reporting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Reporting element (summarized from TRIPOD+AI)</w:t>
            </w:r>
          </w:p>
        </w:tc>
        <w:tc>
          <w:tcPr/>
          <w:p>
            <w:pPr>
              <w:pStyle w:val="Compact"/>
            </w:pPr>
            <w:r>
              <w:t xml:space="preserve">Where reported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and abstract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Identify the study as developing or evaluating a prediction model, the target population and the outcome.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Reported: reproduction and audit, RadFusion, PE detection.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Abstract per TRIPOD+AI for Abstracts.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Reported (structured).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Healthcare context and rationale; diagnostic or prognostic.</w:t>
            </w:r>
          </w:p>
        </w:tc>
        <w:tc>
          <w:tcPr/>
          <w:p>
            <w:pPr>
              <w:pStyle w:val="Compact"/>
            </w:pPr>
            <w:r>
              <w:t xml:space="preserve">Introduction, paragraphs 1-2</w:t>
            </w:r>
          </w:p>
        </w:tc>
        <w:tc>
          <w:tcPr/>
          <w:p>
            <w:pPr>
              <w:pStyle w:val="Compact"/>
            </w:pPr>
            <w:r>
              <w:t xml:space="preserve">Reported: diagnostic (study-level PE present vs absent).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Study objectives: development, evaluation, or both.</w:t>
            </w:r>
          </w:p>
        </w:tc>
        <w:tc>
          <w:tcPr/>
          <w:p>
            <w:pPr>
              <w:pStyle w:val="Compact"/>
            </w:pPr>
            <w:r>
              <w:t xml:space="preserve">Introduction, final paragraph</w:t>
            </w:r>
          </w:p>
        </w:tc>
        <w:tc>
          <w:tcPr/>
          <w:p>
            <w:pPr>
              <w:pStyle w:val="Compact"/>
            </w:pPr>
            <w:r>
              <w:t xml:space="preserve">Reported: evaluation/reproduction and leakage audit; no imaging model developed.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Source of data; separation of development and evaluation data.</w:t>
            </w:r>
          </w:p>
        </w:tc>
        <w:tc>
          <w:tcPr/>
          <w:p>
            <w:pPr>
              <w:pStyle w:val="Compact"/>
            </w:pPr>
            <w:r>
              <w:t xml:space="preserve">Materials &amp; Methods: Data source, participants and selection</w:t>
            </w:r>
          </w:p>
        </w:tc>
        <w:tc>
          <w:tcPr/>
          <w:p>
            <w:pPr>
              <w:pStyle w:val="Compact"/>
            </w:pPr>
            <w:r>
              <w:t xml:space="preserve">Reported: public RadFusion benchmark; predefined study-level splits (Table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Participants: setting, eligibility, treatments.</w:t>
            </w:r>
          </w:p>
        </w:tc>
        <w:tc>
          <w:tcPr/>
          <w:p>
            <w:pPr>
              <w:pStyle w:val="Compact"/>
            </w:pPr>
            <w:r>
              <w:t xml:space="preserve">Materials &amp; Methods: Data source, participants and selection</w:t>
            </w:r>
          </w:p>
        </w:tc>
        <w:tc>
          <w:tcPr/>
          <w:p>
            <w:pPr>
              <w:pStyle w:val="Compact"/>
            </w:pPr>
            <w:r>
              <w:t xml:space="preserve">Partially reported: selection inherited from the source benchmark [11,15,16]; no additional exclusions.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Outcome definition, assessment and blinding.</w:t>
            </w:r>
          </w:p>
        </w:tc>
        <w:tc>
          <w:tcPr/>
          <w:p>
            <w:pPr>
              <w:pStyle w:val="Compact"/>
            </w:pPr>
            <w:r>
              <w:t xml:space="preserve">Materials &amp; Methods: Data source, participants and selection</w:t>
            </w:r>
          </w:p>
        </w:tc>
        <w:tc>
          <w:tcPr/>
          <w:p>
            <w:pPr>
              <w:pStyle w:val="Compact"/>
            </w:pPr>
            <w:r>
              <w:t xml:space="preserve">Reported: study-level PE label from the benchmark; blinding of original labelling not documented in the release.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Predictors: definition, timing, preprocessing.</w:t>
            </w:r>
          </w:p>
        </w:tc>
        <w:tc>
          <w:tcPr/>
          <w:p>
            <w:pPr>
              <w:pStyle w:val="Compact"/>
            </w:pPr>
            <w:r>
              <w:t xml:space="preserve">Materials &amp; Methods: EHR feature processing; Label-leakage audit; Table 2</w:t>
            </w:r>
          </w:p>
        </w:tc>
        <w:tc>
          <w:tcPr/>
          <w:p>
            <w:pPr>
              <w:pStyle w:val="Compact"/>
            </w:pPr>
            <w:r>
              <w:t xml:space="preserve">Partially reported: definitions and preprocessing reported; timing relative to index study is not available in the released data (Discussion: Temporal label leakage).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Sample size and justification.</w:t>
            </w:r>
          </w:p>
        </w:tc>
        <w:tc>
          <w:tcPr/>
          <w:p>
            <w:pPr>
              <w:pStyle w:val="Compact"/>
            </w:pPr>
            <w:r>
              <w:t xml:space="preserve">Materials &amp; Methods: Sample size</w:t>
            </w:r>
          </w:p>
        </w:tc>
        <w:tc>
          <w:tcPr/>
          <w:p>
            <w:pPr>
              <w:pStyle w:val="Compact"/>
            </w:pPr>
            <w:r>
              <w:t xml:space="preserve">Reported: fixed by the benchmark; no a priori calculation; precision reported as 95% CIs.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Missing data handling.</w:t>
            </w:r>
          </w:p>
        </w:tc>
        <w:tc>
          <w:tcPr/>
          <w:p>
            <w:pPr>
              <w:pStyle w:val="Compact"/>
            </w:pPr>
            <w:r>
              <w:t xml:space="preserve">Materials &amp; Methods: EHR feature processing</w:t>
            </w:r>
          </w:p>
        </w:tc>
        <w:tc>
          <w:tcPr/>
          <w:p>
            <w:pPr>
              <w:pStyle w:val="Compact"/>
            </w:pPr>
            <w:r>
              <w:t xml:space="preserve">Reported: no missing values after joining; duplicates and zero-variance columns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Analytical methods: model type, tuning, internal validation.</w:t>
            </w:r>
          </w:p>
        </w:tc>
        <w:tc>
          <w:tcPr/>
          <w:p>
            <w:pPr>
              <w:pStyle w:val="Compact"/>
            </w:pPr>
            <w:r>
              <w:t xml:space="preserve">Materials &amp; Methods: EHR models; Late fusion; Supplementary Table S2</w:t>
            </w:r>
          </w:p>
        </w:tc>
        <w:tc>
          <w:tcPr/>
          <w:p>
            <w:pPr>
              <w:pStyle w:val="Compact"/>
            </w:pPr>
            <w:r>
              <w:t xml:space="preserve">Reported: elastic-net (fixed reference hyperparameters; CV grid search as sensitivity analysis) and SVC; fusion rules without learned parameters.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Class imbalance.</w:t>
            </w:r>
          </w:p>
        </w:tc>
        <w:tc>
          <w:tcPr/>
          <w:p>
            <w:pPr>
              <w:pStyle w:val="Compact"/>
            </w:pPr>
            <w:r>
              <w:t xml:space="preserve">Materials &amp; Methods: EHR models</w:t>
            </w:r>
          </w:p>
        </w:tc>
        <w:tc>
          <w:tcPr/>
          <w:p>
            <w:pPr>
              <w:pStyle w:val="Compact"/>
            </w:pPr>
            <w:r>
              <w:t xml:space="preserve">Reported: balanced class weights (elastic-net).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Model output and thresholds.</w:t>
            </w:r>
          </w:p>
        </w:tc>
        <w:tc>
          <w:tcPr/>
          <w:p>
            <w:pPr>
              <w:pStyle w:val="Compact"/>
            </w:pPr>
            <w:r>
              <w:t xml:space="preserve">Materials &amp; Methods: Statistical analysis</w:t>
            </w:r>
          </w:p>
        </w:tc>
        <w:tc>
          <w:tcPr/>
          <w:p>
            <w:pPr>
              <w:pStyle w:val="Compact"/>
            </w:pPr>
            <w:r>
              <w:t xml:space="preserve">Reported: probabilities; fixed untuned 0.5 threshold (Limitations).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Performance measures and rationale.</w:t>
            </w:r>
          </w:p>
        </w:tc>
        <w:tc>
          <w:tcPr/>
          <w:p>
            <w:pPr>
              <w:pStyle w:val="Compact"/>
            </w:pPr>
            <w:r>
              <w:t xml:space="preserve">Materials &amp; Methods: Statistical analysis</w:t>
            </w:r>
          </w:p>
        </w:tc>
        <w:tc>
          <w:tcPr/>
          <w:p>
            <w:pPr>
              <w:pStyle w:val="Compact"/>
            </w:pPr>
            <w:r>
              <w:t xml:space="preserve">Reported: AUROC/AUPRC with bootstrap CIs, DeLong tests, Wilson CIs, likelihood ratios.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Model updating or recalibration.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Not performed.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Fairness.</w:t>
            </w:r>
          </w:p>
        </w:tc>
        <w:tc>
          <w:tcPr/>
          <w:p>
            <w:pPr>
              <w:pStyle w:val="Compact"/>
            </w:pPr>
            <w:r>
              <w:t xml:space="preserve">Discussion: Limitations</w:t>
            </w:r>
          </w:p>
        </w:tc>
        <w:tc>
          <w:tcPr/>
          <w:p>
            <w:pPr>
              <w:pStyle w:val="Compact"/>
            </w:pPr>
            <w:r>
              <w:t xml:space="preserve">Not performed; stated as a limitation.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Deployment considerations and intended use.</w:t>
            </w:r>
          </w:p>
        </w:tc>
        <w:tc>
          <w:tcPr/>
          <w:p>
            <w:pPr>
              <w:pStyle w:val="Compact"/>
            </w:pPr>
            <w:r>
              <w:t xml:space="preserve">Discussion: Implications for clinical deployment</w:t>
            </w:r>
          </w:p>
        </w:tc>
        <w:tc>
          <w:tcPr/>
          <w:p>
            <w:pPr>
              <w:pStyle w:val="Compact"/>
            </w:pPr>
            <w:r>
              <w:t xml:space="preserve">Reported as potential roles; research prototype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science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Funding, conflicts, protocol, data and code availability.</w:t>
            </w:r>
          </w:p>
        </w:tc>
        <w:tc>
          <w:tcPr/>
          <w:p>
            <w:pPr>
              <w:pStyle w:val="Compact"/>
            </w:pPr>
            <w:r>
              <w:t xml:space="preserve">Additional Information</w:t>
            </w:r>
          </w:p>
        </w:tc>
        <w:tc>
          <w:tcPr/>
          <w:p>
            <w:pPr>
              <w:pStyle w:val="Compact"/>
            </w:pPr>
            <w:r>
              <w:t xml:space="preserve">Reported: no funding; no conflicts; no registered protocol; code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and public involvement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Patient or public involvement.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None: secondary analysis of a de-identified public dataset.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Participant flow and characteristics.</w:t>
            </w:r>
          </w:p>
        </w:tc>
        <w:tc>
          <w:tcPr/>
          <w:p>
            <w:pPr>
              <w:pStyle w:val="Compact"/>
            </w:pPr>
            <w:r>
              <w:t xml:space="preserve">Results: Cohort and features; Table 1</w:t>
            </w:r>
          </w:p>
        </w:tc>
        <w:tc>
          <w:tcPr/>
          <w:p>
            <w:pPr>
              <w:pStyle w:val="Compact"/>
            </w:pPr>
            <w:r>
              <w:t xml:space="preserve">Reported: counts, PE prevalence and PE subtype by split.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Model specification.</w:t>
            </w:r>
          </w:p>
        </w:tc>
        <w:tc>
          <w:tcPr/>
          <w:p>
            <w:pPr>
              <w:pStyle w:val="Compact"/>
            </w:pPr>
            <w:r>
              <w:t xml:space="preserve">Materials &amp; Methods: EHR models; Table 6; public code</w:t>
            </w:r>
          </w:p>
        </w:tc>
        <w:tc>
          <w:tcPr/>
          <w:p>
            <w:pPr>
              <w:pStyle w:val="Compact"/>
            </w:pPr>
            <w:r>
              <w:t xml:space="preserve">Reported: configuration, non-zero coefficients, SHAP ranking; full model regenerable from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Model performance with uncertainty.</w:t>
            </w:r>
          </w:p>
        </w:tc>
        <w:tc>
          <w:tcPr/>
          <w:p>
            <w:pPr>
              <w:pStyle w:val="Compact"/>
            </w:pPr>
            <w:r>
              <w:t xml:space="preserve">Tables 3-5 and 8; Figures 2, 3 and 5</w:t>
            </w:r>
          </w:p>
        </w:tc>
        <w:tc>
          <w:tcPr/>
          <w:p>
            <w:pPr>
              <w:pStyle w:val="Compact"/>
            </w:pPr>
            <w:r>
              <w:t xml:space="preserve">Reported: bootstrap CIs for AUROC/AUPRC; DeLong tests; Wilson CIs.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Performance in subgroups.</w:t>
            </w:r>
          </w:p>
        </w:tc>
        <w:tc>
          <w:tcPr/>
          <w:p>
            <w:pPr>
              <w:pStyle w:val="Compact"/>
            </w:pPr>
            <w:r>
              <w:t xml:space="preserve">Tables 3, 4 and 8</w:t>
            </w:r>
          </w:p>
        </w:tc>
        <w:tc>
          <w:tcPr/>
          <w:p>
            <w:pPr>
              <w:pStyle w:val="Compact"/>
            </w:pPr>
            <w:r>
              <w:t xml:space="preserve">Partially reported: non-subsegmental subset; demographic subgroups not assessed.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Results of model updating.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Not applicable.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Interpretation in context of objectives and previous studies.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Reported, including comparison with the published benchmark.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Limitations.</w:t>
            </w:r>
          </w:p>
        </w:tc>
        <w:tc>
          <w:tcPr/>
          <w:p>
            <w:pPr>
              <w:pStyle w:val="Compact"/>
            </w:pPr>
            <w:r>
              <w:t xml:space="preserve">Discussion: Limitations</w:t>
            </w:r>
          </w:p>
        </w:tc>
        <w:tc>
          <w:tcPr/>
          <w:p>
            <w:pPr>
              <w:pStyle w:val="Compact"/>
            </w:pPr>
            <w:r>
              <w:t xml:space="preserve">Reported (dataset, model, statistical, clinical).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Usability and implications.</w:t>
            </w:r>
          </w:p>
        </w:tc>
        <w:tc>
          <w:tcPr/>
          <w:p>
            <w:pPr>
              <w:pStyle w:val="Compact"/>
            </w:pPr>
            <w:r>
              <w:t xml:space="preserve">Discussion: Implications; Recommendations for multimodal benchmarking</w:t>
            </w:r>
          </w:p>
        </w:tc>
        <w:tc>
          <w:tcPr/>
          <w:p>
            <w:pPr>
              <w:pStyle w:val="Compact"/>
            </w:pPr>
            <w:r>
              <w:t xml:space="preserve">Reported.</w:t>
            </w:r>
          </w:p>
        </w:tc>
      </w:tr>
    </w:tbl>
    <w:p>
      <w:pPr>
        <w:pStyle w:val="BodyText"/>
      </w:pPr>
      <w:r>
        <w:rPr>
          <w:i/>
          <w:iCs/>
        </w:rPr>
        <w:t xml:space="preserve">Checklist wording is summarized from Collins et al. (BMJ 2024;385:e078378). Locations refer to the unnumbered section headings of the main article. AUROC: area under the receiver operating characteristic curve; AUPRC: area under the precision-recall curve; CI: confidence interval; EHR: electronic health record; PE: pulmonary embolism; SHAP: SHapley Additive exPlanations; SVC: support-vector classifier.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2026-09-29T23:59:08Z</dcterms:created>
  <dcterms:modified xsi:type="dcterms:W3CDTF">2026-09-29T23:59:08Z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