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Mthandeki Mnanzana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Python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