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VAPT-Tech Solutions Inc.</w:t>
      </w:r>
    </w:p>
    <w:p>
      <w:pPr>
        <w:spacing w:before="0" w:after="200" w:line="276"/>
        <w:ind w:right="0" w:left="0" w:firstLine="0"/>
        <w:jc w:val="center"/>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INFORMATION SECURITY POLICY</w:t>
      </w:r>
    </w:p>
    <w:p>
      <w:pPr>
        <w:spacing w:before="0" w:after="200" w:line="276"/>
        <w:ind w:right="0" w:left="0" w:firstLine="0"/>
        <w:jc w:val="center"/>
        <w:rPr>
          <w:rFonts w:ascii="Calibri" w:hAnsi="Calibri" w:cs="Calibri" w:eastAsia="Calibri"/>
          <w:color w:val="auto"/>
          <w:spacing w:val="0"/>
          <w:position w:val="0"/>
          <w:sz w:val="22"/>
          <w:shd w:fill="auto" w:val="clear"/>
        </w:rPr>
      </w:pPr>
    </w:p>
    <w:tbl>
      <w:tblPr/>
      <w:tblGrid>
        <w:gridCol w:w="2376"/>
        <w:gridCol w:w="6912"/>
      </w:tblGrid>
      <w:tr>
        <w:trPr>
          <w:trHeight w:val="1" w:hRule="atLeast"/>
          <w:jc w:val="left"/>
        </w:trPr>
        <w:tc>
          <w:tcPr>
            <w:tcW w:w="2376"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Code:</w:t>
            </w:r>
          </w:p>
        </w:tc>
        <w:tc>
          <w:tcPr>
            <w:tcW w:w="6912"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001</w:t>
            </w:r>
          </w:p>
        </w:tc>
      </w:tr>
      <w:tr>
        <w:trPr>
          <w:trHeight w:val="1" w:hRule="atLeast"/>
          <w:jc w:val="left"/>
        </w:trPr>
        <w:tc>
          <w:tcPr>
            <w:tcW w:w="2376"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Version:</w:t>
            </w:r>
          </w:p>
        </w:tc>
        <w:tc>
          <w:tcPr>
            <w:tcW w:w="6912"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0.1</w:t>
            </w:r>
          </w:p>
        </w:tc>
      </w:tr>
      <w:tr>
        <w:trPr>
          <w:trHeight w:val="1" w:hRule="atLeast"/>
          <w:jc w:val="left"/>
        </w:trPr>
        <w:tc>
          <w:tcPr>
            <w:tcW w:w="2376"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Date of version:</w:t>
            </w:r>
          </w:p>
        </w:tc>
        <w:tc>
          <w:tcPr>
            <w:tcW w:w="6912"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23/09/2026</w:t>
            </w:r>
          </w:p>
        </w:tc>
      </w:tr>
      <w:tr>
        <w:trPr>
          <w:trHeight w:val="1" w:hRule="atLeast"/>
          <w:jc w:val="left"/>
        </w:trPr>
        <w:tc>
          <w:tcPr>
            <w:tcW w:w="2376"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Created by:</w:t>
            </w:r>
          </w:p>
        </w:tc>
        <w:tc>
          <w:tcPr>
            <w:tcW w:w="6912"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Zain Ali</w:t>
            </w:r>
          </w:p>
        </w:tc>
      </w:tr>
      <w:tr>
        <w:trPr>
          <w:trHeight w:val="1" w:hRule="atLeast"/>
          <w:jc w:val="left"/>
        </w:trPr>
        <w:tc>
          <w:tcPr>
            <w:tcW w:w="2376"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Approved by:</w:t>
            </w:r>
          </w:p>
        </w:tc>
        <w:tc>
          <w:tcPr>
            <w:tcW w:w="6912"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Alexis Thornfield (CEO)</w:t>
            </w:r>
          </w:p>
        </w:tc>
      </w:tr>
      <w:tr>
        <w:trPr>
          <w:trHeight w:val="1" w:hRule="atLeast"/>
          <w:jc w:val="left"/>
        </w:trPr>
        <w:tc>
          <w:tcPr>
            <w:tcW w:w="2376"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Confidentiality level:</w:t>
            </w:r>
          </w:p>
        </w:tc>
        <w:tc>
          <w:tcPr>
            <w:tcW w:w="6912"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Internal</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Change history</w:t>
      </w:r>
    </w:p>
    <w:tbl>
      <w:tblPr/>
      <w:tblGrid>
        <w:gridCol w:w="1384"/>
        <w:gridCol w:w="992"/>
        <w:gridCol w:w="1560"/>
        <w:gridCol w:w="5352"/>
      </w:tblGrid>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Date</w:t>
            </w: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Version</w:t>
            </w: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Created by</w:t>
            </w: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Description of change</w:t>
            </w: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23/09/2026</w:t>
            </w: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0.1</w:t>
            </w: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Zain Ali</w:t>
            </w: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Initial Document Creation</w:t>
            </w: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Table of contents</w:t>
      </w:r>
    </w:p>
    <w:p>
      <w:pPr>
        <w:tabs>
          <w:tab w:val="left" w:pos="440" w:leader="none"/>
          <w:tab w:val="right" w:pos="9062" w:leader="dot"/>
        </w:tabs>
        <w:spacing w:before="12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aps w:val="true"/>
          <w:color w:val="0000FF"/>
          <w:spacing w:val="0"/>
          <w:position w:val="0"/>
          <w:sz w:val="20"/>
          <w:u w:val="single"/>
          <w:shd w:fill="auto" w:val="clear"/>
        </w:rPr>
        <w:t xml:space="preserve">1.</w:t>
      </w:r>
      <w:r>
        <w:rPr>
          <w:rFonts w:ascii="Calibri" w:hAnsi="Calibri" w:cs="Calibri" w:eastAsia="Calibri"/>
          <w:color w:val="auto"/>
          <w:spacing w:val="0"/>
          <w:position w:val="0"/>
          <w:sz w:val="22"/>
          <w:shd w:fill="auto" w:val="clear"/>
        </w:rPr>
        <w:tab/>
      </w:r>
      <w:r>
        <w:rPr>
          <w:rFonts w:ascii="Calibri" w:hAnsi="Calibri" w:cs="Calibri" w:eastAsia="Calibri"/>
          <w:b/>
          <w:caps w:val="true"/>
          <w:color w:val="0000FF"/>
          <w:spacing w:val="0"/>
          <w:position w:val="0"/>
          <w:sz w:val="20"/>
          <w:u w:val="single"/>
          <w:shd w:fill="auto" w:val="clear"/>
        </w:rPr>
        <w:t xml:space="preserve">Purpose, scope and users</w:t>
      </w:r>
      <w:r>
        <w:rPr>
          <w:rFonts w:ascii="Calibri" w:hAnsi="Calibri" w:cs="Calibri" w:eastAsia="Calibri"/>
          <w:b/>
          <w:caps w:val="true"/>
          <w:color w:val="auto"/>
          <w:spacing w:val="0"/>
          <w:position w:val="0"/>
          <w:sz w:val="20"/>
          <w:shd w:fill="auto" w:val="clear"/>
        </w:rPr>
        <w:tab/>
        <w:t xml:space="preserve">3</w:t>
      </w:r>
    </w:p>
    <w:p>
      <w:pPr>
        <w:tabs>
          <w:tab w:val="left" w:pos="440" w:leader="none"/>
          <w:tab w:val="right" w:pos="9062" w:leader="dot"/>
        </w:tabs>
        <w:spacing w:before="12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aps w:val="true"/>
          <w:color w:val="0000FF"/>
          <w:spacing w:val="0"/>
          <w:position w:val="0"/>
          <w:sz w:val="20"/>
          <w:u w:val="single"/>
          <w:shd w:fill="auto" w:val="clear"/>
        </w:rPr>
        <w:t xml:space="preserve">2.</w:t>
      </w:r>
      <w:r>
        <w:rPr>
          <w:rFonts w:ascii="Calibri" w:hAnsi="Calibri" w:cs="Calibri" w:eastAsia="Calibri"/>
          <w:color w:val="auto"/>
          <w:spacing w:val="0"/>
          <w:position w:val="0"/>
          <w:sz w:val="22"/>
          <w:shd w:fill="auto" w:val="clear"/>
        </w:rPr>
        <w:tab/>
      </w:r>
      <w:r>
        <w:rPr>
          <w:rFonts w:ascii="Calibri" w:hAnsi="Calibri" w:cs="Calibri" w:eastAsia="Calibri"/>
          <w:b/>
          <w:caps w:val="true"/>
          <w:color w:val="0000FF"/>
          <w:spacing w:val="0"/>
          <w:position w:val="0"/>
          <w:sz w:val="20"/>
          <w:u w:val="single"/>
          <w:shd w:fill="auto" w:val="clear"/>
        </w:rPr>
        <w:t xml:space="preserve">Reference documents</w:t>
      </w:r>
      <w:r>
        <w:rPr>
          <w:rFonts w:ascii="Calibri" w:hAnsi="Calibri" w:cs="Calibri" w:eastAsia="Calibri"/>
          <w:b/>
          <w:caps w:val="true"/>
          <w:color w:val="auto"/>
          <w:spacing w:val="0"/>
          <w:position w:val="0"/>
          <w:sz w:val="20"/>
          <w:shd w:fill="auto" w:val="clear"/>
        </w:rPr>
        <w:tab/>
        <w:t xml:space="preserve">3</w:t>
      </w:r>
    </w:p>
    <w:p>
      <w:pPr>
        <w:tabs>
          <w:tab w:val="left" w:pos="440" w:leader="none"/>
          <w:tab w:val="right" w:pos="9062" w:leader="dot"/>
        </w:tabs>
        <w:spacing w:before="12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aps w:val="true"/>
          <w:color w:val="0000FF"/>
          <w:spacing w:val="0"/>
          <w:position w:val="0"/>
          <w:sz w:val="20"/>
          <w:u w:val="single"/>
          <w:shd w:fill="auto" w:val="clear"/>
        </w:rPr>
        <w:t xml:space="preserve">3.</w:t>
      </w:r>
      <w:r>
        <w:rPr>
          <w:rFonts w:ascii="Calibri" w:hAnsi="Calibri" w:cs="Calibri" w:eastAsia="Calibri"/>
          <w:color w:val="auto"/>
          <w:spacing w:val="0"/>
          <w:position w:val="0"/>
          <w:sz w:val="22"/>
          <w:shd w:fill="auto" w:val="clear"/>
        </w:rPr>
        <w:tab/>
      </w:r>
      <w:r>
        <w:rPr>
          <w:rFonts w:ascii="Calibri" w:hAnsi="Calibri" w:cs="Calibri" w:eastAsia="Calibri"/>
          <w:b/>
          <w:caps w:val="true"/>
          <w:color w:val="0000FF"/>
          <w:spacing w:val="0"/>
          <w:position w:val="0"/>
          <w:sz w:val="20"/>
          <w:u w:val="single"/>
          <w:shd w:fill="auto" w:val="clear"/>
        </w:rPr>
        <w:t xml:space="preserve">Basic information security terminology</w:t>
      </w:r>
      <w:r>
        <w:rPr>
          <w:rFonts w:ascii="Calibri" w:hAnsi="Calibri" w:cs="Calibri" w:eastAsia="Calibri"/>
          <w:b/>
          <w:caps w:val="true"/>
          <w:color w:val="auto"/>
          <w:spacing w:val="0"/>
          <w:position w:val="0"/>
          <w:sz w:val="20"/>
          <w:shd w:fill="auto" w:val="clear"/>
        </w:rPr>
        <w:tab/>
        <w:t xml:space="preserve">3</w:t>
      </w:r>
    </w:p>
    <w:p>
      <w:pPr>
        <w:tabs>
          <w:tab w:val="left" w:pos="440" w:leader="none"/>
          <w:tab w:val="right" w:pos="9062" w:leader="dot"/>
        </w:tabs>
        <w:spacing w:before="12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aps w:val="true"/>
          <w:color w:val="0000FF"/>
          <w:spacing w:val="0"/>
          <w:position w:val="0"/>
          <w:sz w:val="20"/>
          <w:u w:val="single"/>
          <w:shd w:fill="auto" w:val="clear"/>
        </w:rPr>
        <w:t xml:space="preserve">4.</w:t>
      </w:r>
      <w:r>
        <w:rPr>
          <w:rFonts w:ascii="Calibri" w:hAnsi="Calibri" w:cs="Calibri" w:eastAsia="Calibri"/>
          <w:color w:val="auto"/>
          <w:spacing w:val="0"/>
          <w:position w:val="0"/>
          <w:sz w:val="22"/>
          <w:shd w:fill="auto" w:val="clear"/>
        </w:rPr>
        <w:tab/>
      </w:r>
      <w:r>
        <w:rPr>
          <w:rFonts w:ascii="Calibri" w:hAnsi="Calibri" w:cs="Calibri" w:eastAsia="Calibri"/>
          <w:b/>
          <w:caps w:val="true"/>
          <w:color w:val="0000FF"/>
          <w:spacing w:val="0"/>
          <w:position w:val="0"/>
          <w:sz w:val="20"/>
          <w:u w:val="single"/>
          <w:shd w:fill="auto" w:val="clear"/>
        </w:rPr>
        <w:t xml:space="preserve">Managing the information security</w:t>
      </w:r>
      <w:r>
        <w:rPr>
          <w:rFonts w:ascii="Calibri" w:hAnsi="Calibri" w:cs="Calibri" w:eastAsia="Calibri"/>
          <w:b/>
          <w:caps w:val="true"/>
          <w:color w:val="auto"/>
          <w:spacing w:val="0"/>
          <w:position w:val="0"/>
          <w:sz w:val="20"/>
          <w:shd w:fill="auto" w:val="clear"/>
        </w:rPr>
        <w:tab/>
        <w:t xml:space="preserve">3</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4.1.</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Objectives and measurement</w:t>
      </w:r>
      <w:r>
        <w:rPr>
          <w:rFonts w:ascii="Calibri" w:hAnsi="Calibri" w:cs="Calibri" w:eastAsia="Calibri"/>
          <w:color w:val="auto"/>
          <w:spacing w:val="0"/>
          <w:position w:val="0"/>
          <w:sz w:val="20"/>
          <w:shd w:fill="auto" w:val="clear"/>
        </w:rPr>
        <w:tab/>
        <w:t xml:space="preserve">3</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4.2.</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Information security requirements</w:t>
      </w:r>
      <w:r>
        <w:rPr>
          <w:rFonts w:ascii="Calibri" w:hAnsi="Calibri" w:cs="Calibri" w:eastAsia="Calibri"/>
          <w:color w:val="auto"/>
          <w:spacing w:val="0"/>
          <w:position w:val="0"/>
          <w:sz w:val="20"/>
          <w:shd w:fill="auto" w:val="clear"/>
        </w:rPr>
        <w:tab/>
        <w:t xml:space="preserve">4</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4.3.</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Information security controls</w:t>
      </w:r>
      <w:r>
        <w:rPr>
          <w:rFonts w:ascii="Calibri" w:hAnsi="Calibri" w:cs="Calibri" w:eastAsia="Calibri"/>
          <w:color w:val="auto"/>
          <w:spacing w:val="0"/>
          <w:position w:val="0"/>
          <w:sz w:val="20"/>
          <w:shd w:fill="auto" w:val="clear"/>
        </w:rPr>
        <w:tab/>
        <w:t xml:space="preserve">4</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4.4.</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Business continuity</w:t>
      </w:r>
      <w:r>
        <w:rPr>
          <w:rFonts w:ascii="Calibri" w:hAnsi="Calibri" w:cs="Calibri" w:eastAsia="Calibri"/>
          <w:color w:val="auto"/>
          <w:spacing w:val="0"/>
          <w:position w:val="0"/>
          <w:sz w:val="20"/>
          <w:shd w:fill="auto" w:val="clear"/>
        </w:rPr>
        <w:tab/>
        <w:t xml:space="preserve">4</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4.5.</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Cloud services</w:t>
      </w:r>
      <w:r>
        <w:rPr>
          <w:rFonts w:ascii="Calibri" w:hAnsi="Calibri" w:cs="Calibri" w:eastAsia="Calibri"/>
          <w:color w:val="auto"/>
          <w:spacing w:val="0"/>
          <w:position w:val="0"/>
          <w:sz w:val="20"/>
          <w:shd w:fill="auto" w:val="clear"/>
        </w:rPr>
        <w:tab/>
        <w:t xml:space="preserve">4</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4.6.</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Responsibilities</w:t>
      </w:r>
      <w:r>
        <w:rPr>
          <w:rFonts w:ascii="Calibri" w:hAnsi="Calibri" w:cs="Calibri" w:eastAsia="Calibri"/>
          <w:color w:val="auto"/>
          <w:spacing w:val="0"/>
          <w:position w:val="0"/>
          <w:sz w:val="20"/>
          <w:shd w:fill="auto" w:val="clear"/>
        </w:rPr>
        <w:tab/>
        <w:t xml:space="preserve">4</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4.7.</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Policy communication</w:t>
      </w:r>
      <w:r>
        <w:rPr>
          <w:rFonts w:ascii="Calibri" w:hAnsi="Calibri" w:cs="Calibri" w:eastAsia="Calibri"/>
          <w:color w:val="auto"/>
          <w:spacing w:val="0"/>
          <w:position w:val="0"/>
          <w:sz w:val="20"/>
          <w:shd w:fill="auto" w:val="clear"/>
        </w:rPr>
        <w:tab/>
        <w:t xml:space="preserve">5</w:t>
      </w:r>
    </w:p>
    <w:p>
      <w:pPr>
        <w:tabs>
          <w:tab w:val="left" w:pos="440" w:leader="none"/>
          <w:tab w:val="right" w:pos="9062" w:leader="dot"/>
        </w:tabs>
        <w:spacing w:before="12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aps w:val="true"/>
          <w:color w:val="0000FF"/>
          <w:spacing w:val="0"/>
          <w:position w:val="0"/>
          <w:sz w:val="20"/>
          <w:u w:val="single"/>
          <w:shd w:fill="auto" w:val="clear"/>
        </w:rPr>
        <w:t xml:space="preserve">5.</w:t>
      </w:r>
      <w:r>
        <w:rPr>
          <w:rFonts w:ascii="Calibri" w:hAnsi="Calibri" w:cs="Calibri" w:eastAsia="Calibri"/>
          <w:color w:val="auto"/>
          <w:spacing w:val="0"/>
          <w:position w:val="0"/>
          <w:sz w:val="22"/>
          <w:shd w:fill="auto" w:val="clear"/>
        </w:rPr>
        <w:tab/>
      </w:r>
      <w:r>
        <w:rPr>
          <w:rFonts w:ascii="Calibri" w:hAnsi="Calibri" w:cs="Calibri" w:eastAsia="Calibri"/>
          <w:b/>
          <w:caps w:val="true"/>
          <w:color w:val="0000FF"/>
          <w:spacing w:val="0"/>
          <w:position w:val="0"/>
          <w:sz w:val="20"/>
          <w:u w:val="single"/>
          <w:shd w:fill="auto" w:val="clear"/>
        </w:rPr>
        <w:t xml:space="preserve">Support for ISMS implementation</w:t>
      </w:r>
      <w:r>
        <w:rPr>
          <w:rFonts w:ascii="Calibri" w:hAnsi="Calibri" w:cs="Calibri" w:eastAsia="Calibri"/>
          <w:b/>
          <w:caps w:val="true"/>
          <w:color w:val="auto"/>
          <w:spacing w:val="0"/>
          <w:position w:val="0"/>
          <w:sz w:val="20"/>
          <w:shd w:fill="auto" w:val="clear"/>
        </w:rPr>
        <w:tab/>
        <w:t xml:space="preserve">5</w:t>
      </w:r>
    </w:p>
    <w:p>
      <w:pPr>
        <w:tabs>
          <w:tab w:val="left" w:pos="440" w:leader="none"/>
          <w:tab w:val="right" w:pos="9062" w:leader="dot"/>
        </w:tabs>
        <w:spacing w:before="12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aps w:val="true"/>
          <w:color w:val="0000FF"/>
          <w:spacing w:val="0"/>
          <w:position w:val="0"/>
          <w:sz w:val="20"/>
          <w:u w:val="single"/>
          <w:shd w:fill="auto" w:val="clear"/>
        </w:rPr>
        <w:t xml:space="preserve">6.</w:t>
      </w:r>
      <w:r>
        <w:rPr>
          <w:rFonts w:ascii="Calibri" w:hAnsi="Calibri" w:cs="Calibri" w:eastAsia="Calibri"/>
          <w:color w:val="auto"/>
          <w:spacing w:val="0"/>
          <w:position w:val="0"/>
          <w:sz w:val="22"/>
          <w:shd w:fill="auto" w:val="clear"/>
        </w:rPr>
        <w:tab/>
      </w:r>
      <w:r>
        <w:rPr>
          <w:rFonts w:ascii="Calibri" w:hAnsi="Calibri" w:cs="Calibri" w:eastAsia="Calibri"/>
          <w:b/>
          <w:caps w:val="true"/>
          <w:color w:val="0000FF"/>
          <w:spacing w:val="0"/>
          <w:position w:val="0"/>
          <w:sz w:val="20"/>
          <w:u w:val="single"/>
          <w:shd w:fill="auto" w:val="clear"/>
        </w:rPr>
        <w:t xml:space="preserve">Validity and document management</w:t>
      </w:r>
      <w:r>
        <w:rPr>
          <w:rFonts w:ascii="Calibri" w:hAnsi="Calibri" w:cs="Calibri" w:eastAsia="Calibri"/>
          <w:b/>
          <w:caps w:val="true"/>
          <w:color w:val="auto"/>
          <w:spacing w:val="0"/>
          <w:position w:val="0"/>
          <w:sz w:val="20"/>
          <w:shd w:fill="auto" w:val="clear"/>
        </w:rPr>
        <w:tab/>
        <w:t xml:space="preserve">5</w:t>
      </w:r>
    </w:p>
    <w:p>
      <w:pPr>
        <w:spacing w:before="0" w:after="200" w:line="276"/>
        <w:ind w:right="0" w:left="0" w:firstLine="0"/>
        <w:jc w:val="left"/>
        <w:rPr>
          <w:rFonts w:ascii="Calibri" w:hAnsi="Calibri" w:cs="Calibri" w:eastAsia="Calibri"/>
          <w:color w:val="auto"/>
          <w:spacing w:val="0"/>
          <w:position w:val="0"/>
          <w:sz w:val="22"/>
          <w:shd w:fill="auto" w:val="clear"/>
        </w:rPr>
      </w:pPr>
    </w:p>
    <w:p>
      <w:pPr>
        <w:tabs>
          <w:tab w:val="left" w:pos="440" w:leader="none"/>
          <w:tab w:val="right" w:pos="9062" w:leader="dot"/>
        </w:tabs>
        <w:spacing w:before="120" w:after="120" w:line="276"/>
        <w:ind w:right="0" w:left="0" w:firstLine="0"/>
        <w:jc w:val="left"/>
        <w:rPr>
          <w:rFonts w:ascii="Calibri" w:hAnsi="Calibri" w:cs="Calibri" w:eastAsia="Calibri"/>
          <w:b/>
          <w:caps w:val="true"/>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43"/>
        </w:numPr>
        <w:spacing w:before="0" w:after="200" w:line="276"/>
        <w:ind w:right="0" w:left="36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w:t>
      </w:r>
    </w:p>
    <w:p>
      <w:pPr>
        <w:numPr>
          <w:ilvl w:val="0"/>
          <w:numId w:val="43"/>
        </w:numPr>
        <w:spacing w:before="0" w:after="200" w:line="276"/>
        <w:ind w:right="0" w:left="36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Purpose, scope and users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aim of this top-level Policy is to define the purpose, direction, principles and basic rules for information security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Policy is applied to the entire Information Security Management System (ISMS), as defined in the ISMS Scope Document.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 of this document are all employees of VAPT-Tech Solutions, as well as relevant external parties.</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45"/>
        </w:numPr>
        <w:spacing w:before="0" w:after="200" w:line="276"/>
        <w:ind w:right="0" w:left="36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Reference documents</w:t>
      </w:r>
    </w:p>
    <w:p>
      <w:pPr>
        <w:numPr>
          <w:ilvl w:val="0"/>
          <w:numId w:val="45"/>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ISO/IEC 27001 standard, clauses 5.2 and 5.3</w:t>
      </w:r>
    </w:p>
    <w:p>
      <w:pPr>
        <w:numPr>
          <w:ilvl w:val="0"/>
          <w:numId w:val="45"/>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ISMS Scope Document</w:t>
      </w:r>
    </w:p>
    <w:p>
      <w:pPr>
        <w:numPr>
          <w:ilvl w:val="0"/>
          <w:numId w:val="45"/>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Assessment and Risk Treatment Methodology</w:t>
      </w:r>
    </w:p>
    <w:p>
      <w:pPr>
        <w:numPr>
          <w:ilvl w:val="0"/>
          <w:numId w:val="45"/>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Statement of Applicability</w:t>
      </w:r>
    </w:p>
    <w:p>
      <w:pPr>
        <w:numPr>
          <w:ilvl w:val="0"/>
          <w:numId w:val="45"/>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List of Legal, Regulatory and Contractual Obligations</w:t>
      </w:r>
    </w:p>
    <w:p>
      <w:pPr>
        <w:numPr>
          <w:ilvl w:val="0"/>
          <w:numId w:val="45"/>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Management Procedure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49"/>
        </w:numPr>
        <w:spacing w:before="0" w:after="200" w:line="276"/>
        <w:ind w:right="0" w:left="36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Basic information security terminology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Confidentiality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characteristic of the information by which it is available only to authorized persons or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Integrity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characteristic of the information by which it is changed only by authorized persons or systems in an allowed way.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Availability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characteristic of the information by which it can be accessed by authorized persons when it is needed.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Information security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preservation of confidentiality, integrity and availability of information.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Information Security Management System </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part of overall management processes that takes care of planning, implementing, maintaining, reviewing, and improving the information security. </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51"/>
        </w:numPr>
        <w:spacing w:before="0" w:after="200" w:line="276"/>
        <w:ind w:right="0" w:left="36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Managing the information security </w:t>
      </w:r>
    </w:p>
    <w:p>
      <w:pPr>
        <w:numPr>
          <w:ilvl w:val="0"/>
          <w:numId w:val="51"/>
        </w:numPr>
        <w:spacing w:before="0" w:after="200" w:line="276"/>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Objectives and measurement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General objectives for the information security management system are the following: creating a better market image and reducing the damage caused by potential incidents; goals are in line with the organization's business objectives, strategy and business plans. [job title] is responsible for reviewing these general ISMS objectives and setting new ones.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Objectives for individual security controls or groups of controls are proposed by [list job functions which have the appropriate authorization], and approved by [job title] in the Statement of Applicability.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the objectives must be reviewed at least once a year.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VAPT-Tech Solutions will measure the fulfillment of all the objectives. CTO is responsible for setting the method for measuring the achievement of the objectives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measurement will be performed at least once a year and CTO will analyze and evaluate the measurement results and report them to CEO as input materials for the Management review. </w:t>
      </w:r>
    </w:p>
    <w:p>
      <w:pPr>
        <w:numPr>
          <w:ilvl w:val="0"/>
          <w:numId w:val="53"/>
        </w:numPr>
        <w:spacing w:before="0" w:after="200" w:line="276"/>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Information security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Policy and the entire ISMS must be compliant with legal and regulatory requirements as well as with contractual obligations relevant to the organization in the field of information security.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detailed list of all contractual and legal requirements is provided in the List of Legal, Regulatory and Contractual Obligations.</w:t>
      </w:r>
    </w:p>
    <w:p>
      <w:pPr>
        <w:numPr>
          <w:ilvl w:val="0"/>
          <w:numId w:val="55"/>
        </w:numPr>
        <w:spacing w:before="0" w:after="200" w:line="276"/>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Information security controls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process of selecting the controls (safeguards) is defined in the Risk Assessment and Risk Treatment Methodology.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selected controls and their implementation status are listed in the Statement of Applicability.</w:t>
      </w:r>
    </w:p>
    <w:p>
      <w:pPr>
        <w:numPr>
          <w:ilvl w:val="0"/>
          <w:numId w:val="57"/>
        </w:numPr>
        <w:spacing w:before="0" w:after="200" w:line="276"/>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Responsibilities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Responsibilities for the ISMS are the following: </w:t>
      </w:r>
    </w:p>
    <w:p>
      <w:pPr>
        <w:numPr>
          <w:ilvl w:val="0"/>
          <w:numId w:val="59"/>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CEO is responsible for ensuring that the ISMS is implemented and maintained according to this Policy, and for ensuring all necessary resources are available</w:t>
      </w:r>
    </w:p>
    <w:p>
      <w:pPr>
        <w:numPr>
          <w:ilvl w:val="0"/>
          <w:numId w:val="59"/>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CTO is responsible for operational coordination of the ISMS as well as for reporting about the performance of the ISMS.</w:t>
      </w:r>
    </w:p>
    <w:p>
      <w:pPr>
        <w:numPr>
          <w:ilvl w:val="0"/>
          <w:numId w:val="59"/>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Top management must review the ISMS at least once a year or each time a significant change occurs, and prepare minutes from that meeting. The purpose of the management review is to establish the suitability, adequacy and effectiveness of the ISMS.</w:t>
      </w:r>
    </w:p>
    <w:p>
      <w:pPr>
        <w:numPr>
          <w:ilvl w:val="0"/>
          <w:numId w:val="59"/>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HR will implement information security training and awareness programs for employees</w:t>
      </w:r>
    </w:p>
    <w:p>
      <w:pPr>
        <w:numPr>
          <w:ilvl w:val="0"/>
          <w:numId w:val="59"/>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protection of integrity, availability, and confidentiality of assets is the responsibility of the owner of each asset </w:t>
      </w:r>
    </w:p>
    <w:p>
      <w:pPr>
        <w:numPr>
          <w:ilvl w:val="0"/>
          <w:numId w:val="59"/>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security incidents or weaknesses must be reported to CTO.</w:t>
      </w:r>
    </w:p>
    <w:p>
      <w:pPr>
        <w:numPr>
          <w:ilvl w:val="0"/>
          <w:numId w:val="59"/>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CTO will define which information related to information security will be communicated to which interested party (both internal and external), by whom and when</w:t>
      </w:r>
    </w:p>
    <w:p>
      <w:pPr>
        <w:numPr>
          <w:ilvl w:val="0"/>
          <w:numId w:val="59"/>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CTO is responsible for ensuring the proper designation of responsibilities to customers, partners, suppliers, and other third parties who have a role in information security management </w:t>
      </w:r>
    </w:p>
    <w:p>
      <w:pPr>
        <w:numPr>
          <w:ilvl w:val="0"/>
          <w:numId w:val="59"/>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HR  is responsible for adopting and implementing the Training and Awareness Plan, which applies to all persons who have a role in information security management</w:t>
      </w:r>
      <w:r>
        <w:rPr>
          <w:rFonts w:ascii="Calibri" w:hAnsi="Calibri" w:cs="Calibri" w:eastAsia="Calibri"/>
          <w:color w:val="auto"/>
          <w:spacing w:val="0"/>
          <w:position w:val="0"/>
          <w:sz w:val="16"/>
          <w:shd w:fill="auto" w:val="clear"/>
        </w:rPr>
        <w:t xml:space="preserve"> </w:t>
      </w:r>
    </w:p>
    <w:p>
      <w:pPr>
        <w:numPr>
          <w:ilvl w:val="0"/>
          <w:numId w:val="59"/>
        </w:numPr>
        <w:spacing w:before="0" w:after="200" w:line="276"/>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Policy communication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CTO has to ensure that all employees of VAPT-Tech Solutions, as well as appropriate external parties are familiar with this Policy.</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63"/>
        </w:numPr>
        <w:spacing w:before="0" w:after="200" w:line="276"/>
        <w:ind w:right="0" w:left="36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Support for ISMS implementation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Hereby the CEO declares that ISMS implementation and continual improvement will be supported with adequate resources in order to achieve all objectives set in this Policy, as well as satisfy all identified requirements.</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65"/>
        </w:numPr>
        <w:spacing w:before="0" w:after="200" w:line="276"/>
        <w:ind w:right="0" w:left="36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Validity and document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document is valid as of 23/09/2026.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owner of this document is CTO, who must check and, if necessary, update the document at least once a year.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evaluating the effectiveness and adequacy of this document, the following criteria need to be considered:</w:t>
      </w:r>
    </w:p>
    <w:p>
      <w:pPr>
        <w:numPr>
          <w:ilvl w:val="0"/>
          <w:numId w:val="67"/>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number of employees and external parties who have a role in the ISMS, but are not familiar with this document</w:t>
      </w:r>
    </w:p>
    <w:p>
      <w:pPr>
        <w:numPr>
          <w:ilvl w:val="0"/>
          <w:numId w:val="67"/>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non-compliance of the ISMS with the laws and regulations, contractual obligations, and other internal documents of the organization</w:t>
      </w:r>
    </w:p>
    <w:p>
      <w:pPr>
        <w:numPr>
          <w:ilvl w:val="0"/>
          <w:numId w:val="67"/>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ineffectiveness of ISMS implementation and maintenance</w:t>
      </w:r>
    </w:p>
    <w:p>
      <w:pPr>
        <w:numPr>
          <w:ilvl w:val="0"/>
          <w:numId w:val="67"/>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unclear responsibilities for ISMS implementation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Previous versions of this policy must be stored for a period of 5 years, unless specified otherwise by legal or contractual requirement.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CEO</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Alexis Thornfield</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_________________________</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[signature]</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43">
    <w:abstractNumId w:val="60"/>
  </w:num>
  <w:num w:numId="45">
    <w:abstractNumId w:val="54"/>
  </w:num>
  <w:num w:numId="49">
    <w:abstractNumId w:val="48"/>
  </w:num>
  <w:num w:numId="51">
    <w:abstractNumId w:val="42"/>
  </w:num>
  <w:num w:numId="53">
    <w:abstractNumId w:val="36"/>
  </w:num>
  <w:num w:numId="55">
    <w:abstractNumId w:val="30"/>
  </w:num>
  <w:num w:numId="57">
    <w:abstractNumId w:val="24"/>
  </w:num>
  <w:num w:numId="59">
    <w:abstractNumId w:val="18"/>
  </w:num>
  <w:num w:numId="63">
    <w:abstractNumId w:val="12"/>
  </w:num>
  <w:num w:numId="65">
    <w:abstractNumId w:val="6"/>
  </w:num>
  <w:num w:numId="6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