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36"/>
        </w:rPr>
        <w:t>Graph API Integration — Configuration &amp; Security Requirements</w:t>
      </w:r>
    </w:p>
    <w:p>
      <w:r>
        <w:rPr>
          <w:color w:val="787878"/>
          <w:sz w:val="18"/>
        </w:rPr>
        <w:t>Version 1.3  |  Status: Final  |  Prepared by: ZainTECH Solutions  |  Last updated: March 2026</w:t>
      </w:r>
    </w:p>
    <w:p/>
    <w:p>
      <w:pPr>
        <w:pStyle w:val="Heading1"/>
      </w:pPr>
      <w:r>
        <w:t>1. Purpose</w:t>
      </w:r>
    </w:p>
    <w:p>
      <w:r>
        <w:t>This document defines the configuration requirements and security procedures for connecting the RAG platform to Microsoft SharePoint Online via Microsoft Graph API. It is intended for the client's Azure AD administrator and should be read alongside the platform onboarding checklist.</w:t>
      </w:r>
    </w:p>
    <w:p>
      <w:pPr>
        <w:pStyle w:val="Heading1"/>
      </w:pPr>
      <w:r>
        <w:t>2. Integration Overview</w:t>
      </w:r>
    </w:p>
    <w:p>
      <w:r>
        <w:t>The sync service authenticates against Graph API, reads documents from the specified SharePoint libraries, and processes them into the internal knowledge index. After a document is indexed, the AI does not query SharePoint again at runtime — all retrieval happens against the index.</w:t>
      </w:r>
    </w:p>
    <w:p>
      <w:r>
        <w:t>Document-level permissions are fetched from SharePoint at ingestion time and stored in the index. Access control is enforced at query time based on those stored permissions — no real-time SharePoint calls are made during user queries.</w:t>
      </w:r>
    </w:p>
    <w:p>
      <w:r>
        <w:rPr>
          <w:i/>
          <w:color w:val="828282"/>
        </w:rPr>
        <w:t>Architecture flow (diagram):</w:t>
      </w:r>
    </w:p>
    <w:p>
      <w:pPr>
        <w:shd w:val="clear" w:color="auto" w:fill="F2F2F2"/>
        <w:spacing w:before="40" w:after="40"/>
        <w:ind w:left="432"/>
      </w:pPr>
      <w:r>
        <w:rPr>
          <w:rFonts w:ascii="Courier New" w:hAnsi="Courier New"/>
          <w:color w:val="1E1E1E"/>
          <w:sz w:val="18"/>
        </w:rPr>
        <w:t>SharePoint Online → Microsoft Graph API → Sync Service → Azure Blob (Staging)</w:t>
        <w:br/>
        <w:t>→ Processing Pipeline → PostgreSQL/pgvector + Neo4j Graph → AI Query Layer</w:t>
      </w:r>
    </w:p>
    <w:p>
      <w:pPr>
        <w:pStyle w:val="Heading1"/>
      </w:pPr>
      <w:r>
        <w:t>3. Authentication</w:t>
      </w:r>
    </w:p>
    <w:p>
      <w:r>
        <w:t xml:space="preserve">The integration uses an </w:t>
      </w:r>
      <w:r>
        <w:rPr>
          <w:b/>
        </w:rPr>
        <w:t>Azure App Registration</w:t>
      </w:r>
      <w:r>
        <w:t xml:space="preserve"> with the OAuth 2.0 </w:t>
      </w:r>
      <w:r>
        <w:rPr>
          <w:b/>
        </w:rPr>
        <w:t>client credentials flow</w:t>
      </w:r>
      <w:r>
        <w:t>. No user identity or delegated access is involved.</w:t>
      </w:r>
    </w:p>
    <w:p>
      <w:pPr>
        <w:pStyle w:val="Heading2"/>
      </w:pPr>
      <w:r>
        <w:t>3.1  Credentials required</w:t>
      </w:r>
    </w:p>
    <w:p>
      <w:r>
        <w:t>Once the App Registration is created, provide the following through the agreed secure channel — not over email:</w:t>
      </w:r>
    </w:p>
    <w:p>
      <w:pPr>
        <w:shd w:val="clear" w:color="auto" w:fill="F2F2F2"/>
        <w:spacing w:before="40" w:after="40"/>
        <w:ind w:left="432"/>
      </w:pPr>
      <w:r>
        <w:rPr>
          <w:rFonts w:ascii="Courier New" w:hAnsi="Courier New"/>
          <w:color w:val="1E1E1E"/>
          <w:sz w:val="18"/>
        </w:rPr>
        <w:t>GRAPH_TENANT_ID</w:t>
        <w:br/>
        <w:t>GRAPH_CLIENT_ID</w:t>
        <w:br/>
        <w:t>GRAPH_CLIENT_SECRET    (or certificate thumbprint if using cert auth)</w:t>
      </w:r>
    </w:p>
    <w:p>
      <w:pPr>
        <w:pStyle w:val="Heading2"/>
      </w:pPr>
      <w:r>
        <w:t>3.2  Certificate vs. client secret</w:t>
      </w:r>
    </w:p>
    <w:p>
      <w:r>
        <w:t xml:space="preserve">Certificates are strongly preferred. A client secret has a hard expiry and will silently break the sync if it lapses unnoticed. If a certificate is not feasible, set the secret expiry to </w:t>
      </w:r>
      <w:r>
        <w:rPr>
          <w:b/>
        </w:rPr>
        <w:t>90 days maximum</w:t>
      </w:r>
      <w:r>
        <w:t xml:space="preserve"> and ensure someone is responsible for rotation — the platform will stop syncing the moment it expires.</w:t>
      </w:r>
    </w:p>
    <w:p>
      <w:r>
        <w:t xml:space="preserve">If using a certificate, store the private key in </w:t>
      </w:r>
      <w:r>
        <w:rPr>
          <w:b/>
        </w:rPr>
        <w:t>Azure Key Vault</w:t>
      </w:r>
      <w:r>
        <w:t xml:space="preserve"> and configure the sync service to retrieve it at runtime. Do not deploy the certificate file directly to the server.</w:t>
      </w:r>
    </w:p>
    <w:p>
      <w:pPr>
        <w:pStyle w:val="Heading1"/>
      </w:pPr>
      <w:r>
        <w:t>4. Required Permissions</w:t>
      </w:r>
    </w:p>
    <w:p>
      <w:r>
        <w:t>Grant the following Application permissions and submit for admin consent. All are read-only.</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Permission</w:t>
            </w:r>
          </w:p>
        </w:tc>
        <w:tc>
          <w:tcPr>
            <w:tcW w:type="dxa" w:w="4392"/>
            <w:shd w:val="clear" w:color="auto" w:fill="1F497D"/>
          </w:tcPr>
          <w:p>
            <w:r>
              <w:rPr>
                <w:b/>
                <w:color w:val="FFFFFF"/>
              </w:rPr>
              <w:t>Purpose</w:t>
            </w:r>
          </w:p>
        </w:tc>
      </w:tr>
      <w:tr>
        <w:tc>
          <w:tcPr>
            <w:tcW w:type="dxa" w:w="4392"/>
            <w:shd w:val="clear" w:color="auto" w:fill="EEF3FA"/>
          </w:tcPr>
          <w:p>
            <w:r>
              <w:t>Sites.Read.All</w:t>
            </w:r>
          </w:p>
        </w:tc>
        <w:tc>
          <w:tcPr>
            <w:tcW w:type="dxa" w:w="4392"/>
            <w:shd w:val="clear" w:color="auto" w:fill="EEF3FA"/>
          </w:tcPr>
          <w:p>
            <w:r>
              <w:t>Read SharePoint sites</w:t>
            </w:r>
          </w:p>
        </w:tc>
      </w:tr>
      <w:tr>
        <w:tc>
          <w:tcPr>
            <w:tcW w:type="dxa" w:w="4392"/>
          </w:tcPr>
          <w:p>
            <w:r>
              <w:t>Files.Read.All</w:t>
            </w:r>
          </w:p>
        </w:tc>
        <w:tc>
          <w:tcPr>
            <w:tcW w:type="dxa" w:w="4392"/>
          </w:tcPr>
          <w:p>
            <w:r>
              <w:t>Read files from document libraries</w:t>
            </w:r>
          </w:p>
        </w:tc>
      </w:tr>
      <w:tr>
        <w:tc>
          <w:tcPr>
            <w:tcW w:type="dxa" w:w="4392"/>
            <w:shd w:val="clear" w:color="auto" w:fill="EEF3FA"/>
          </w:tcPr>
          <w:p>
            <w:r>
              <w:t>GroupMember.Read.All</w:t>
            </w:r>
          </w:p>
        </w:tc>
        <w:tc>
          <w:tcPr>
            <w:tcW w:type="dxa" w:w="4392"/>
            <w:shd w:val="clear" w:color="auto" w:fill="EEF3FA"/>
          </w:tcPr>
          <w:p>
            <w:r>
              <w:t>Group membership resolution for RBAC</w:t>
            </w:r>
          </w:p>
        </w:tc>
      </w:tr>
      <w:tr>
        <w:tc>
          <w:tcPr>
            <w:tcW w:type="dxa" w:w="4392"/>
          </w:tcPr>
          <w:p>
            <w:r>
              <w:t>User.Read.All</w:t>
            </w:r>
          </w:p>
        </w:tc>
        <w:tc>
          <w:tcPr>
            <w:tcW w:type="dxa" w:w="4392"/>
          </w:tcPr>
          <w:p>
            <w:r>
              <w:t>User identity resolution</w:t>
            </w:r>
          </w:p>
        </w:tc>
      </w:tr>
      <w:tr>
        <w:tc>
          <w:tcPr>
            <w:tcW w:type="dxa" w:w="4392"/>
            <w:shd w:val="clear" w:color="auto" w:fill="EEF3FA"/>
          </w:tcPr>
          <w:p>
            <w:r>
              <w:t>Directory.Read.All</w:t>
            </w:r>
          </w:p>
        </w:tc>
        <w:tc>
          <w:tcPr>
            <w:tcW w:type="dxa" w:w="4392"/>
            <w:shd w:val="clear" w:color="auto" w:fill="EEF3FA"/>
          </w:tcPr>
          <w:p>
            <w:r>
              <w:t>Transitive group/permission lookup</w:t>
            </w:r>
          </w:p>
        </w:tc>
      </w:tr>
    </w:tbl>
    <w:p/>
    <w:p>
      <w:r>
        <w:t>The application has no write access to SharePoint. It cannot create, modify, or delete content.</w:t>
      </w:r>
    </w:p>
    <w:p>
      <w:r>
        <w:t xml:space="preserve">Admin consent must be granted by a </w:t>
      </w:r>
      <w:r>
        <w:rPr>
          <w:b/>
        </w:rPr>
        <w:t>Global Administrator</w:t>
      </w:r>
      <w:r>
        <w:t xml:space="preserve"> or </w:t>
      </w:r>
      <w:r>
        <w:rPr>
          <w:b/>
        </w:rPr>
        <w:t>Application Administrator</w:t>
      </w:r>
      <w:r>
        <w:t xml:space="preserve"> before the first sync run. The sync will fail silently until consent is in place.</w:t>
      </w:r>
    </w:p>
    <w:p>
      <w:pPr>
        <w:ind w:left="432"/>
      </w:pPr>
      <w:r>
        <w:rPr>
          <w:b/>
          <w:color w:val="B43C00"/>
        </w:rPr>
        <w:t>⚠  Do not grant permissions beyond the list above. If there is a request to add scopes not listed here, escalate to us before approving.</w:t>
      </w:r>
    </w:p>
    <w:p>
      <w:pPr>
        <w:pStyle w:val="Heading1"/>
      </w:pPr>
      <w:r>
        <w:t>5. App Registration Configuration</w:t>
      </w:r>
    </w:p>
    <w:p>
      <w:r>
        <w:t>Before the integration goes live, verify the following on the App Registration:</w:t>
      </w:r>
    </w:p>
    <w:p>
      <w:pPr>
        <w:pStyle w:val="Heading2"/>
      </w:pPr>
      <w:r>
        <w:t>5.1  Tenant scope</w:t>
      </w:r>
    </w:p>
    <w:p>
      <w:r>
        <w:t xml:space="preserve">Set Supported account types to </w:t>
      </w:r>
      <w:r>
        <w:rPr>
          <w:b/>
        </w:rPr>
        <w:t>Accounts in this organizational directory only</w:t>
      </w:r>
      <w:r>
        <w:t>. Do not select multi-tenant or personal account options. Multi-tenant registrations would allow authentication from any Azure AD tenant, which is not appropriate for this integration.</w:t>
      </w:r>
    </w:p>
    <w:p>
      <w:pPr>
        <w:pStyle w:val="Heading2"/>
      </w:pPr>
      <w:r>
        <w:t>5.2  Ownership</w:t>
      </w:r>
    </w:p>
    <w:p>
      <w:r>
        <w:t>Assign at least one owner — ideally a shared mailbox or team account, not a personal one. Without an owner, there is no recipient for credential expiry warnings or change notifications from Azure AD.</w:t>
      </w:r>
    </w:p>
    <w:p>
      <w:pPr>
        <w:pStyle w:val="Heading2"/>
      </w:pPr>
      <w:r>
        <w:t>5.3  Audit alerts</w:t>
      </w:r>
    </w:p>
    <w:p>
      <w:r>
        <w:t xml:space="preserve">Configure alerts for the following events in </w:t>
      </w:r>
      <w:r>
        <w:rPr>
          <w:b/>
        </w:rPr>
        <w:t>Azure AD Audit Logs</w:t>
      </w:r>
      <w:r>
        <w:t>:</w:t>
      </w:r>
    </w:p>
    <w:p>
      <w:pPr>
        <w:pStyle w:val="ListBullet"/>
      </w:pPr>
      <w:r>
        <w:t>New credential added to the App Registration</w:t>
      </w:r>
    </w:p>
    <w:p>
      <w:pPr>
        <w:pStyle w:val="ListBullet"/>
      </w:pPr>
      <w:r>
        <w:t>Permission scope changed</w:t>
      </w:r>
    </w:p>
    <w:p>
      <w:pPr>
        <w:pStyle w:val="ListBullet"/>
      </w:pPr>
      <w:r>
        <w:t>Admin consent granted or revoked</w:t>
      </w:r>
    </w:p>
    <w:p>
      <w:r>
        <w:t>If any of these occur outside of a planned change window, treat it as a potential incident and follow the steps in Section 6.</w:t>
      </w:r>
    </w:p>
    <w:p>
      <w:pPr>
        <w:pStyle w:val="Heading1"/>
      </w:pPr>
      <w:r>
        <w:t>6. Revoking Access</w:t>
      </w:r>
    </w:p>
    <w:p>
      <w:pPr>
        <w:pStyle w:val="Heading2"/>
      </w:pPr>
      <w:r>
        <w:t>6.1  Standard disable</w:t>
      </w:r>
    </w:p>
    <w:p>
      <w:r>
        <w:t>To immediately block all new authentication requests, disable the service principal via Azure CLI:</w:t>
      </w:r>
    </w:p>
    <w:p>
      <w:pPr>
        <w:shd w:val="clear" w:color="auto" w:fill="F2F2F2"/>
        <w:spacing w:before="40" w:after="40"/>
        <w:ind w:left="432"/>
      </w:pPr>
      <w:r>
        <w:rPr>
          <w:rFonts w:ascii="Courier New" w:hAnsi="Courier New"/>
          <w:color w:val="1E1E1E"/>
          <w:sz w:val="18"/>
        </w:rPr>
        <w:t>az ad sp update --id &lt;CLIENT_ID&gt; --set accountEnabled=false</w:t>
      </w:r>
    </w:p>
    <w:p>
      <w:r>
        <w:t xml:space="preserve">This can also be done from the Portal: </w:t>
      </w:r>
      <w:r>
        <w:rPr>
          <w:b/>
        </w:rPr>
        <w:t>Enterprise Applications</w:t>
      </w:r>
      <w:r>
        <w:t xml:space="preserve"> → [app name] → Properties → Enabled for users to sign in → No.</w:t>
      </w:r>
    </w:p>
    <w:p>
      <w:r>
        <w:t>Tokens already issued remain valid until they expire (typically under an hour). To invalidate them immediately:</w:t>
      </w:r>
    </w:p>
    <w:p>
      <w:pPr>
        <w:shd w:val="clear" w:color="auto" w:fill="F2F2F2"/>
        <w:spacing w:before="40" w:after="40"/>
        <w:ind w:left="432"/>
      </w:pPr>
      <w:r>
        <w:rPr>
          <w:rFonts w:ascii="Courier New" w:hAnsi="Courier New"/>
          <w:color w:val="1E1E1E"/>
          <w:sz w:val="18"/>
        </w:rPr>
        <w:t>az rest --method POST \</w:t>
        <w:br/>
        <w:t xml:space="preserve">  --uri "https://graph.microsoft.com/v1.0/servicePrincipals/&lt;SP_OBJECT_ID&gt;/revokeSignInSessions"</w:t>
      </w:r>
    </w:p>
    <w:p>
      <w:pPr>
        <w:pStyle w:val="Heading2"/>
      </w:pPr>
      <w:r>
        <w:t>6.2  If credentials were exposed</w:t>
      </w:r>
    </w:p>
    <w:p>
      <w:r>
        <w:t>Disabling the principal alone is not sufficient if the secret or certificate private key was compromised — an attacker holding the credential could re-authenticate if the principal is later re-enabled. Delete the credential as well:</w:t>
      </w:r>
    </w:p>
    <w:p>
      <w:pPr>
        <w:shd w:val="clear" w:color="auto" w:fill="F2F2F2"/>
        <w:spacing w:before="40" w:after="40"/>
        <w:ind w:left="432"/>
      </w:pPr>
      <w:r>
        <w:rPr>
          <w:rFonts w:ascii="Courier New" w:hAnsi="Courier New"/>
          <w:color w:val="1E1E1E"/>
          <w:sz w:val="18"/>
        </w:rPr>
        <w:t>az ad app credential delete --id &lt;CLIENT_ID&gt; --key-id &lt;KEY_ID&gt;</w:t>
      </w:r>
    </w:p>
    <w:p>
      <w:r>
        <w:t xml:space="preserve">Key IDs are visible under App Registrations → [app] → </w:t>
      </w:r>
      <w:r>
        <w:rPr>
          <w:b/>
        </w:rPr>
        <w:t>Certificates &amp; secrets</w:t>
      </w:r>
      <w:r>
        <w:t>. Remove all credentials that may have been exposed before issuing replacements.</w:t>
      </w:r>
    </w:p>
    <w:p>
      <w:pPr>
        <w:pStyle w:val="Heading2"/>
      </w:pPr>
      <w:r>
        <w:t>6.3  Automated revocation</w:t>
      </w:r>
    </w:p>
    <w:p>
      <w:r>
        <w:t>The disable operation in 6.1 can be automated using a Logic App triggered by an Azure Monitor alert. Suggested trigger: abnormal spike in Graph API call volume, or repeated authentication failures from the sync host.</w:t>
      </w:r>
    </w:p>
    <w:p>
      <w:r>
        <w:t>Logic App flow:</w:t>
      </w:r>
    </w:p>
    <w:p>
      <w:pPr>
        <w:shd w:val="clear" w:color="auto" w:fill="F2F2F2"/>
        <w:spacing w:before="40" w:after="40"/>
        <w:ind w:left="432"/>
      </w:pPr>
      <w:r>
        <w:rPr>
          <w:rFonts w:ascii="Courier New" w:hAnsi="Courier New"/>
          <w:color w:val="1E1E1E"/>
          <w:sz w:val="18"/>
        </w:rPr>
        <w:t>1. Azure Monitor alert fires</w:t>
        <w:br/>
        <w:t>2. Disable service principal via Graph API</w:t>
        <w:br/>
        <w:t>3. Revoke active sessions</w:t>
        <w:br/>
        <w:t>4. Notify security contact (Teams / email)</w:t>
      </w:r>
    </w:p>
    <w:p>
      <w:pPr>
        <w:pStyle w:val="Heading2"/>
      </w:pPr>
      <w:r>
        <w:t>6.4  Before restoring access</w:t>
      </w:r>
    </w:p>
    <w:p>
      <w:r>
        <w:t>Do not re-enable the service principal until the following are confirmed:</w:t>
      </w:r>
    </w:p>
    <w:p>
      <w:pPr>
        <w:pStyle w:val="ListBullet"/>
      </w:pPr>
      <w:r>
        <w:t>Azure AD Sign-in Logs reviewed for the affected window (source IPs, volume, what was accessed)</w:t>
      </w:r>
    </w:p>
    <w:p>
      <w:pPr>
        <w:pStyle w:val="ListBullet"/>
      </w:pPr>
      <w:r>
        <w:t>Compromised credentials deleted and replacements issued</w:t>
      </w:r>
    </w:p>
    <w:p>
      <w:pPr>
        <w:pStyle w:val="ListBullet"/>
      </w:pPr>
      <w:r>
        <w:t>Sync service host verified clean</w:t>
      </w:r>
    </w:p>
    <w:p>
      <w:pPr>
        <w:pStyle w:val="ListBullet"/>
      </w:pPr>
      <w:r>
        <w:t>Root cause identified</w:t>
      </w:r>
    </w:p>
    <w:p>
      <w:pPr>
        <w:pStyle w:val="Heading1"/>
      </w:pPr>
      <w:r>
        <w:t>7. Data Storage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Store</w:t>
            </w:r>
          </w:p>
        </w:tc>
        <w:tc>
          <w:tcPr>
            <w:tcW w:type="dxa" w:w="2928"/>
            <w:shd w:val="clear" w:color="auto" w:fill="1F497D"/>
          </w:tcPr>
          <w:p>
            <w:r>
              <w:rPr>
                <w:b/>
                <w:color w:val="FFFFFF"/>
              </w:rPr>
              <w:t>What is retained</w:t>
            </w:r>
          </w:p>
        </w:tc>
        <w:tc>
          <w:tcPr>
            <w:tcW w:type="dxa" w:w="2928"/>
            <w:shd w:val="clear" w:color="auto" w:fill="1F497D"/>
          </w:tcPr>
          <w:p>
            <w:r>
              <w:rPr>
                <w:b/>
                <w:color w:val="FFFFFF"/>
              </w:rPr>
              <w:t>Encrypted at rest</w:t>
            </w:r>
          </w:p>
        </w:tc>
      </w:tr>
      <w:tr>
        <w:tc>
          <w:tcPr>
            <w:tcW w:type="dxa" w:w="2928"/>
            <w:shd w:val="clear" w:color="auto" w:fill="EEF3FA"/>
          </w:tcPr>
          <w:p>
            <w:r>
              <w:t>PostgreSQL + pgvector</w:t>
            </w:r>
          </w:p>
        </w:tc>
        <w:tc>
          <w:tcPr>
            <w:tcW w:type="dxa" w:w="2928"/>
            <w:shd w:val="clear" w:color="auto" w:fill="EEF3FA"/>
          </w:tcPr>
          <w:p>
            <w:r>
              <w:t>Text chunks, metadata, vector embeddings</w:t>
            </w:r>
          </w:p>
        </w:tc>
        <w:tc>
          <w:tcPr>
            <w:tcW w:type="dxa" w:w="2928"/>
            <w:shd w:val="clear" w:color="auto" w:fill="EEF3FA"/>
          </w:tcPr>
          <w:p>
            <w:r>
              <w:t>Yes</w:t>
            </w:r>
          </w:p>
        </w:tc>
      </w:tr>
      <w:tr>
        <w:tc>
          <w:tcPr>
            <w:tcW w:type="dxa" w:w="2928"/>
          </w:tcPr>
          <w:p>
            <w:r>
              <w:t>Neo4j</w:t>
            </w:r>
          </w:p>
        </w:tc>
        <w:tc>
          <w:tcPr>
            <w:tcW w:type="dxa" w:w="2928"/>
          </w:tcPr>
          <w:p>
            <w:r>
              <w:t>Knowledge graph (entities, relationships)</w:t>
            </w:r>
          </w:p>
        </w:tc>
        <w:tc>
          <w:tcPr>
            <w:tcW w:type="dxa" w:w="2928"/>
          </w:tcPr>
          <w:p>
            <w:r>
              <w:t>Yes</w:t>
            </w:r>
          </w:p>
        </w:tc>
      </w:tr>
      <w:tr>
        <w:tc>
          <w:tcPr>
            <w:tcW w:type="dxa" w:w="2928"/>
            <w:shd w:val="clear" w:color="auto" w:fill="EEF3FA"/>
          </w:tcPr>
          <w:p>
            <w:r>
              <w:t>Azure Blob Storage</w:t>
            </w:r>
          </w:p>
        </w:tc>
        <w:tc>
          <w:tcPr>
            <w:tcW w:type="dxa" w:w="2928"/>
            <w:shd w:val="clear" w:color="auto" w:fill="EEF3FA"/>
          </w:tcPr>
          <w:p>
            <w:r>
              <w:t>Staging only — purged after processing</w:t>
            </w:r>
          </w:p>
        </w:tc>
        <w:tc>
          <w:tcPr>
            <w:tcW w:type="dxa" w:w="2928"/>
            <w:shd w:val="clear" w:color="auto" w:fill="EEF3FA"/>
          </w:tcPr>
          <w:p>
            <w:r>
              <w:t>Yes</w:t>
            </w:r>
          </w:p>
        </w:tc>
      </w:tr>
      <w:tr>
        <w:tc>
          <w:tcPr>
            <w:tcW w:type="dxa" w:w="2928"/>
          </w:tcPr>
          <w:p>
            <w:r>
              <w:t>Redis</w:t>
            </w:r>
          </w:p>
        </w:tc>
        <w:tc>
          <w:tcPr>
            <w:tcW w:type="dxa" w:w="2928"/>
          </w:tcPr>
          <w:p>
            <w:r>
              <w:t>Cache and job queues</w:t>
            </w:r>
          </w:p>
        </w:tc>
        <w:tc>
          <w:tcPr>
            <w:tcW w:type="dxa" w:w="2928"/>
          </w:tcPr>
          <w:p>
            <w:r>
              <w:t>Yes</w:t>
            </w:r>
          </w:p>
        </w:tc>
      </w:tr>
    </w:tbl>
    <w:p/>
    <w:p>
      <w:r>
        <w:t>Original SharePoint files are not retained beyond the staging phase.</w:t>
      </w:r>
    </w:p>
    <w:p>
      <w:pPr>
        <w:pStyle w:val="Heading1"/>
      </w:pPr>
      <w:r>
        <w:t>8. What to Provide</w:t>
      </w:r>
    </w:p>
    <w:p>
      <w:r>
        <w:t>To complete the integration setup, supply the following:</w:t>
      </w:r>
    </w:p>
    <w:p>
      <w:r>
        <w:rPr>
          <w:b/>
        </w:rPr>
        <w:t>Azure AD:</w:t>
      </w:r>
    </w:p>
    <w:p>
      <w:pPr>
        <w:pStyle w:val="ListBullet"/>
      </w:pPr>
      <w:r>
        <w:t>Tenant ID</w:t>
      </w:r>
    </w:p>
    <w:p>
      <w:pPr>
        <w:pStyle w:val="ListBullet"/>
      </w:pPr>
      <w:r>
        <w:t>Client ID</w:t>
      </w:r>
    </w:p>
    <w:p>
      <w:pPr>
        <w:pStyle w:val="ListBullet"/>
      </w:pPr>
      <w:r>
        <w:t>Client secret or certificate thumbprint</w:t>
      </w:r>
    </w:p>
    <w:p>
      <w:r>
        <w:rPr>
          <w:b/>
        </w:rPr>
        <w:t>SharePoint:</w:t>
      </w:r>
    </w:p>
    <w:p>
      <w:pPr>
        <w:pStyle w:val="ListBullet"/>
      </w:pPr>
      <w:r>
        <w:t>Site URL</w:t>
      </w:r>
    </w:p>
    <w:p>
      <w:pPr>
        <w:pStyle w:val="ListBullet"/>
      </w:pPr>
      <w:r>
        <w:t>Name(s) of Document Libraries to include</w:t>
      </w:r>
    </w:p>
    <w:p/>
    <w:p>
      <w:pPr>
        <w:spacing w:after="0"/>
      </w:pPr>
      <w:r>
        <w:t>────────────────────────────────────────────────────────────────────────────────</w:t>
      </w:r>
    </w:p>
    <w:p>
      <w:r>
        <w:rPr>
          <w:i/>
          <w:color w:val="787878"/>
          <w:sz w:val="18"/>
        </w:rPr>
        <w:t>This document is based on the standard Graph API integration specification and has been adapted for this deployment. For questions, contact your ZainTECH account team.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