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rightMargin">
                  <wp:align>right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bidi/>
                              <w:spacing w:line="240" w:lineRule="auto"/>
                              <w:contextualSpacing/>
                              <w:jc w:val="left"/>
                            </w:pPr>
                            <w:r>
                              <w:rPr>
                                <w:noProof/>
                                <w:position w:val="-6"/>
                                <!-- rtl -->
                                <w:rtl/>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tl/>
                                </w:rPr>
                                <w:t xml:space="preserve">مترجم من الصينية (المبسطة) إلى العربية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tl/>
                          </w:rPr>
                          <w:t xml:space="preserve">مترجم من الصينية (المبسطة) إلى العربية - </w:t>
                        </w:r>
                        <w:r>
                          <w:rPr>
                            <w:rFonts w:ascii="Roboto" w:hAnsi="Roboto"/>
                            <w:color w:val="0F2B46"/>
                            <w:sz w:val="18"/>
                            <w:szCs w:val="18"/>
                            <w:u w:val="single"/>
                          </w:rPr>
                          <w:t>www.onlinedoctranslator.com</w:t>
                        </w:r>
                      </w:hyperlink>
                    </w:p>
                  </w:txbxContent>
                </v:textbox>
                <w10:wrap anchorx="page" anchory="page"/>
              </v:shape>
            </w:pict>
          </mc:Fallback>
        </mc:AlternateContent>
      </w:r>
    </w:p>
    <w:p w14:paraId="4558AB06">
      <w:pPr>
        <w:tabs>
          <w:tab w:val="left" w:pos="6300"/>
        </w:tabs>
        <w:spacing w:line="640" w:lineRule="exact"/>
        <w:rPr>
          <w:rFonts w:hint="eastAsia" w:ascii="宋体" w:hAnsi="宋体" w:eastAsia="宋体" w:cs="宋体"/>
          <w:color w:val="auto"/>
          <w:szCs w:val="24"/>
          <w:highlight w:val="none"/>
          <w:rtl/>
        </w:rPr>
        <w:bidi/>
      </w:pPr>
      <w:bookmarkStart w:id="0" w:name="_Hlk80401588"/>
      <w:bookmarkEnd w:id="0"/>
      <w:r>
        <w:rPr>
          <w:rFonts w:hint="eastAsia" w:ascii="宋体" w:hAnsi="宋体" w:eastAsia="宋体" w:cs="宋体"/>
          <w:color w:val="auto"/>
          <w:szCs w:val="24"/>
          <w:highlight w:val="none"/>
          <w:rtl/>
        </w:rPr>
        <w:t>سينوك 2025</w:t>
      </w:r>
    </w:p>
    <w:p w14:paraId="13BC8723">
      <w:pPr>
        <w:spacing w:line="360" w:lineRule="auto"/>
        <w:rPr>
          <w:rFonts w:hint="eastAsia" w:ascii="宋体" w:hAnsi="宋体" w:eastAsia="宋体" w:cs="宋体"/>
          <w:color w:val="auto"/>
          <w:sz w:val="72"/>
          <w:szCs w:val="72"/>
          <w:highlight w:val="none"/>
          <w:rtl/>
        </w:rPr>
        <w:bidi/>
      </w:pPr>
      <w:r>
        <w:rPr>
          <w:rFonts w:hint="eastAsia" w:ascii="宋体" w:hAnsi="宋体" w:eastAsia="宋体" w:cs="宋体"/>
          <w:color w:val="auto"/>
          <w:kern w:val="0"/>
          <w:szCs w:val="24"/>
          <w:highlight w:val="none"/>
          <w:rtl/>
        </w:rPr>
        <w:t>تقرير نتائج أنشطة مجموعة مراقبة الجودة</w:t>
      </w:r>
    </w:p>
    <w:p w14:paraId="6BFE1E14">
      <w:pPr>
        <w:pStyle w:val="42"/>
        <w:rPr>
          <w:rFonts w:hint="eastAsia" w:ascii="宋体" w:hAnsi="宋体" w:eastAsia="宋体" w:cs="宋体"/>
          <w:color w:val="auto"/>
          <w:highlight w:val="none"/>
          <w:rtl/>
        </w:rPr>
        <w:bidi/>
      </w:pPr>
    </w:p>
    <w:p w14:paraId="74527217">
      <w:pPr>
        <w:spacing w:before="120" w:beforeLines="50" w:line="360" w:lineRule="auto"/>
        <w:ind w:firstLine="923"/>
        <w:jc w:val="center"/>
        <w:rPr>
          <w:rFonts w:hint="eastAsia" w:ascii="宋体" w:hAnsi="宋体" w:eastAsia="宋体" w:cs="宋体"/>
          <w:b/>
          <w:bCs/>
          <w:color w:val="auto"/>
          <w:spacing w:val="20"/>
          <w:sz w:val="44"/>
          <w:szCs w:val="44"/>
          <w:highlight w:val="none"/>
          <w:rtl/>
        </w:rPr>
        <w:bidi/>
      </w:pPr>
    </w:p>
    <w:p w14:paraId="51DD3B01">
      <w:pPr>
        <w:widowControl/>
        <w:spacing w:line="360" w:lineRule="auto"/>
        <w:ind w:left="2121" w:leftChars="-635" w:right="-512" w:rightChars="-244" w:hanging="3454" w:hangingChars="785"/>
        <w:jc w:val="center"/>
        <w:rPr>
          <w:rFonts w:hint="eastAsia" w:ascii="宋体" w:hAnsi="宋体" w:eastAsia="宋体" w:cs="宋体"/>
          <w:color w:val="auto"/>
          <w:kern w:val="0"/>
          <w:sz w:val="44"/>
          <w:szCs w:val="44"/>
          <w:highlight w:val="none"/>
          <w:lang w:eastAsia="zh-CN"/>
          <w:rtl/>
        </w:rPr>
        <w:bidi/>
      </w:pPr>
      <w:r>
        <w:rPr>
          <w:rFonts w:hint="eastAsia" w:ascii="宋体" w:hAnsi="宋体" w:eastAsia="宋体" w:cs="宋体"/>
          <w:color w:val="auto"/>
          <w:kern w:val="0"/>
          <w:sz w:val="44"/>
          <w:szCs w:val="44"/>
          <w:highlight w:val="none"/>
          <w:rtl/>
        </w:rPr>
        <w:t>عنوان المشروع: تقليل تركيز مزيل الاستحلاب المحقون في منطقة المعالجة المركزية</w:t>
      </w:r>
    </w:p>
    <w:p w14:paraId="5B1D8FBB">
      <w:pPr>
        <w:spacing w:line="360" w:lineRule="auto"/>
        <w:ind w:firstLine="261"/>
        <w:jc w:val="center"/>
        <w:rPr>
          <w:rFonts w:hint="eastAsia" w:ascii="宋体" w:hAnsi="宋体" w:eastAsia="宋体" w:cs="宋体"/>
          <w:b/>
          <w:bCs/>
          <w:color w:val="auto"/>
          <w:sz w:val="13"/>
          <w:szCs w:val="13"/>
          <w:highlight w:val="none"/>
          <w:rtl/>
        </w:rPr>
        <w:bidi/>
      </w:pPr>
    </w:p>
    <w:p w14:paraId="3E481736">
      <w:pPr>
        <w:spacing w:line="360" w:lineRule="auto"/>
        <w:ind w:firstLine="201"/>
        <w:jc w:val="center"/>
        <w:rPr>
          <w:rFonts w:hint="eastAsia" w:ascii="宋体" w:hAnsi="宋体" w:eastAsia="宋体" w:cs="宋体"/>
          <w:b/>
          <w:bCs/>
          <w:color w:val="auto"/>
          <w:sz w:val="10"/>
          <w:szCs w:val="10"/>
          <w:highlight w:val="none"/>
          <w:rtl/>
        </w:rPr>
        <w:bidi/>
      </w:pPr>
    </w:p>
    <w:p w14:paraId="4880A32C">
      <w:pPr>
        <w:spacing w:line="360" w:lineRule="auto"/>
        <w:ind w:firstLine="643"/>
        <w:jc w:val="center"/>
        <w:rPr>
          <w:rFonts w:hint="eastAsia" w:ascii="宋体" w:hAnsi="宋体" w:eastAsia="宋体" w:cs="宋体"/>
          <w:b/>
          <w:bCs/>
          <w:color w:val="auto"/>
          <w:sz w:val="32"/>
          <w:szCs w:val="32"/>
          <w:highlight w:val="none"/>
          <w:rtl/>
        </w:rPr>
        <w:bidi/>
      </w:pPr>
    </w:p>
    <w:p w14:paraId="0AA06AE0">
      <w:pPr>
        <w:spacing w:line="360" w:lineRule="auto"/>
        <w:ind w:firstLine="643"/>
        <w:jc w:val="center"/>
        <w:rPr>
          <w:rFonts w:hint="eastAsia" w:ascii="宋体" w:hAnsi="宋体" w:eastAsia="宋体" w:cs="宋体"/>
          <w:b/>
          <w:bCs/>
          <w:color w:val="auto"/>
          <w:sz w:val="32"/>
          <w:szCs w:val="32"/>
          <w:highlight w:val="none"/>
          <w:rtl/>
        </w:rPr>
        <w:bidi/>
      </w:pPr>
    </w:p>
    <w:p w14:paraId="7150E24C">
      <w:pPr>
        <w:spacing w:line="360" w:lineRule="auto"/>
        <w:ind w:firstLine="643"/>
        <w:jc w:val="center"/>
        <w:rPr>
          <w:rFonts w:hint="eastAsia" w:ascii="宋体" w:hAnsi="宋体" w:eastAsia="宋体" w:cs="宋体"/>
          <w:b/>
          <w:bCs/>
          <w:color w:val="auto"/>
          <w:sz w:val="32"/>
          <w:szCs w:val="32"/>
          <w:highlight w:val="none"/>
          <w:rtl/>
        </w:rPr>
        <w:bidi/>
      </w:pPr>
    </w:p>
    <w:p w14:paraId="7B80CB5C">
      <w:pPr>
        <w:spacing w:line="360" w:lineRule="auto"/>
        <w:ind w:firstLine="643"/>
        <w:jc w:val="center"/>
        <w:rPr>
          <w:rFonts w:hint="eastAsia" w:ascii="宋体" w:hAnsi="宋体" w:eastAsia="宋体" w:cs="宋体"/>
          <w:b/>
          <w:bCs/>
          <w:color w:val="auto"/>
          <w:sz w:val="32"/>
          <w:szCs w:val="32"/>
          <w:highlight w:val="none"/>
          <w:rtl/>
        </w:rPr>
        <w:bidi/>
      </w:pPr>
    </w:p>
    <w:p w14:paraId="1AC8FD09">
      <w:pPr>
        <w:spacing w:line="360" w:lineRule="auto"/>
        <w:ind w:firstLine="643"/>
        <w:jc w:val="center"/>
        <w:rPr>
          <w:rFonts w:hint="eastAsia" w:ascii="宋体" w:hAnsi="宋体" w:eastAsia="宋体" w:cs="宋体"/>
          <w:b/>
          <w:bCs/>
          <w:color w:val="auto"/>
          <w:sz w:val="32"/>
          <w:szCs w:val="32"/>
          <w:highlight w:val="none"/>
          <w:rtl/>
        </w:rPr>
        <w:bidi/>
      </w:pPr>
    </w:p>
    <w:p w14:paraId="3251304D">
      <w:pPr>
        <w:widowControl/>
        <w:tabs>
          <w:tab w:val="left" w:pos="6300"/>
        </w:tabs>
        <w:spacing w:line="360" w:lineRule="auto"/>
        <w:ind w:firstLine="1050" w:firstLineChars="350"/>
        <w:rPr>
          <w:rFonts w:hint="eastAsia" w:ascii="宋体" w:hAnsi="宋体" w:eastAsia="宋体" w:cs="宋体"/>
          <w:color w:val="auto"/>
          <w:kern w:val="0"/>
          <w:sz w:val="30"/>
          <w:szCs w:val="30"/>
          <w:highlight w:val="none"/>
          <w:rtl/>
        </w:rPr>
        <w:bidi/>
      </w:pPr>
      <w:r>
        <w:rPr>
          <w:rFonts w:hint="eastAsia" w:ascii="宋体" w:hAnsi="宋体" w:eastAsia="宋体" w:cs="宋体"/>
          <w:color w:val="auto"/>
          <w:kern w:val="0"/>
          <w:sz w:val="30"/>
          <w:szCs w:val="30"/>
          <w:highlight w:val="none"/>
          <w:rtl/>
        </w:rPr>
        <w:t>مجموعة</w:t>
      </w:r>
      <w:r>
        <w:rPr>
          <w:rFonts w:hint="eastAsia" w:ascii="宋体" w:hAnsi="宋体" w:eastAsia="宋体" w:cs="宋体"/>
          <w:color w:val="auto"/>
          <w:sz w:val="30"/>
          <w:szCs w:val="30"/>
          <w:highlight w:val="none"/>
          <w:rtl/>
        </w:rPr>
        <w:t>الاسم: مجموعة مراقبة الجودة "الجودة والحيوية الجديدة"</w:t>
      </w:r>
    </w:p>
    <w:p w14:paraId="65225468">
      <w:pPr>
        <w:widowControl/>
        <w:tabs>
          <w:tab w:val="left" w:pos="6300"/>
        </w:tabs>
        <w:spacing w:line="360" w:lineRule="auto"/>
        <w:ind w:firstLine="1050" w:firstLineChars="350"/>
        <w:rPr>
          <w:rFonts w:hint="eastAsia" w:ascii="宋体" w:hAnsi="宋体" w:eastAsia="宋体" w:cs="宋体"/>
          <w:color w:val="auto"/>
          <w:kern w:val="0"/>
          <w:sz w:val="30"/>
          <w:szCs w:val="30"/>
          <w:highlight w:val="none"/>
          <w:lang w:val="en-US" w:eastAsia="zh-CN"/>
          <w:rtl/>
        </w:rPr>
        <w:bidi/>
      </w:pPr>
      <w:r>
        <w:rPr>
          <w:rFonts w:hint="eastAsia" w:ascii="宋体" w:hAnsi="宋体" w:eastAsia="宋体" w:cs="宋体"/>
          <w:color w:val="auto"/>
          <w:kern w:val="0"/>
          <w:sz w:val="30"/>
          <w:szCs w:val="30"/>
          <w:highlight w:val="none"/>
          <w:rtl/>
        </w:rPr>
        <w:t>المؤلف: لي Peizhuo</w:t>
      </w:r>
    </w:p>
    <w:p w14:paraId="11751244">
      <w:pPr>
        <w:tabs>
          <w:tab w:val="left" w:pos="6300"/>
        </w:tabs>
        <w:spacing w:line="360" w:lineRule="auto"/>
        <w:ind w:firstLine="1050" w:firstLineChars="350"/>
        <w:rPr>
          <w:rFonts w:hint="eastAsia" w:ascii="宋体" w:hAnsi="宋体" w:eastAsia="宋体" w:cs="宋体"/>
          <w:color w:val="auto"/>
          <w:sz w:val="30"/>
          <w:szCs w:val="30"/>
          <w:highlight w:val="none"/>
          <w:rtl/>
        </w:rPr>
        <w:bidi/>
      </w:pPr>
      <w:r>
        <w:rPr>
          <w:rFonts w:hint="eastAsia" w:ascii="宋体" w:hAnsi="宋体" w:eastAsia="宋体" w:cs="宋体"/>
          <w:color w:val="auto"/>
          <w:sz w:val="30"/>
          <w:szCs w:val="30"/>
          <w:highlight w:val="none"/>
          <w:rtl/>
        </w:rPr>
        <w:t>اسم الشركة: مركز تنفيذ الأعمال الخارجية لخدمات إنتاج النفط وتطوير الطاقة التابع لشركة سينوك</w:t>
      </w:r>
    </w:p>
    <w:p w14:paraId="57C11D4E">
      <w:pPr>
        <w:tabs>
          <w:tab w:val="left" w:pos="6300"/>
        </w:tabs>
        <w:spacing w:line="360" w:lineRule="auto"/>
        <w:ind w:firstLine="1050" w:firstLineChars="350"/>
        <w:rPr>
          <w:rFonts w:hint="eastAsia" w:ascii="宋体" w:hAnsi="宋体" w:eastAsia="宋体" w:cs="宋体"/>
          <w:color w:val="auto"/>
          <w:kern w:val="0"/>
          <w:sz w:val="30"/>
          <w:szCs w:val="30"/>
          <w:highlight w:val="none"/>
          <w:rtl/>
        </w:rPr>
        <w:sectPr>
          <w:headerReference r:id="rId5" w:type="first"/>
          <w:footerReference r:id="rId8" w:type="first"/>
          <w:headerReference r:id="rId3" w:type="default"/>
          <w:footerReference r:id="rId6" w:type="default"/>
          <w:headerReference r:id="rId4" w:type="even"/>
          <w:footerReference r:id="rId7" w:type="even"/>
          <w:pgSz w:w="11907" w:h="16840"/>
          <w:pgMar w:top="1418" w:right="1418" w:bottom="1418" w:left="1418" w:header="851" w:footer="992" w:gutter="284"/>
          <w:pgNumType w:fmt="upperRoman" w:start="1"/>
          <w:cols w:space="425" w:num="1"/>
          <w:titlePg/>
          <w:docGrid w:linePitch="312" w:charSpace="0"/>
        </w:sectPr>
        <w:bidi/>
      </w:pPr>
      <w:r>
        <w:rPr>
          <w:rFonts w:hint="eastAsia" w:ascii="宋体" w:hAnsi="宋体" w:eastAsia="宋体" w:cs="宋体"/>
          <w:color w:val="auto"/>
          <w:sz w:val="30"/>
          <w:szCs w:val="30"/>
          <w:highlight w:val="none"/>
          <w:rtl/>
        </w:rPr>
        <w:t>التاريخ: [التاريخ]</w:t>
      </w:r>
    </w:p>
    <w:p w14:paraId="735A94FB">
      <w:pPr>
        <w:spacing w:before="156" w:beforeLines="50" w:after="156" w:afterLines="50"/>
        <w:ind w:firstLine="562"/>
        <w:jc w:val="center"/>
        <w:rPr>
          <w:rFonts w:hint="eastAsia" w:ascii="宋体" w:hAnsi="宋体" w:eastAsia="宋体" w:cs="宋体"/>
          <w:color w:val="auto"/>
          <w:kern w:val="2"/>
          <w:sz w:val="21"/>
          <w:szCs w:val="28"/>
          <w:highlight w:val="none"/>
          <w:lang w:val="en-US" w:eastAsia="zh-CN" w:bidi="ar-SA"/>
          <w:rtl/>
        </w:rPr>
        <w:bidi/>
      </w:pPr>
      <w:r>
        <w:rPr>
          <w:rFonts w:hint="eastAsia" w:ascii="宋体" w:hAnsi="宋体" w:eastAsia="宋体" w:cs="宋体"/>
          <w:b/>
          <w:color w:val="auto"/>
          <w:sz w:val="28"/>
          <w:szCs w:val="28"/>
          <w:highlight w:val="none"/>
          <w:lang w:val="zh-CN"/>
          <w:rtl/>
        </w:rPr>
        <w:t>جدول المحتويات</w:t>
      </w:r>
      <w:r>
        <w:rPr>
          <w:rFonts w:hint="eastAsia" w:ascii="宋体" w:hAnsi="宋体" w:eastAsia="宋体" w:cs="宋体"/>
          <w:color w:val="auto"/>
          <w:kern w:val="0"/>
          <w:sz w:val="28"/>
          <w:szCs w:val="28"/>
          <w:highlight w:val="none"/>
          <w:rtl/>
        </w:rPr>
        <w:fldChar w:fldCharType="begin"/>
      </w:r>
      <w:r>
        <w:rPr>
          <w:rFonts w:hint="eastAsia" w:ascii="宋体" w:hAnsi="宋体" w:eastAsia="宋体" w:cs="宋体"/>
          <w:color w:val="auto"/>
          <w:sz w:val="28"/>
          <w:szCs w:val="28"/>
          <w:highlight w:val="none"/>
          <w:rtl/>
        </w:rPr>
        <w:instrText xml:space="preserve"> TOC \o "1-3" \h \z \u </w:instrText>
      </w:r>
      <w:r>
        <w:rPr>
          <w:rFonts w:hint="eastAsia" w:ascii="宋体" w:hAnsi="宋体" w:eastAsia="宋体" w:cs="宋体"/>
          <w:color w:val="auto"/>
          <w:kern w:val="0"/>
          <w:sz w:val="28"/>
          <w:szCs w:val="28"/>
          <w:highlight w:val="none"/>
          <w:rtl/>
        </w:rPr>
        <w:fldChar w:fldCharType="separate"/>
      </w:r>
    </w:p>
    <w:p w14:paraId="330E5EFC">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_Toc16682 </w:instrText>
      </w:r>
      <w:r>
        <w:rPr>
          <w:rFonts w:hint="eastAsia" w:ascii="宋体" w:hAnsi="宋体" w:eastAsia="宋体" w:cs="宋体"/>
          <w:szCs w:val="28"/>
          <w:highlight w:val="none"/>
          <w:rtl/>
        </w:rPr>
        <w:fldChar w:fldCharType="separate"/>
      </w:r>
      <w:r>
        <w:rPr>
          <w:rFonts w:hint="eastAsia" w:ascii="宋体" w:hAnsi="宋体" w:eastAsia="宋体" w:cs="宋体"/>
          <w:rtl/>
        </w:rPr>
        <w:t>أولاً: نظرة عامة على المجموعة</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_Toc16682 \h </w:instrText>
      </w:r>
      <w:r>
        <w:rPr>
          <w:rFonts w:hint="eastAsia" w:ascii="宋体" w:hAnsi="宋体" w:eastAsia="宋体" w:cs="宋体"/>
          <w:rtl/>
        </w:rPr>
        <w:fldChar w:fldCharType="separate"/>
      </w:r>
      <w:r>
        <w:rPr>
          <w:rFonts w:hint="eastAsia" w:ascii="宋体" w:hAnsi="宋体" w:eastAsia="宋体" w:cs="宋体"/>
          <w:rtl/>
        </w:rPr>
        <w:t>1</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3D7D1C92">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_Toc29140 </w:instrText>
      </w:r>
      <w:r>
        <w:rPr>
          <w:rFonts w:hint="eastAsia" w:ascii="宋体" w:hAnsi="宋体" w:eastAsia="宋体" w:cs="宋体"/>
          <w:szCs w:val="28"/>
          <w:highlight w:val="none"/>
          <w:rtl/>
        </w:rPr>
        <w:fldChar w:fldCharType="separate"/>
      </w:r>
      <w:r>
        <w:rPr>
          <w:rFonts w:hint="eastAsia" w:ascii="宋体" w:hAnsi="宋体" w:eastAsia="宋体" w:cs="宋体"/>
          <w:rtl/>
        </w:rPr>
        <w:t>ثانياً: اختيار موضوع</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_Toc29140 \h </w:instrText>
      </w:r>
      <w:r>
        <w:rPr>
          <w:rFonts w:hint="eastAsia" w:ascii="宋体" w:hAnsi="宋体" w:eastAsia="宋体" w:cs="宋体"/>
          <w:rtl/>
        </w:rPr>
        <w:fldChar w:fldCharType="separate"/>
      </w:r>
      <w:r>
        <w:rPr>
          <w:rFonts w:hint="eastAsia" w:ascii="宋体" w:hAnsi="宋体" w:eastAsia="宋体" w:cs="宋体"/>
          <w:rtl/>
        </w:rPr>
        <w:t>2</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46940852">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_Toc16200 </w:instrText>
      </w:r>
      <w:r>
        <w:rPr>
          <w:rFonts w:hint="eastAsia" w:ascii="宋体" w:hAnsi="宋体" w:eastAsia="宋体" w:cs="宋体"/>
          <w:szCs w:val="28"/>
          <w:highlight w:val="none"/>
          <w:rtl/>
        </w:rPr>
        <w:fldChar w:fldCharType="separate"/>
      </w:r>
      <w:r>
        <w:rPr>
          <w:rFonts w:hint="eastAsia" w:ascii="宋体" w:hAnsi="宋体" w:eastAsia="宋体" w:cs="宋体"/>
          <w:rtl/>
        </w:rPr>
        <w:t xml:space="preserve">ثلاثة،</w:t>
      </w:r>
      <w:r>
        <w:rPr>
          <w:rFonts w:hint="eastAsia" w:ascii="宋体" w:hAnsi="宋体" w:eastAsia="宋体" w:cs="宋体"/>
          <w:highlight w:val="none"/>
          <w:rtl/>
        </w:rPr>
        <w:t>حدد أهدافك</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_Toc16200 \h </w:instrText>
      </w:r>
      <w:r>
        <w:rPr>
          <w:rFonts w:hint="eastAsia" w:ascii="宋体" w:hAnsi="宋体" w:eastAsia="宋体" w:cs="宋体"/>
          <w:rtl/>
        </w:rPr>
        <w:fldChar w:fldCharType="separate"/>
      </w:r>
      <w:r>
        <w:rPr>
          <w:rFonts w:hint="eastAsia" w:ascii="宋体" w:hAnsi="宋体" w:eastAsia="宋体" w:cs="宋体"/>
          <w:rtl/>
        </w:rPr>
        <w:t>3</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008066CF">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_Toc28953 </w:instrText>
      </w:r>
      <w:r>
        <w:rPr>
          <w:rFonts w:hint="eastAsia" w:ascii="宋体" w:hAnsi="宋体" w:eastAsia="宋体" w:cs="宋体"/>
          <w:szCs w:val="28"/>
          <w:highlight w:val="none"/>
          <w:rtl/>
        </w:rPr>
        <w:fldChar w:fldCharType="separate"/>
      </w:r>
      <w:r>
        <w:rPr>
          <w:rFonts w:hint="eastAsia" w:ascii="宋体" w:hAnsi="宋体" w:eastAsia="宋体" w:cs="宋体"/>
          <w:rtl/>
        </w:rPr>
        <w:t xml:space="preserve">أربعة،</w:t>
      </w:r>
      <w:r>
        <w:rPr>
          <w:rFonts w:hint="eastAsia" w:ascii="宋体" w:hAnsi="宋体" w:eastAsia="宋体" w:cs="宋体"/>
          <w:highlight w:val="none"/>
          <w:rtl/>
        </w:rPr>
        <w:t>دراسة جدوى الهدف</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_Toc28953 \h </w:instrText>
      </w:r>
      <w:r>
        <w:rPr>
          <w:rFonts w:hint="eastAsia" w:ascii="宋体" w:hAnsi="宋体" w:eastAsia="宋体" w:cs="宋体"/>
          <w:rtl/>
        </w:rPr>
        <w:fldChar w:fldCharType="separate"/>
      </w:r>
      <w:r>
        <w:rPr>
          <w:rFonts w:hint="eastAsia" w:ascii="宋体" w:hAnsi="宋体" w:eastAsia="宋体" w:cs="宋体"/>
          <w:rtl/>
        </w:rPr>
        <w:t>4</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00692E8C">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_Toc32289 </w:instrText>
      </w:r>
      <w:r>
        <w:rPr>
          <w:rFonts w:hint="eastAsia" w:ascii="宋体" w:hAnsi="宋体" w:eastAsia="宋体" w:cs="宋体"/>
          <w:szCs w:val="28"/>
          <w:highlight w:val="none"/>
          <w:rtl/>
        </w:rPr>
        <w:fldChar w:fldCharType="separate"/>
      </w:r>
      <w:r>
        <w:rPr>
          <w:rFonts w:hint="eastAsia" w:ascii="宋体" w:hAnsi="宋体" w:eastAsia="宋体" w:cs="宋体"/>
          <w:rtl/>
        </w:rPr>
        <w:t xml:space="preserve">خمسة،</w:t>
      </w:r>
      <w:r>
        <w:rPr>
          <w:rFonts w:hint="eastAsia" w:ascii="宋体" w:hAnsi="宋体" w:eastAsia="宋体" w:cs="宋体"/>
          <w:highlight w:val="none"/>
          <w:rtl/>
        </w:rPr>
        <w:t>تحليل الأسباب</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_Toc32289 \h </w:instrText>
      </w:r>
      <w:r>
        <w:rPr>
          <w:rFonts w:hint="eastAsia" w:ascii="宋体" w:hAnsi="宋体" w:eastAsia="宋体" w:cs="宋体"/>
          <w:rtl/>
        </w:rPr>
        <w:fldChar w:fldCharType="separate"/>
      </w:r>
      <w:r>
        <w:rPr>
          <w:rFonts w:hint="eastAsia" w:ascii="宋体" w:hAnsi="宋体" w:eastAsia="宋体" w:cs="宋体"/>
          <w:rtl/>
        </w:rPr>
        <w:t>6</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2FBE4181">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_Toc22659 </w:instrText>
      </w:r>
      <w:r>
        <w:rPr>
          <w:rFonts w:hint="eastAsia" w:ascii="宋体" w:hAnsi="宋体" w:eastAsia="宋体" w:cs="宋体"/>
          <w:szCs w:val="28"/>
          <w:highlight w:val="none"/>
          <w:rtl/>
        </w:rPr>
        <w:fldChar w:fldCharType="separate"/>
      </w:r>
      <w:r>
        <w:rPr>
          <w:rFonts w:hint="eastAsia" w:ascii="宋体" w:hAnsi="宋体" w:eastAsia="宋体" w:cs="宋体"/>
          <w:rtl/>
        </w:rPr>
        <w:t xml:space="preserve">ستة،</w:t>
      </w:r>
      <w:r>
        <w:rPr>
          <w:rFonts w:hint="eastAsia" w:ascii="宋体" w:hAnsi="宋体" w:eastAsia="宋体" w:cs="宋体"/>
          <w:highlight w:val="none"/>
          <w:rtl/>
        </w:rPr>
        <w:t>حدد السبب الرئيسي</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_Toc22659 \h </w:instrText>
      </w:r>
      <w:r>
        <w:rPr>
          <w:rFonts w:hint="eastAsia" w:ascii="宋体" w:hAnsi="宋体" w:eastAsia="宋体" w:cs="宋体"/>
          <w:rtl/>
        </w:rPr>
        <w:fldChar w:fldCharType="separate"/>
      </w:r>
      <w:r>
        <w:rPr>
          <w:rFonts w:hint="eastAsia" w:ascii="宋体" w:hAnsi="宋体" w:eastAsia="宋体" w:cs="宋体"/>
          <w:rtl/>
        </w:rPr>
        <w:t>7</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730D54F3">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_Toc1374 </w:instrText>
      </w:r>
      <w:r>
        <w:rPr>
          <w:rFonts w:hint="eastAsia" w:ascii="宋体" w:hAnsi="宋体" w:eastAsia="宋体" w:cs="宋体"/>
          <w:szCs w:val="28"/>
          <w:highlight w:val="none"/>
          <w:rtl/>
        </w:rPr>
        <w:fldChar w:fldCharType="separate"/>
      </w:r>
      <w:r>
        <w:rPr>
          <w:rFonts w:hint="eastAsia" w:ascii="宋体" w:hAnsi="宋体" w:eastAsia="宋体" w:cs="宋体"/>
          <w:rtl/>
        </w:rPr>
        <w:t xml:space="preserve">سبعة،</w:t>
      </w:r>
      <w:r>
        <w:rPr>
          <w:rFonts w:hint="eastAsia" w:ascii="宋体" w:hAnsi="宋体" w:eastAsia="宋体" w:cs="宋体"/>
          <w:highlight w:val="none"/>
          <w:rtl/>
        </w:rPr>
        <w:t>تطوير تدابير مضادة</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_Toc1374 \h </w:instrText>
      </w:r>
      <w:r>
        <w:rPr>
          <w:rFonts w:hint="eastAsia" w:ascii="宋体" w:hAnsi="宋体" w:eastAsia="宋体" w:cs="宋体"/>
          <w:rtl/>
        </w:rPr>
        <w:fldChar w:fldCharType="separate"/>
      </w:r>
      <w:r>
        <w:rPr>
          <w:rFonts w:hint="eastAsia" w:ascii="宋体" w:hAnsi="宋体" w:eastAsia="宋体" w:cs="宋体"/>
          <w:rtl/>
        </w:rPr>
        <w:t>12</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574C98B5">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_Toc21178 </w:instrText>
      </w:r>
      <w:r>
        <w:rPr>
          <w:rFonts w:hint="eastAsia" w:ascii="宋体" w:hAnsi="宋体" w:eastAsia="宋体" w:cs="宋体"/>
          <w:szCs w:val="28"/>
          <w:highlight w:val="none"/>
          <w:rtl/>
        </w:rPr>
        <w:fldChar w:fldCharType="separate"/>
      </w:r>
      <w:r>
        <w:rPr>
          <w:rFonts w:hint="eastAsia" w:ascii="宋体" w:hAnsi="宋体" w:eastAsia="宋体" w:cs="宋体"/>
          <w:rtl/>
        </w:rPr>
        <w:t xml:space="preserve">ثمانية،</w:t>
      </w:r>
      <w:r>
        <w:rPr>
          <w:rFonts w:hint="eastAsia" w:ascii="宋体" w:hAnsi="宋体" w:eastAsia="宋体" w:cs="宋体"/>
          <w:highlight w:val="none"/>
          <w:lang w:val="en-US" w:eastAsia="zh-CN"/>
          <w:rtl/>
        </w:rPr>
        <w:t>تنفيذ الاستراتيجية</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_Toc21178 \h </w:instrText>
      </w:r>
      <w:r>
        <w:rPr>
          <w:rFonts w:hint="eastAsia" w:ascii="宋体" w:hAnsi="宋体" w:eastAsia="宋体" w:cs="宋体"/>
          <w:rtl/>
        </w:rPr>
        <w:fldChar w:fldCharType="separate"/>
      </w:r>
      <w:r>
        <w:rPr>
          <w:rFonts w:hint="eastAsia" w:ascii="宋体" w:hAnsi="宋体" w:eastAsia="宋体" w:cs="宋体"/>
          <w:rtl/>
        </w:rPr>
        <w:t>13</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2AE8DF2E">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_Toc7823 </w:instrText>
      </w:r>
      <w:r>
        <w:rPr>
          <w:rFonts w:hint="eastAsia" w:ascii="宋体" w:hAnsi="宋体" w:eastAsia="宋体" w:cs="宋体"/>
          <w:szCs w:val="28"/>
          <w:highlight w:val="none"/>
          <w:rtl/>
        </w:rPr>
        <w:fldChar w:fldCharType="separate"/>
      </w:r>
      <w:r>
        <w:rPr>
          <w:rFonts w:hint="eastAsia" w:ascii="宋体" w:hAnsi="宋体" w:eastAsia="宋体" w:cs="宋体"/>
          <w:lang w:val="en-US" w:eastAsia="zh-CN"/>
          <w:rtl/>
        </w:rPr>
        <w:t xml:space="preserve">تسعة،</w:t>
      </w:r>
      <w:r>
        <w:rPr>
          <w:rFonts w:hint="eastAsia" w:ascii="宋体" w:hAnsi="宋体" w:eastAsia="宋体" w:cs="宋体"/>
          <w:highlight w:val="none"/>
          <w:lang w:val="en-US" w:eastAsia="zh-CN"/>
          <w:rtl/>
        </w:rPr>
        <w:t>فحص التأثيرات</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_Toc7823 \h </w:instrText>
      </w:r>
      <w:r>
        <w:rPr>
          <w:rFonts w:hint="eastAsia" w:ascii="宋体" w:hAnsi="宋体" w:eastAsia="宋体" w:cs="宋体"/>
          <w:rtl/>
        </w:rPr>
        <w:fldChar w:fldCharType="separate"/>
      </w:r>
      <w:r>
        <w:rPr>
          <w:rFonts w:hint="eastAsia" w:ascii="宋体" w:hAnsi="宋体" w:eastAsia="宋体" w:cs="宋体"/>
          <w:rtl/>
        </w:rPr>
        <w:t>19</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0565BCE5">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_Toc16411 </w:instrText>
      </w:r>
      <w:r>
        <w:rPr>
          <w:rFonts w:hint="eastAsia" w:ascii="宋体" w:hAnsi="宋体" w:eastAsia="宋体" w:cs="宋体"/>
          <w:szCs w:val="28"/>
          <w:highlight w:val="none"/>
          <w:rtl/>
        </w:rPr>
        <w:fldChar w:fldCharType="separate"/>
      </w:r>
      <w:r>
        <w:rPr>
          <w:rFonts w:hint="eastAsia" w:ascii="宋体" w:hAnsi="宋体" w:eastAsia="宋体" w:cs="宋体"/>
          <w:lang w:val="en-US" w:eastAsia="zh-CN"/>
          <w:rtl/>
        </w:rPr>
        <w:t xml:space="preserve">عشرة،</w:t>
      </w:r>
      <w:r>
        <w:rPr>
          <w:rFonts w:hint="eastAsia" w:ascii="宋体" w:hAnsi="宋体" w:eastAsia="宋体" w:cs="宋体"/>
          <w:highlight w:val="none"/>
          <w:lang w:val="en-US" w:eastAsia="zh-CN"/>
          <w:rtl/>
        </w:rPr>
        <w:t>تدابير التوحيد</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_Toc16411 \h </w:instrText>
      </w:r>
      <w:r>
        <w:rPr>
          <w:rFonts w:hint="eastAsia" w:ascii="宋体" w:hAnsi="宋体" w:eastAsia="宋体" w:cs="宋体"/>
          <w:rtl/>
        </w:rPr>
        <w:fldChar w:fldCharType="separate"/>
      </w:r>
      <w:r>
        <w:rPr>
          <w:rFonts w:hint="eastAsia" w:ascii="宋体" w:hAnsi="宋体" w:eastAsia="宋体" w:cs="宋体"/>
          <w:rtl/>
        </w:rPr>
        <w:t>إثنان وعشرون</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28D7219C">
      <w:pPr>
        <w:pStyle w:val="16"/>
        <w:keepNext w:val="0"/>
        <w:keepLines w:val="0"/>
        <w:pageBreakBefore w:val="0"/>
        <w:widowControl w:val="0"/>
        <w:tabs>
          <w:tab w:val="right" w:leader="dot" w:pos="8306"/>
        </w:tabs>
        <w:kinsoku/>
        <w:wordWrap/>
        <w:overflowPunct/>
        <w:topLinePunct w:val="0"/>
        <w:autoSpaceDE/>
        <w:autoSpaceDN/>
        <w:adjustRightInd/>
        <w:snapToGrid/>
        <w:ind w:left="0" w:leftChars="0"/>
        <w:textAlignment w:val="auto"/>
        <w:rPr>
          <w:rFonts w:hint="eastAsia" w:ascii="宋体" w:hAnsi="宋体" w:eastAsia="宋体" w:cs="宋体"/>
          <w:rtl/>
        </w:rPr>
      </w:pPr>
      <w:r>
        <w:rPr>
          <w:rFonts w:hint="eastAsia" w:ascii="宋体" w:hAnsi="宋体" w:eastAsia="宋体" w:cs="宋体"/>
          <w:color w:val="auto"/>
          <w:szCs w:val="28"/>
          <w:highlight w:val="none"/>
          <w:rtl/>
        </w:rPr>
        <w:fldChar w:fldCharType="begin"/>
      </w:r>
      <w:r>
        <w:rPr>
          <w:rFonts w:hint="eastAsia" w:ascii="宋体" w:hAnsi="宋体" w:eastAsia="宋体" w:cs="宋体"/>
          <w:szCs w:val="28"/>
          <w:highlight w:val="none"/>
          <w:rtl/>
        </w:rPr>
        <w:instrText xml:space="preserve"> HYPERLINK \l _Toc31588 </w:instrText>
      </w:r>
      <w:r>
        <w:rPr>
          <w:rFonts w:hint="eastAsia" w:ascii="宋体" w:hAnsi="宋体" w:eastAsia="宋体" w:cs="宋体"/>
          <w:szCs w:val="28"/>
          <w:highlight w:val="none"/>
          <w:rtl/>
        </w:rPr>
        <w:fldChar w:fldCharType="separate"/>
      </w:r>
      <w:r>
        <w:rPr>
          <w:rFonts w:hint="eastAsia" w:ascii="宋体" w:hAnsi="宋体" w:eastAsia="宋体" w:cs="宋体"/>
          <w:lang w:val="en-US" w:eastAsia="zh-CN"/>
          <w:rtl/>
        </w:rPr>
        <w:t xml:space="preserve">أحد عشر،</w:t>
      </w:r>
      <w:r>
        <w:rPr>
          <w:rFonts w:hint="eastAsia" w:ascii="宋体" w:hAnsi="宋体" w:eastAsia="宋体" w:cs="宋体"/>
          <w:highlight w:val="none"/>
          <w:lang w:val="en-US" w:eastAsia="zh-CN"/>
          <w:rtl/>
        </w:rPr>
        <w:t>ملخص والخطوات التالية</w:t>
      </w:r>
      <w:r>
        <w:rPr>
          <w:rFonts w:hint="eastAsia" w:ascii="宋体" w:hAnsi="宋体" w:eastAsia="宋体" w:cs="宋体"/>
          <w:rtl/>
        </w:rPr>
        <w:tab/>
      </w:r>
      <w:r>
        <w:rPr>
          <w:rFonts w:hint="eastAsia" w:ascii="宋体" w:hAnsi="宋体" w:eastAsia="宋体" w:cs="宋体"/>
          <w:rtl/>
        </w:rPr>
        <w:fldChar w:fldCharType="begin"/>
      </w:r>
      <w:r>
        <w:rPr>
          <w:rFonts w:hint="eastAsia" w:ascii="宋体" w:hAnsi="宋体" w:eastAsia="宋体" w:cs="宋体"/>
          <w:rtl/>
        </w:rPr>
        <w:instrText xml:space="preserve"> PAGEREF _Toc31588 \h </w:instrText>
      </w:r>
      <w:r>
        <w:rPr>
          <w:rFonts w:hint="eastAsia" w:ascii="宋体" w:hAnsi="宋体" w:eastAsia="宋体" w:cs="宋体"/>
          <w:rtl/>
        </w:rPr>
        <w:fldChar w:fldCharType="separate"/>
      </w:r>
      <w:r>
        <w:rPr>
          <w:rFonts w:hint="eastAsia" w:ascii="宋体" w:hAnsi="宋体" w:eastAsia="宋体" w:cs="宋体"/>
          <w:rtl/>
        </w:rPr>
        <w:t>25</w:t>
      </w:r>
      <w:r>
        <w:rPr>
          <w:rFonts w:hint="eastAsia" w:ascii="宋体" w:hAnsi="宋体" w:eastAsia="宋体" w:cs="宋体"/>
          <w:rtl/>
        </w:rPr>
        <w:fldChar w:fldCharType="end"/>
      </w:r>
      <w:r>
        <w:rPr>
          <w:rFonts w:hint="eastAsia" w:ascii="宋体" w:hAnsi="宋体" w:eastAsia="宋体" w:cs="宋体"/>
          <w:color w:val="auto"/>
          <w:szCs w:val="28"/>
          <w:highlight w:val="none"/>
          <w:rtl/>
        </w:rPr>
        <w:fldChar w:fldCharType="end"/>
      </w:r>
    </w:p>
    <w:p w14:paraId="0E6A2A1A">
      <w:pPr>
        <w:spacing w:before="156" w:beforeLines="50" w:after="156" w:afterLines="50"/>
        <w:ind w:firstLine="562"/>
        <w:jc w:val="center"/>
        <w:rPr>
          <w:rFonts w:hint="eastAsia" w:ascii="宋体" w:hAnsi="宋体" w:eastAsia="宋体" w:cs="宋体"/>
          <w:color w:val="auto"/>
          <w:sz w:val="28"/>
          <w:szCs w:val="28"/>
          <w:highlight w:val="none"/>
          <w:rtl/>
        </w:rPr>
        <w:bidi/>
      </w:pPr>
      <w:r>
        <w:rPr>
          <w:rFonts w:hint="eastAsia" w:ascii="宋体" w:hAnsi="宋体" w:eastAsia="宋体" w:cs="宋体"/>
          <w:color w:val="auto"/>
          <w:szCs w:val="28"/>
          <w:highlight w:val="none"/>
          <w:rtl/>
        </w:rPr>
        <w:fldChar w:fldCharType="end"/>
      </w:r>
    </w:p>
    <w:p w14:paraId="1FF0BCE7">
      <w:pPr>
        <w:spacing w:line="360" w:lineRule="auto"/>
        <w:ind w:firstLine="723"/>
        <w:rPr>
          <w:rFonts w:hint="eastAsia" w:ascii="宋体" w:hAnsi="宋体" w:eastAsia="宋体" w:cs="宋体"/>
          <w:b/>
          <w:color w:val="auto"/>
          <w:sz w:val="36"/>
          <w:szCs w:val="36"/>
          <w:highlight w:val="none"/>
          <w:rtl/>
        </w:rPr>
        <w:bidi/>
      </w:pPr>
    </w:p>
    <w:p w14:paraId="7E3112C3">
      <w:pPr>
        <w:widowControl/>
        <w:spacing w:line="360" w:lineRule="auto"/>
        <w:ind w:firstLine="723"/>
        <w:jc w:val="center"/>
        <w:rPr>
          <w:rFonts w:hint="eastAsia" w:ascii="宋体" w:hAnsi="宋体" w:eastAsia="宋体" w:cs="宋体"/>
          <w:b/>
          <w:color w:val="auto"/>
          <w:sz w:val="36"/>
          <w:szCs w:val="36"/>
          <w:highlight w:val="none"/>
          <w:rtl/>
        </w:rPr>
        <w:sectPr>
          <w:headerReference r:id="rId9" w:type="default"/>
          <w:footerReference r:id="rId10" w:type="default"/>
          <w:pgSz w:w="11906" w:h="16838"/>
          <w:pgMar w:top="1440" w:right="1800" w:bottom="1440" w:left="1800" w:header="851" w:footer="992" w:gutter="0"/>
          <w:pgNumType w:start="1"/>
          <w:cols w:space="425" w:num="1"/>
          <w:docGrid w:type="lines" w:linePitch="312" w:charSpace="0"/>
        </w:sectPr>
        <w:bidi/>
      </w:pPr>
      <w:r>
        <w:rPr>
          <w:rFonts w:hint="eastAsia" w:ascii="宋体" w:hAnsi="宋体" w:eastAsia="宋体" w:cs="宋体"/>
          <w:b/>
          <w:color w:val="auto"/>
          <w:sz w:val="36"/>
          <w:szCs w:val="36"/>
          <w:highlight w:val="none"/>
          <w:rtl/>
        </w:rPr>
        <w:br w:type="page"/>
      </w:r>
    </w:p>
    <w:p w14:paraId="1DEA4053">
      <w:pPr>
        <w:pStyle w:val="3"/>
        <w:numPr>
          <w:ilvl w:val="0"/>
          <w:numId w:val="1"/>
        </w:numPr>
        <w:ind w:left="210" w:leftChars="0" w:firstLine="420" w:firstLineChars="0"/>
        <w:rPr>
          <w:rFonts w:hint="eastAsia" w:ascii="宋体" w:hAnsi="宋体" w:eastAsia="宋体" w:cs="宋体"/>
          <w:rtl/>
        </w:rPr>
      </w:pPr>
      <w:bookmarkStart w:id="1" w:name="_Toc16682"/>
      <w:r>
        <w:rPr>
          <w:rFonts w:hint="eastAsia" w:ascii="宋体" w:hAnsi="宋体" w:eastAsia="宋体" w:cs="宋体"/>
          <w:rtl/>
        </w:rPr>
        <w:t>نظرة عامة على المجموعة</w:t>
      </w:r>
      <w:bookmarkEnd w:id="1"/>
    </w:p>
    <w:p w14:paraId="2424D646">
      <w:pPr>
        <w:pStyle w:val="4"/>
        <w:rPr>
          <w:rFonts w:hint="eastAsia" w:ascii="宋体" w:hAnsi="宋体" w:eastAsia="宋体" w:cs="宋体"/>
          <w:rtl/>
        </w:rPr>
      </w:pPr>
      <w:bookmarkStart w:id="2" w:name="_Toc19837"/>
      <w:bookmarkStart w:id="3" w:name="OLE_LINK1"/>
      <w:r>
        <w:rPr>
          <w:rFonts w:hint="eastAsia" w:ascii="宋体" w:hAnsi="宋体" w:eastAsia="宋体" w:cs="宋体"/>
          <w:rtl/>
        </w:rPr>
        <w:t>1.1 نظرة عامة على المشروع</w:t>
      </w:r>
      <w:bookmarkEnd w:id="2"/>
    </w:p>
    <w:p w14:paraId="7AD93CB8">
      <w:pPr>
        <w:pStyle w:val="9"/>
        <w:keepNext w:val="0"/>
        <w:keepLines w:val="0"/>
        <w:pageBreakBefore w:val="0"/>
        <w:widowControl w:val="0"/>
        <w:kinsoku/>
        <w:wordWrap/>
        <w:overflowPunct/>
        <w:topLinePunct w:val="0"/>
        <w:autoSpaceDE/>
        <w:autoSpaceDN/>
        <w:adjustRightInd/>
        <w:snapToGrid/>
        <w:textAlignment w:val="auto"/>
        <w:rPr>
          <w:rFonts w:hint="eastAsia" w:ascii="宋体" w:hAnsi="宋体" w:eastAsia="宋体" w:cs="宋体"/>
          <w:color w:val="auto"/>
          <w:highlight w:val="none"/>
          <w:lang w:eastAsia="zh-CN"/>
          <w:rtl/>
        </w:rPr>
      </w:pPr>
      <w:r>
        <w:rPr>
          <w:rFonts w:hint="eastAsia" w:ascii="宋体" w:hAnsi="宋体" w:eastAsia="宋体" w:cs="宋体"/>
          <w:color w:val="auto"/>
          <w:highlight w:val="none"/>
          <w:lang w:eastAsia="zh-CN"/>
          <w:rtl/>
        </w:rPr>
        <w:t>يقع مركز معالجة النفط الخام في ميسان جنوب شرق العراق، بالقرب من الحدود العراقية الإيرانية، على بُعد 175 كيلومترًا شمال غرب البصرة و350 كيلومترًا جنوب شرق بغداد. يتألف حقل النفط من ثلاث مناطق إنتاج (أبو غراب، بزركان، وفوقي). يتكون مركز المعالجة من وحدة معالجة من الأسفل إلى الأعلى (BUT) ومنشأة لمعالجة النفط الخام (CPF). وحدة المعالجة من الأسفل إلى الأعلى هي وحدة أصلية خضعت لعمليات تحديث في عام 2016، مما زاد طاقتها الإنتاجية إلى 200 ألف برميل يوميًا. أما منشأة معالجة النفط الخام فتتكون من وحدتين تم إنشاؤهما حديثًا، ودُشّنتا في عام 2016، ليصل إجمالي الطاقة الإنتاجية لوحدة المعالجة من الأسفل إلى الأعلى إلى 300 ألف برميل يوميًا.</w:t>
      </w:r>
    </w:p>
    <w:p w14:paraId="37A1D5CB">
      <w:pPr>
        <w:pStyle w:val="9"/>
        <w:rPr>
          <w:rFonts w:hint="eastAsia" w:ascii="宋体" w:hAnsi="宋体" w:eastAsia="宋体" w:cs="宋体"/>
          <w:color w:val="auto"/>
          <w:highlight w:val="none"/>
          <w:rtl/>
        </w:rPr>
        <w:bidi/>
      </w:pPr>
      <w:r>
        <w:rPr>
          <w:rFonts w:hint="eastAsia" w:ascii="宋体" w:hAnsi="宋体" w:eastAsia="宋体" w:cs="宋体"/>
          <w:color w:val="auto"/>
          <w:highlight w:val="none"/>
          <w:lang w:eastAsia="zh-CN"/>
          <w:rtl/>
        </w:rPr>
        <w:t xml:space="preserve"> </w:t>
      </w:r>
      <w:r>
        <w:rPr>
          <w:rFonts w:hint="eastAsia" w:ascii="宋体" w:hAnsi="宋体" w:eastAsia="宋体" w:cs="宋体"/>
          <w:color w:val="auto"/>
          <w:highlight w:val="none"/>
          <w:rtl/>
        </w:rPr>
        <w:drawing>
          <wp:inline distT="0" distB="0" distL="114300" distR="114300">
            <wp:extent cx="2224405" cy="2119630"/>
            <wp:effectExtent l="0" t="0" r="10795" b="127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12"/>
                    <a:stretch>
                      <a:fillRect/>
                    </a:stretch>
                  </pic:blipFill>
                  <pic:spPr>
                    <a:xfrm>
                      <a:off x="0" y="0"/>
                      <a:ext cx="2224405" cy="2119630"/>
                    </a:xfrm>
                    <a:prstGeom prst="rect">
                      <a:avLst/>
                    </a:prstGeom>
                    <a:noFill/>
                    <a:ln>
                      <a:noFill/>
                    </a:ln>
                  </pic:spPr>
                </pic:pic>
              </a:graphicData>
            </a:graphic>
          </wp:inline>
        </w:drawing>
      </w:r>
      <w:r>
        <w:rPr>
          <w:rFonts w:hint="eastAsia" w:ascii="宋体" w:hAnsi="宋体" w:eastAsia="宋体" w:cs="宋体"/>
          <w:color w:val="auto"/>
          <w:highlight w:val="none"/>
          <w:lang w:val="en-US" w:eastAsia="zh-CN"/>
          <w:rtl/>
        </w:rPr>
        <w:t xml:space="preserve"> </w:t>
      </w:r>
      <w:r>
        <w:rPr>
          <w:rFonts w:hint="eastAsia" w:ascii="宋体" w:hAnsi="宋体" w:eastAsia="宋体" w:cs="宋体"/>
          <w:color w:val="auto"/>
          <w:highlight w:val="none"/>
          <w:rtl/>
        </w:rPr>
        <w:drawing>
          <wp:inline distT="0" distB="0" distL="114300" distR="114300">
            <wp:extent cx="2717165" cy="2134235"/>
            <wp:effectExtent l="0" t="0" r="635" b="1206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13"/>
                    <a:stretch>
                      <a:fillRect/>
                    </a:stretch>
                  </pic:blipFill>
                  <pic:spPr>
                    <a:xfrm>
                      <a:off x="0" y="0"/>
                      <a:ext cx="2717165" cy="2134235"/>
                    </a:xfrm>
                    <a:prstGeom prst="rect">
                      <a:avLst/>
                    </a:prstGeom>
                    <a:noFill/>
                    <a:ln>
                      <a:noFill/>
                    </a:ln>
                  </pic:spPr>
                </pic:pic>
              </a:graphicData>
            </a:graphic>
          </wp:inline>
        </w:drawing>
      </w:r>
    </w:p>
    <w:p w14:paraId="6419AE8A">
      <w:pPr>
        <w:pStyle w:val="49"/>
        <w:rPr>
          <w:rFonts w:hint="eastAsia" w:ascii="宋体" w:hAnsi="宋体" w:eastAsia="宋体" w:cs="宋体"/>
          <w:color w:val="auto"/>
          <w:sz w:val="21"/>
          <w:szCs w:val="20"/>
          <w:highlight w:val="none"/>
          <w:lang w:eastAsia="zh-CN"/>
          <w:rtl/>
        </w:rPr>
        <w:bidi/>
      </w:pPr>
      <w:r>
        <w:rPr>
          <w:rFonts w:hint="eastAsia" w:ascii="宋体" w:hAnsi="宋体" w:eastAsia="宋体" w:cs="宋体"/>
          <w:color w:val="auto"/>
          <w:sz w:val="21"/>
          <w:szCs w:val="20"/>
          <w:highlight w:val="none"/>
          <w:rtl/>
        </w:rPr>
        <w:t>رسم الخرائط: ليو شياو غوانغ، التاريخ: 1 مارس 2025، المراجعة: لي بي تشو</w:t>
      </w:r>
    </w:p>
    <w:p w14:paraId="34138EBF">
      <w:pPr>
        <w:pStyle w:val="9"/>
        <w:ind w:firstLine="0" w:firstLineChars="0"/>
        <w:jc w:val="center"/>
        <w:rPr>
          <w:rFonts w:hint="eastAsia" w:ascii="宋体" w:hAnsi="宋体" w:eastAsia="宋体" w:cs="宋体"/>
          <w:color w:val="auto"/>
          <w:highlight w:val="none"/>
          <w:lang w:eastAsia="zh-CN"/>
          <w:rtl/>
        </w:rPr>
        <w:bidi/>
      </w:pPr>
    </w:p>
    <w:p w14:paraId="4263A429">
      <w:pPr>
        <w:pStyle w:val="9"/>
        <w:rPr>
          <w:rFonts w:hint="eastAsia" w:ascii="宋体" w:hAnsi="宋体" w:eastAsia="宋体" w:cs="宋体"/>
          <w:color w:val="auto"/>
          <w:highlight w:val="none"/>
          <w:lang w:eastAsia="zh-CN"/>
          <w:rtl/>
        </w:rPr>
        <w:bidi/>
      </w:pPr>
      <w:r>
        <w:rPr>
          <w:rFonts w:hint="eastAsia" w:ascii="宋体" w:hAnsi="宋体" w:eastAsia="宋体" w:cs="宋体"/>
          <w:color w:val="auto"/>
          <w:highlight w:val="none"/>
          <w:lang w:eastAsia="zh-CN"/>
          <w:rtl/>
        </w:rPr>
        <w:t>منذ أن حقق حقل النفط هدفه المتمثل في إنتاج 300 ألف برميل من النفط الخام يومياً في 22 أكتوبر 2022، حافظ على إنتاج مستقر يزيد عن 300 ألف برميل يومياً.</w:t>
      </w:r>
    </w:p>
    <w:p w14:paraId="7D112DA4">
      <w:pPr>
        <w:pStyle w:val="9"/>
        <w:ind w:firstLine="0" w:firstLineChars="0"/>
        <w:rPr>
          <w:rFonts w:hint="eastAsia" w:ascii="宋体" w:hAnsi="宋体" w:eastAsia="宋体" w:cs="宋体"/>
          <w:color w:val="auto"/>
          <w:highlight w:val="none"/>
          <w:lang w:eastAsia="zh-CN"/>
          <w:rtl/>
        </w:rPr>
        <w:bidi/>
      </w:pPr>
      <w:r>
        <w:rPr>
          <w:rFonts w:hint="eastAsia" w:ascii="宋体" w:hAnsi="宋体" w:eastAsia="宋体" w:cs="宋体"/>
          <w:color w:val="auto"/>
          <w:highlight w:val="none"/>
          <w:rtl/>
        </w:rPr>
        <w:drawing>
          <wp:inline distT="0" distB="0" distL="114300" distR="114300">
            <wp:extent cx="5750560" cy="1604010"/>
            <wp:effectExtent l="0" t="0" r="2540" b="889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pic:cNvPicPr>
                  </pic:nvPicPr>
                  <pic:blipFill>
                    <a:blip r:embed="rId14"/>
                    <a:stretch>
                      <a:fillRect/>
                    </a:stretch>
                  </pic:blipFill>
                  <pic:spPr>
                    <a:xfrm>
                      <a:off x="0" y="0"/>
                      <a:ext cx="5750560" cy="1604010"/>
                    </a:xfrm>
                    <a:prstGeom prst="rect">
                      <a:avLst/>
                    </a:prstGeom>
                    <a:noFill/>
                    <a:ln>
                      <a:noFill/>
                    </a:ln>
                  </pic:spPr>
                </pic:pic>
              </a:graphicData>
            </a:graphic>
          </wp:inline>
        </w:drawing>
      </w:r>
    </w:p>
    <w:p w14:paraId="4708940B">
      <w:pPr>
        <w:pStyle w:val="9"/>
        <w:ind w:firstLine="0" w:firstLineChars="0"/>
        <w:jc w:val="center"/>
        <w:rPr>
          <w:rFonts w:hint="eastAsia" w:ascii="宋体" w:hAnsi="宋体" w:eastAsia="宋体" w:cs="宋体"/>
          <w:color w:val="auto"/>
          <w:sz w:val="21"/>
          <w:szCs w:val="21"/>
          <w:highlight w:val="none"/>
          <w:lang w:eastAsia="zh-CN"/>
          <w:rtl/>
        </w:rPr>
        <w:bidi/>
      </w:pPr>
      <w:r>
        <w:rPr>
          <w:rFonts w:hint="eastAsia" w:ascii="宋体" w:hAnsi="宋体" w:eastAsia="宋体" w:cs="宋体"/>
          <w:color w:val="auto"/>
          <w:sz w:val="21"/>
          <w:szCs w:val="21"/>
          <w:highlight w:val="none"/>
          <w:rtl/>
        </w:rPr>
        <w:t>رسم الخرائط: ليو شياو غوانغ، التاريخ: 1 مارس 2025، المراجعة: لي بي تشو</w:t>
      </w:r>
    </w:p>
    <w:p w14:paraId="6C23E7A5">
      <w:pPr>
        <w:pStyle w:val="4"/>
        <w:rPr>
          <w:rFonts w:hint="eastAsia" w:ascii="宋体" w:hAnsi="宋体" w:eastAsia="宋体" w:cs="宋体"/>
          <w:rtl/>
        </w:rPr>
      </w:pPr>
      <w:bookmarkStart w:id="4" w:name="_Toc24826"/>
      <w:r>
        <w:rPr>
          <w:rFonts w:hint="eastAsia" w:ascii="宋体" w:hAnsi="宋体" w:eastAsia="宋体" w:cs="宋体"/>
          <w:rtl/>
        </w:rPr>
        <w:t>1.2 نظرة عامة على المجموعة</w:t>
      </w:r>
      <w:bookmarkEnd w:id="4"/>
    </w:p>
    <w:p w14:paraId="0DAE1E77">
      <w:pPr>
        <w:pStyle w:val="9"/>
        <w:rPr>
          <w:rFonts w:hint="eastAsia" w:ascii="宋体" w:hAnsi="宋体" w:eastAsia="宋体" w:cs="宋体"/>
          <w:color w:val="auto"/>
          <w:highlight w:val="none"/>
          <w:lang w:eastAsia="zh-CN"/>
          <w:rtl/>
        </w:rPr>
        <w:bidi/>
      </w:pPr>
      <w:r>
        <w:rPr>
          <w:rFonts w:hint="eastAsia" w:ascii="宋体" w:hAnsi="宋体" w:eastAsia="宋体" w:cs="宋体"/>
          <w:color w:val="auto"/>
          <w:highlight w:val="none"/>
          <w:lang w:eastAsia="zh-CN"/>
          <w:rtl/>
        </w:rPr>
        <w:t>تأسست مجموعة مراقبة الجودة "الجودة والحيوية الجديدتان" في فبراير 2025، وتضم أعضاءً من فريق مشروع العراق التابع لمركز تنفيذ الأعمال الخارجية. تتألف المجموعة من 9 أعضاء، بقيادة قائد واحد. تتخذ المجموعة مفهوم "الإنتاجية عالية الجودة الجديدة" محوراً أساسياً لها، مع التركيز على تعزيز تحسين الجودة والابتكار من خلال التقنيات والأساليب والمفاهيم الحديثة. تتبع أنشطة المجموعة دورة التخطيط والتنفيذ والتحقق والعمل (PDCA)، مع التركيز على اتخاذ القرارات العلمية القائمة على البيانات، وتعزيز التنمية عالية الجودة للمؤسسة من خلال تماسك الفريق وإبداعه. نظراً لانخفاض كفاءة معالجة النفط الخام في منطقة المعالجة المركزية لحقل ميسان النفطي عن المتوقع، كان تركيز مزيل الاستحلاب الفعلي أعلى من تركيزه في المرحلة التجريبية، مما أدى إلى زيادة استهلاك مزيل الاستحلاب وبالتالي ارتفاع تكاليف إنتاج النفط بالبرميل. ولمعالجة هذه المشكلة، تم إنشاء مجموعة مراقبة الجودة هذه لتحسين تركيز مزيل الاستحلاب في منطقة المعالجة المركزية، وخفض استهلاكه، وبالتالي التحكم بفعالية في تكاليف إنتاج النفط بالبرميل. يوضح الجدول أدناه تكوين فريق المشروع:</w:t>
      </w:r>
      <w:bookmarkEnd w:id="3"/>
    </w:p>
    <w:p w14:paraId="4D38E27A">
      <w:pPr>
        <w:pStyle w:val="49"/>
        <w:rPr>
          <w:rFonts w:hint="eastAsia" w:ascii="宋体" w:hAnsi="宋体" w:eastAsia="宋体" w:cs="宋体"/>
          <w:color w:val="auto"/>
          <w:sz w:val="21"/>
          <w:szCs w:val="20"/>
          <w:highlight w:val="none"/>
          <w:rtl/>
        </w:rPr>
        <w:bidi/>
      </w:pPr>
      <w:bookmarkStart w:id="5" w:name="OLE_LINK7"/>
      <w:r>
        <w:rPr>
          <w:rFonts w:hint="eastAsia" w:ascii="宋体" w:hAnsi="宋体" w:eastAsia="宋体" w:cs="宋体"/>
          <w:color w:val="auto"/>
          <w:sz w:val="21"/>
          <w:szCs w:val="20"/>
          <w:highlight w:val="none"/>
          <w:rtl/>
        </w:rPr>
        <w:t>الجدول 1-1: نظرة عامة على مجموعات مراقبة الجودة</w:t>
      </w:r>
      <w:bookmarkEnd w:id="5"/>
    </w:p>
    <w:tbl>
      <w:tblPr>
        <w:tblStyle w:val="45"/>
        <w:tblW w:w="90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3"/>
        <w:gridCol w:w="1335"/>
        <w:gridCol w:w="2417"/>
        <w:gridCol w:w="1056"/>
        <w:gridCol w:w="2987"/>
      </w:tblGrid>
      <w:tr w14:paraId="3F73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303" w:type="dxa"/>
            <w:vAlign w:val="center"/>
          </w:tcPr>
          <w:p w14:paraId="3158DE6C">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اسم المجموعة</w:t>
            </w:r>
          </w:p>
        </w:tc>
        <w:tc>
          <w:tcPr>
            <w:tcW w:w="3752" w:type="dxa"/>
            <w:gridSpan w:val="2"/>
            <w:vAlign w:val="center"/>
          </w:tcPr>
          <w:p w14:paraId="47BA906A">
            <w:pPr>
              <w:pStyle w:val="49"/>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حيوية جديدة</w:t>
            </w:r>
          </w:p>
        </w:tc>
        <w:tc>
          <w:tcPr>
            <w:tcW w:w="1056" w:type="dxa"/>
            <w:vAlign w:val="center"/>
          </w:tcPr>
          <w:p w14:paraId="743EF8B7">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رقم التسجيل</w:t>
            </w:r>
          </w:p>
        </w:tc>
        <w:tc>
          <w:tcPr>
            <w:tcW w:w="2987" w:type="dxa"/>
            <w:vAlign w:val="center"/>
          </w:tcPr>
          <w:p w14:paraId="1B72BEEE">
            <w:pPr>
              <w:pStyle w:val="49"/>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CNOOC-QC-2025-0671-HYFZH-0358</w:t>
            </w:r>
          </w:p>
        </w:tc>
      </w:tr>
      <w:tr w14:paraId="5F566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303" w:type="dxa"/>
            <w:vAlign w:val="center"/>
          </w:tcPr>
          <w:p w14:paraId="0246EB45">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عنوان المشروع</w:t>
            </w:r>
          </w:p>
        </w:tc>
        <w:tc>
          <w:tcPr>
            <w:tcW w:w="3752" w:type="dxa"/>
            <w:gridSpan w:val="2"/>
            <w:vAlign w:val="center"/>
          </w:tcPr>
          <w:p w14:paraId="7E157CB2">
            <w:pPr>
              <w:pStyle w:val="49"/>
              <w:rPr>
                <w:rFonts w:hint="eastAsia" w:ascii="宋体" w:hAnsi="宋体" w:eastAsia="宋体" w:cs="宋体"/>
                <w:color w:val="auto"/>
                <w:kern w:val="0"/>
                <w:highlight w:val="none"/>
                <w:lang w:eastAsia="zh-CN"/>
                <w:rtl/>
              </w:rPr>
              <w:bidi/>
            </w:pPr>
            <w:r>
              <w:rPr>
                <w:rFonts w:hint="eastAsia" w:ascii="宋体" w:hAnsi="宋体" w:eastAsia="宋体" w:cs="宋体"/>
                <w:color w:val="auto"/>
                <w:sz w:val="24"/>
                <w:szCs w:val="24"/>
                <w:highlight w:val="none"/>
                <w:rtl/>
              </w:rPr>
              <w:t>قلل تركيز مزيل الاستحلاب المحقون في منطقة المعالجة المركزية</w:t>
            </w:r>
          </w:p>
        </w:tc>
        <w:tc>
          <w:tcPr>
            <w:tcW w:w="1056" w:type="dxa"/>
            <w:vAlign w:val="center"/>
          </w:tcPr>
          <w:p w14:paraId="54730BA4">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وقت التأسيس</w:t>
            </w:r>
          </w:p>
        </w:tc>
        <w:tc>
          <w:tcPr>
            <w:tcW w:w="2987" w:type="dxa"/>
            <w:vAlign w:val="center"/>
          </w:tcPr>
          <w:p w14:paraId="239FE14B">
            <w:pPr>
              <w:pStyle w:val="49"/>
              <w:rPr>
                <w:rFonts w:hint="eastAsia" w:ascii="宋体" w:hAnsi="宋体" w:eastAsia="宋体" w:cs="宋体"/>
                <w:color w:val="auto"/>
                <w:kern w:val="0"/>
                <w:highlight w:val="none"/>
                <w:rtl/>
              </w:rPr>
              <w:bidi/>
            </w:pPr>
            <w:bookmarkStart w:id="6" w:name="OLE_LINK61"/>
            <w:r>
              <w:rPr>
                <w:rFonts w:hint="eastAsia" w:ascii="宋体" w:hAnsi="宋体" w:eastAsia="宋体" w:cs="宋体"/>
                <w:color w:val="auto"/>
                <w:kern w:val="0"/>
                <w:highlight w:val="none"/>
                <w:rtl/>
              </w:rPr>
              <w:t>10 فبراير 2025</w:t>
            </w:r>
            <w:bookmarkEnd w:id="6"/>
          </w:p>
        </w:tc>
      </w:tr>
      <w:tr w14:paraId="689C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303" w:type="dxa"/>
            <w:vAlign w:val="center"/>
          </w:tcPr>
          <w:p w14:paraId="33D729B2">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أنواع المواضيع</w:t>
            </w:r>
          </w:p>
        </w:tc>
        <w:tc>
          <w:tcPr>
            <w:tcW w:w="3752" w:type="dxa"/>
            <w:gridSpan w:val="2"/>
            <w:vAlign w:val="center"/>
          </w:tcPr>
          <w:p w14:paraId="24C5D94C">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حل المشكلات</w:t>
            </w:r>
          </w:p>
        </w:tc>
        <w:tc>
          <w:tcPr>
            <w:tcW w:w="1056" w:type="dxa"/>
            <w:vAlign w:val="center"/>
          </w:tcPr>
          <w:p w14:paraId="1AECB75E">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الوقت</w:t>
            </w:r>
          </w:p>
        </w:tc>
        <w:tc>
          <w:tcPr>
            <w:tcW w:w="2987" w:type="dxa"/>
            <w:vAlign w:val="center"/>
          </w:tcPr>
          <w:p w14:paraId="5B774B35">
            <w:pPr>
              <w:pStyle w:val="49"/>
              <w:rPr>
                <w:rFonts w:hint="eastAsia" w:ascii="宋体" w:hAnsi="宋体" w:eastAsia="宋体" w:cs="宋体"/>
                <w:color w:val="auto"/>
                <w:kern w:val="0"/>
                <w:highlight w:val="none"/>
                <w:rtl/>
              </w:rPr>
              <w:bidi/>
            </w:pPr>
            <w:bookmarkStart w:id="7" w:name="OLE_LINK74"/>
            <w:r>
              <w:rPr>
                <w:rFonts w:hint="eastAsia" w:ascii="宋体" w:hAnsi="宋体" w:eastAsia="宋体" w:cs="宋体"/>
                <w:color w:val="auto"/>
                <w:kern w:val="0"/>
                <w:highlight w:val="none"/>
                <w:rtl/>
              </w:rPr>
              <w:t>من فبراير 2025 إلى أغسطس 2025</w:t>
            </w:r>
            <w:bookmarkEnd w:id="7"/>
          </w:p>
        </w:tc>
      </w:tr>
      <w:tr w14:paraId="127A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1303" w:type="dxa"/>
            <w:tcBorders>
              <w:bottom w:val="single" w:color="auto" w:sz="12" w:space="0"/>
            </w:tcBorders>
            <w:vAlign w:val="center"/>
          </w:tcPr>
          <w:p w14:paraId="34AD1DF3">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حجم المجموعة</w:t>
            </w:r>
          </w:p>
        </w:tc>
        <w:tc>
          <w:tcPr>
            <w:tcW w:w="3752" w:type="dxa"/>
            <w:gridSpan w:val="2"/>
            <w:tcBorders>
              <w:bottom w:val="single" w:color="auto" w:sz="12" w:space="0"/>
            </w:tcBorders>
            <w:vAlign w:val="center"/>
          </w:tcPr>
          <w:p w14:paraId="20C78A40">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lang w:val="en-US" w:eastAsia="zh-CN"/>
                <w:rtl/>
              </w:rPr>
              <w:t>9 أشخاص</w:t>
            </w:r>
          </w:p>
        </w:tc>
        <w:tc>
          <w:tcPr>
            <w:tcW w:w="1056" w:type="dxa"/>
            <w:tcBorders>
              <w:bottom w:val="single" w:color="auto" w:sz="12" w:space="0"/>
            </w:tcBorders>
            <w:vAlign w:val="center"/>
          </w:tcPr>
          <w:p w14:paraId="08F6AEF5">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عدد الأحداث في ذلك العام</w:t>
            </w:r>
          </w:p>
        </w:tc>
        <w:tc>
          <w:tcPr>
            <w:tcW w:w="2987" w:type="dxa"/>
            <w:tcBorders>
              <w:bottom w:val="single" w:color="auto" w:sz="12" w:space="0"/>
            </w:tcBorders>
            <w:vAlign w:val="center"/>
          </w:tcPr>
          <w:p w14:paraId="5AFF2685">
            <w:pPr>
              <w:pStyle w:val="49"/>
              <w:rPr>
                <w:rFonts w:hint="eastAsia" w:ascii="宋体" w:hAnsi="宋体" w:eastAsia="宋体" w:cs="宋体"/>
                <w:color w:val="auto"/>
                <w:kern w:val="0"/>
                <w:highlight w:val="none"/>
                <w:lang w:val="en-US" w:eastAsia="zh-CN"/>
                <w:rtl/>
              </w:rPr>
              <w:bidi/>
            </w:pPr>
            <w:r>
              <w:rPr>
                <w:rFonts w:hint="eastAsia" w:ascii="宋体" w:hAnsi="宋体" w:eastAsia="宋体" w:cs="宋体"/>
                <w:color w:val="auto"/>
                <w:kern w:val="0"/>
                <w:highlight w:val="none"/>
                <w:shd w:val="clear"/>
                <w:lang w:val="en-US" w:eastAsia="zh-CN"/>
                <w:rtl/>
              </w:rPr>
              <w:t>12</w:t>
            </w:r>
          </w:p>
        </w:tc>
      </w:tr>
      <w:tr w14:paraId="54D9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303" w:type="dxa"/>
            <w:tcBorders>
              <w:top w:val="single" w:color="auto" w:sz="12" w:space="0"/>
            </w:tcBorders>
            <w:vAlign w:val="center"/>
          </w:tcPr>
          <w:p w14:paraId="15E2C1C0">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رقم سري</w:t>
            </w:r>
          </w:p>
        </w:tc>
        <w:tc>
          <w:tcPr>
            <w:tcW w:w="1335" w:type="dxa"/>
            <w:tcBorders>
              <w:top w:val="single" w:color="auto" w:sz="12" w:space="0"/>
            </w:tcBorders>
            <w:vAlign w:val="center"/>
          </w:tcPr>
          <w:p w14:paraId="7C11EBEF">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اسم</w:t>
            </w:r>
          </w:p>
        </w:tc>
        <w:tc>
          <w:tcPr>
            <w:tcW w:w="2417" w:type="dxa"/>
            <w:tcBorders>
              <w:top w:val="single" w:color="auto" w:sz="12" w:space="0"/>
            </w:tcBorders>
            <w:vAlign w:val="center"/>
          </w:tcPr>
          <w:p w14:paraId="055EC99B">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وظيفة</w:t>
            </w:r>
          </w:p>
        </w:tc>
        <w:tc>
          <w:tcPr>
            <w:tcW w:w="4043" w:type="dxa"/>
            <w:gridSpan w:val="2"/>
            <w:tcBorders>
              <w:top w:val="single" w:color="auto" w:sz="12" w:space="0"/>
            </w:tcBorders>
            <w:vAlign w:val="center"/>
          </w:tcPr>
          <w:p w14:paraId="64F533AD">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تقسيم العمل داخل المجموعة</w:t>
            </w:r>
          </w:p>
        </w:tc>
      </w:tr>
      <w:tr w14:paraId="5E6A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49EA2FF5">
            <w:pPr>
              <w:pStyle w:val="49"/>
              <w:rPr>
                <w:rFonts w:hint="eastAsia" w:ascii="宋体" w:hAnsi="宋体" w:eastAsia="宋体" w:cs="宋体"/>
                <w:color w:val="auto"/>
                <w:kern w:val="0"/>
                <w:highlight w:val="none"/>
                <w:rtl/>
              </w:rPr>
              <w:bidi/>
            </w:pPr>
            <w:bookmarkStart w:id="8" w:name="OLE_LINK51" w:colFirst="0" w:colLast="3"/>
            <w:bookmarkStart w:id="9" w:name="OLE_LINK59" w:colFirst="1" w:colLast="1"/>
            <w:r>
              <w:rPr>
                <w:rFonts w:hint="eastAsia" w:ascii="宋体" w:hAnsi="宋体" w:eastAsia="宋体" w:cs="宋体"/>
                <w:color w:val="auto"/>
                <w:kern w:val="0"/>
                <w:highlight w:val="none"/>
                <w:rtl/>
              </w:rPr>
              <w:t>1</w:t>
            </w:r>
          </w:p>
        </w:tc>
        <w:tc>
          <w:tcPr>
            <w:tcW w:w="1335" w:type="dxa"/>
            <w:vAlign w:val="center"/>
          </w:tcPr>
          <w:p w14:paraId="5FDCB1B5">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لي بيتشو</w:t>
            </w:r>
          </w:p>
        </w:tc>
        <w:tc>
          <w:tcPr>
            <w:tcW w:w="2417" w:type="dxa"/>
            <w:vAlign w:val="center"/>
          </w:tcPr>
          <w:p w14:paraId="2C66E6B3">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قائد الفريق</w:t>
            </w:r>
          </w:p>
        </w:tc>
        <w:tc>
          <w:tcPr>
            <w:tcW w:w="4043" w:type="dxa"/>
            <w:gridSpan w:val="2"/>
            <w:vAlign w:val="center"/>
          </w:tcPr>
          <w:p w14:paraId="057AF5C8">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التنظيم والتنسيق، تخطيط البرامج</w:t>
            </w:r>
          </w:p>
        </w:tc>
      </w:tr>
      <w:tr w14:paraId="5E818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2C23EB51">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2</w:t>
            </w:r>
          </w:p>
        </w:tc>
        <w:tc>
          <w:tcPr>
            <w:tcW w:w="1335" w:type="dxa"/>
            <w:vAlign w:val="center"/>
          </w:tcPr>
          <w:p w14:paraId="5C5958B9">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لو شاوبو</w:t>
            </w:r>
          </w:p>
        </w:tc>
        <w:tc>
          <w:tcPr>
            <w:tcW w:w="2417" w:type="dxa"/>
            <w:vAlign w:val="center"/>
          </w:tcPr>
          <w:p w14:paraId="5C827E21">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11B41055">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جمع البيانات وتحليلها</w:t>
            </w:r>
          </w:p>
        </w:tc>
      </w:tr>
      <w:tr w14:paraId="2D16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71B984EB">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3</w:t>
            </w:r>
          </w:p>
        </w:tc>
        <w:tc>
          <w:tcPr>
            <w:tcW w:w="1335" w:type="dxa"/>
            <w:vAlign w:val="center"/>
          </w:tcPr>
          <w:p w14:paraId="582DFFFC">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ليو شياو قوانغ</w:t>
            </w:r>
          </w:p>
        </w:tc>
        <w:tc>
          <w:tcPr>
            <w:tcW w:w="2417" w:type="dxa"/>
            <w:vAlign w:val="center"/>
          </w:tcPr>
          <w:p w14:paraId="1756CA05">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68E9B27D">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جمع البيانات وتحليلها</w:t>
            </w:r>
          </w:p>
        </w:tc>
      </w:tr>
      <w:tr w14:paraId="0BD97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63A2575C">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4</w:t>
            </w:r>
          </w:p>
        </w:tc>
        <w:tc>
          <w:tcPr>
            <w:tcW w:w="1335" w:type="dxa"/>
            <w:vAlign w:val="center"/>
          </w:tcPr>
          <w:p w14:paraId="2D04A323">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نيو يانمينغ</w:t>
            </w:r>
          </w:p>
        </w:tc>
        <w:tc>
          <w:tcPr>
            <w:tcW w:w="2417" w:type="dxa"/>
            <w:vAlign w:val="center"/>
          </w:tcPr>
          <w:p w14:paraId="2344E8B6">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4A7F1C25">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إحصاءات البيانات، تجميع البيانات</w:t>
            </w:r>
          </w:p>
        </w:tc>
      </w:tr>
      <w:tr w14:paraId="10FAB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05F4AF5C">
            <w:pPr>
              <w:pStyle w:val="49"/>
              <w:rPr>
                <w:rFonts w:hint="eastAsia" w:ascii="宋体" w:hAnsi="宋体" w:eastAsia="宋体" w:cs="宋体"/>
                <w:color w:val="auto"/>
                <w:kern w:val="0"/>
                <w:highlight w:val="none"/>
                <w:rtl/>
              </w:rPr>
              <w:bidi/>
            </w:pPr>
            <w:bookmarkStart w:id="10" w:name="OLE_LINK4" w:colFirst="1" w:colLast="3"/>
            <w:r>
              <w:rPr>
                <w:rFonts w:hint="eastAsia" w:ascii="宋体" w:hAnsi="宋体" w:eastAsia="宋体" w:cs="宋体"/>
                <w:color w:val="auto"/>
                <w:kern w:val="0"/>
                <w:highlight w:val="none"/>
                <w:rtl/>
              </w:rPr>
              <w:t>5</w:t>
            </w:r>
          </w:p>
        </w:tc>
        <w:tc>
          <w:tcPr>
            <w:tcW w:w="1335" w:type="dxa"/>
            <w:vAlign w:val="center"/>
          </w:tcPr>
          <w:p w14:paraId="42B54B72">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lang w:val="en-US" w:eastAsia="zh-CN"/>
                <w:rtl/>
              </w:rPr>
              <w:t>لي جانج</w:t>
            </w:r>
          </w:p>
        </w:tc>
        <w:tc>
          <w:tcPr>
            <w:tcW w:w="2417" w:type="dxa"/>
            <w:vAlign w:val="center"/>
          </w:tcPr>
          <w:p w14:paraId="33280A88">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2AAE4D44">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إحصاءات البيانات، تجميع البيانات</w:t>
            </w:r>
          </w:p>
        </w:tc>
      </w:tr>
      <w:bookmarkEnd w:id="10"/>
      <w:tr w14:paraId="288D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27F1F92D">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6</w:t>
            </w:r>
          </w:p>
        </w:tc>
        <w:tc>
          <w:tcPr>
            <w:tcW w:w="1335" w:type="dxa"/>
            <w:vAlign w:val="center"/>
          </w:tcPr>
          <w:p w14:paraId="33347C75">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تشانغ شيويه تشنغ</w:t>
            </w:r>
          </w:p>
        </w:tc>
        <w:tc>
          <w:tcPr>
            <w:tcW w:w="2417" w:type="dxa"/>
            <w:vAlign w:val="center"/>
          </w:tcPr>
          <w:p w14:paraId="3C201827">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3889AC3F">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جمع البيانات وتحليلها</w:t>
            </w:r>
          </w:p>
        </w:tc>
      </w:tr>
      <w:tr w14:paraId="2D17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48807AD7">
            <w:pPr>
              <w:pStyle w:val="49"/>
              <w:rPr>
                <w:rFonts w:hint="eastAsia" w:ascii="宋体" w:hAnsi="宋体" w:eastAsia="宋体" w:cs="宋体"/>
                <w:color w:val="auto"/>
                <w:kern w:val="0"/>
                <w:highlight w:val="none"/>
                <w:rtl/>
              </w:rPr>
              <w:bidi/>
            </w:pPr>
            <w:bookmarkStart w:id="11" w:name="OLE_LINK6"/>
            <w:r>
              <w:rPr>
                <w:rFonts w:hint="eastAsia" w:ascii="宋体" w:hAnsi="宋体" w:eastAsia="宋体" w:cs="宋体"/>
                <w:color w:val="auto"/>
                <w:kern w:val="0"/>
                <w:highlight w:val="none"/>
                <w:rtl/>
              </w:rPr>
              <w:t>7</w:t>
            </w:r>
          </w:p>
        </w:tc>
        <w:tc>
          <w:tcPr>
            <w:tcW w:w="1335" w:type="dxa"/>
            <w:vAlign w:val="center"/>
          </w:tcPr>
          <w:p w14:paraId="6F81A8D7">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تشانغ هاو</w:t>
            </w:r>
          </w:p>
        </w:tc>
        <w:tc>
          <w:tcPr>
            <w:tcW w:w="2417" w:type="dxa"/>
            <w:vAlign w:val="center"/>
          </w:tcPr>
          <w:p w14:paraId="47677FED">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6A23CEF1">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إحصاءات البيانات، تجميع البيانات</w:t>
            </w:r>
          </w:p>
        </w:tc>
      </w:tr>
      <w:tr w14:paraId="3B70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7B7052E9">
            <w:pPr>
              <w:pStyle w:val="49"/>
              <w:rPr>
                <w:rFonts w:hint="eastAsia" w:ascii="宋体" w:hAnsi="宋体" w:eastAsia="宋体" w:cs="宋体"/>
                <w:color w:val="auto"/>
                <w:kern w:val="0"/>
                <w:highlight w:val="none"/>
                <w:rtl/>
              </w:rPr>
              <w:bidi/>
            </w:pPr>
            <w:r>
              <w:rPr>
                <w:rFonts w:hint="eastAsia" w:ascii="宋体" w:hAnsi="宋体" w:eastAsia="宋体" w:cs="宋体"/>
                <w:color w:val="auto"/>
                <w:kern w:val="0"/>
                <w:highlight w:val="none"/>
                <w:rtl/>
              </w:rPr>
              <w:t>8</w:t>
            </w:r>
          </w:p>
        </w:tc>
        <w:tc>
          <w:tcPr>
            <w:tcW w:w="1335" w:type="dxa"/>
            <w:vAlign w:val="center"/>
          </w:tcPr>
          <w:p w14:paraId="5EC87C7D">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جينغ يوباو</w:t>
            </w:r>
          </w:p>
        </w:tc>
        <w:tc>
          <w:tcPr>
            <w:tcW w:w="2417" w:type="dxa"/>
            <w:vAlign w:val="center"/>
          </w:tcPr>
          <w:p w14:paraId="3D13BDC6">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7F0D583F">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جمع البيانات وتحليلها</w:t>
            </w:r>
          </w:p>
        </w:tc>
      </w:tr>
      <w:tr w14:paraId="75B0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1303" w:type="dxa"/>
            <w:vAlign w:val="center"/>
          </w:tcPr>
          <w:p w14:paraId="0A0D6F7F">
            <w:pPr>
              <w:pStyle w:val="49"/>
              <w:rPr>
                <w:rFonts w:hint="eastAsia" w:ascii="宋体" w:hAnsi="宋体" w:eastAsia="宋体" w:cs="宋体"/>
                <w:color w:val="auto"/>
                <w:kern w:val="0"/>
                <w:highlight w:val="none"/>
                <w:lang w:val="en-US" w:eastAsia="zh-CN"/>
                <w:rtl/>
              </w:rPr>
              <w:bidi/>
            </w:pPr>
            <w:r>
              <w:rPr>
                <w:rFonts w:hint="eastAsia" w:ascii="宋体" w:hAnsi="宋体" w:eastAsia="宋体" w:cs="宋体"/>
                <w:color w:val="auto"/>
                <w:kern w:val="0"/>
                <w:highlight w:val="none"/>
                <w:lang w:val="en-US" w:eastAsia="zh-CN"/>
                <w:rtl/>
              </w:rPr>
              <w:t>9</w:t>
            </w:r>
          </w:p>
        </w:tc>
        <w:tc>
          <w:tcPr>
            <w:tcW w:w="1335" w:type="dxa"/>
            <w:vAlign w:val="center"/>
          </w:tcPr>
          <w:p w14:paraId="03459831">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تشن ليغوانغ</w:t>
            </w:r>
          </w:p>
        </w:tc>
        <w:tc>
          <w:tcPr>
            <w:tcW w:w="2417" w:type="dxa"/>
            <w:vAlign w:val="center"/>
          </w:tcPr>
          <w:p w14:paraId="202EE0A3">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أعضاء المجموعة</w:t>
            </w:r>
          </w:p>
        </w:tc>
        <w:tc>
          <w:tcPr>
            <w:tcW w:w="4043" w:type="dxa"/>
            <w:gridSpan w:val="2"/>
            <w:vAlign w:val="center"/>
          </w:tcPr>
          <w:p w14:paraId="3470E164">
            <w:pPr>
              <w:spacing w:line="360" w:lineRule="exact"/>
              <w:jc w:val="center"/>
              <w:rPr>
                <w:rFonts w:hint="eastAsia" w:ascii="宋体" w:hAnsi="宋体" w:eastAsia="宋体" w:cs="宋体"/>
                <w:color w:val="auto"/>
                <w:kern w:val="0"/>
                <w:highlight w:val="none"/>
                <w:rtl/>
              </w:rPr>
              <w:bidi/>
            </w:pPr>
            <w:r>
              <w:rPr>
                <w:rFonts w:hint="eastAsia" w:ascii="宋体" w:hAnsi="宋体" w:eastAsia="宋体" w:cs="宋体"/>
                <w:color w:val="auto"/>
                <w:sz w:val="24"/>
                <w:szCs w:val="24"/>
                <w:highlight w:val="none"/>
                <w:rtl/>
              </w:rPr>
              <w:t>إحصاءات البيانات، تجميع البيانات</w:t>
            </w:r>
          </w:p>
        </w:tc>
      </w:tr>
      <w:bookmarkEnd w:id="8"/>
      <w:bookmarkEnd w:id="9"/>
    </w:tbl>
    <w:p w14:paraId="785C7361">
      <w:pPr>
        <w:pStyle w:val="49"/>
        <w:rPr>
          <w:rFonts w:hint="eastAsia" w:ascii="宋体" w:hAnsi="宋体" w:eastAsia="宋体" w:cs="宋体"/>
          <w:color w:val="auto"/>
          <w:sz w:val="21"/>
          <w:szCs w:val="20"/>
          <w:highlight w:val="none"/>
          <w:lang w:eastAsia="zh-CN"/>
          <w:rtl/>
        </w:rPr>
        <w:bidi/>
      </w:pPr>
      <w:r>
        <w:rPr>
          <w:rFonts w:hint="eastAsia" w:ascii="宋体" w:hAnsi="宋体" w:eastAsia="宋体" w:cs="宋体"/>
          <w:color w:val="auto"/>
          <w:sz w:val="21"/>
          <w:szCs w:val="20"/>
          <w:highlight w:val="none"/>
          <w:rtl/>
        </w:rPr>
        <w:t>إعداد: ليو شياو غوانغ، التاريخ: 1 مارس 2025، مراجعة: لي بي تشو</w:t>
      </w:r>
      <w:bookmarkEnd w:id="11"/>
    </w:p>
    <w:p w14:paraId="75C54956">
      <w:pPr>
        <w:pStyle w:val="3"/>
        <w:numPr>
          <w:ilvl w:val="0"/>
          <w:numId w:val="1"/>
        </w:numPr>
        <w:ind w:left="210" w:leftChars="0" w:firstLine="420" w:firstLineChars="0"/>
        <w:rPr>
          <w:rFonts w:hint="eastAsia" w:ascii="宋体" w:hAnsi="宋体" w:eastAsia="宋体" w:cs="宋体"/>
          <w:rtl/>
        </w:rPr>
      </w:pPr>
      <w:bookmarkStart w:id="12" w:name="_Toc29140"/>
      <w:r>
        <w:rPr>
          <w:rFonts w:hint="eastAsia" w:ascii="宋体" w:hAnsi="宋体" w:eastAsia="宋体" w:cs="宋体"/>
          <w:rtl/>
        </w:rPr>
        <w:t>اختيار موضوع</w:t>
      </w:r>
      <w:bookmarkEnd w:id="12"/>
    </w:p>
    <w:p w14:paraId="0F2A7066">
      <w:pPr>
        <w:pStyle w:val="9"/>
        <w:ind w:firstLine="0" w:firstLineChars="0"/>
        <w:jc w:val="left"/>
        <w:rPr>
          <w:rFonts w:hint="eastAsia" w:ascii="宋体" w:hAnsi="宋体" w:eastAsia="宋体" w:cs="宋体"/>
          <w:b w:val="0"/>
          <w:bCs w:val="0"/>
          <w:sz w:val="24"/>
          <w:szCs w:val="24"/>
          <w:highlight w:val="none"/>
          <w:rtl/>
        </w:rPr>
        <w:bidi/>
      </w:pPr>
      <w:r>
        <w:rPr>
          <w:rFonts w:hint="eastAsia" w:ascii="宋体" w:hAnsi="宋体" w:eastAsia="宋体" w:cs="宋体"/>
          <w:color w:val="auto"/>
          <w:highlight w:val="none"/>
          <w:lang w:eastAsia="zh-CN"/>
          <w:rtl/>
        </w:rPr>
        <w:t>التعريف: تركيز مزيل الاستحلاب (جزء في المليون)</w:t>
      </w:r>
      <w:r>
        <w:rPr>
          <w:rFonts w:hint="eastAsia" w:ascii="宋体" w:hAnsi="宋体" w:eastAsia="宋体" w:cs="宋体"/>
          <w:b w:val="0"/>
          <w:bCs w:val="0"/>
          <w:sz w:val="24"/>
          <w:szCs w:val="24"/>
          <w:highlight w:val="none"/>
          <w:rtl/>
        </w:rPr>
        <w:t xml:space="preserve">يُستخدم هذا المقياس عادةً في عمليات فصل الزيت عن الماء أو عمليات التجفيف، ويشير إلى كمية مزيل الاستحلاب المضافة إلى حجم معين من النفط الخام. ويُعبّر عنه عادةً بوحدة جزء في المليون (ppm).</w:t>
      </w:r>
    </w:p>
    <w:p w14:paraId="786CF84E">
      <w:pPr>
        <w:pStyle w:val="9"/>
        <w:ind w:firstLine="0" w:firstLineChars="0"/>
        <w:jc w:val="left"/>
        <w:rPr>
          <w:rFonts w:hint="eastAsia" w:ascii="宋体" w:hAnsi="宋体" w:eastAsia="宋体" w:cs="宋体"/>
          <w:b/>
          <w:bCs/>
          <w:sz w:val="24"/>
          <w:szCs w:val="24"/>
          <w:highlight w:val="none"/>
          <w:rtl/>
        </w:rPr>
        <w:bidi/>
      </w:pPr>
      <w:r>
        <w:rPr>
          <w:rFonts w:hint="eastAsia" w:ascii="宋体" w:hAnsi="宋体" w:eastAsia="宋体" w:cs="宋体"/>
          <w:b/>
          <w:bCs/>
          <w:sz w:val="24"/>
          <w:szCs w:val="24"/>
          <w:highlight w:val="none"/>
          <w:rtl/>
        </w:rPr>
        <w:t>الصيغة القياسية لتركيز مزيل الاستحلاب (جزء في المليون):</w:t>
      </w:r>
    </w:p>
    <w:p w14:paraId="472367F3">
      <w:pPr>
        <w:pStyle w:val="9"/>
        <w:ind w:firstLine="0" w:firstLineChars="0"/>
        <w:jc w:val="left"/>
        <w:rPr>
          <w:rFonts w:hint="eastAsia" w:ascii="宋体" w:hAnsi="宋体" w:eastAsia="宋体" w:cs="宋体"/>
          <w:b/>
          <w:bCs/>
          <w:sz w:val="24"/>
          <w:szCs w:val="24"/>
          <w:highlight w:val="none"/>
          <w:lang w:val="en-US" w:eastAsia="zh-CN"/>
          <w:rtl/>
        </w:rPr>
        <w:bidi/>
      </w:pPr>
      <w:r>
        <w:rPr>
          <w:rFonts w:hint="eastAsia" w:ascii="宋体" w:hAnsi="宋体" w:eastAsia="宋体" w:cs="宋体"/>
          <w:highlight w:val="none"/>
          <w:lang w:val="en-US" w:eastAsia="zh-CN"/>
          <w:rtl/>
        </w:rPr>
        <w:t xml:space="preserve">                 </w:t>
      </w:r>
      <w:r>
        <w:rPr>
          <w:rFonts w:hint="eastAsia" w:ascii="宋体" w:hAnsi="宋体" w:eastAsia="宋体" w:cs="宋体"/>
          <w:highlight w:val="none"/>
          <w:rtl/>
        </w:rPr>
        <w:drawing>
          <wp:inline distT="0" distB="0" distL="114300" distR="114300">
            <wp:extent cx="3298825" cy="485775"/>
            <wp:effectExtent l="0" t="0" r="15875" b="952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3298825" cy="485775"/>
                    </a:xfrm>
                    <a:prstGeom prst="rect">
                      <a:avLst/>
                    </a:prstGeom>
                    <a:noFill/>
                    <a:ln>
                      <a:noFill/>
                    </a:ln>
                  </pic:spPr>
                </pic:pic>
              </a:graphicData>
            </a:graphic>
          </wp:inline>
        </w:drawing>
      </w:r>
    </w:p>
    <w:p w14:paraId="415D4627">
      <w:pPr>
        <w:pStyle w:val="9"/>
        <w:numPr>
          <w:ilvl w:val="0"/>
          <w:numId w:val="2"/>
        </w:numPr>
        <w:rPr>
          <w:rFonts w:hint="eastAsia" w:ascii="宋体" w:hAnsi="宋体" w:eastAsia="宋体" w:cs="宋体"/>
          <w:color w:val="auto"/>
          <w:highlight w:val="none"/>
          <w:lang w:eastAsia="zh-CN"/>
          <w:rtl/>
        </w:rPr>
        <w:bidi/>
      </w:pPr>
      <w:r>
        <w:rPr>
          <w:rFonts w:hint="eastAsia" w:ascii="宋体" w:hAnsi="宋体" w:eastAsia="宋体" w:cs="宋体"/>
          <w:color w:val="auto"/>
          <w:highlight w:val="none"/>
          <w:lang w:eastAsia="zh-CN"/>
          <w:rtl/>
        </w:rPr>
        <w:t>وفقًا لمتطلبات الجرعات السنوية لمزيل الاستحلاب في منطقة المعالجة المركزية، بدءًا من أبريل 2025، يجب ألا يتجاوز متوسط ​​تركيز الجرعات السنوية لمزيل الاستحلاب 250 جزءًا في المليون.</w:t>
      </w:r>
    </w:p>
    <w:p w14:paraId="1473F725">
      <w:pPr>
        <w:pStyle w:val="9"/>
        <w:numPr>
          <w:ilvl w:val="0"/>
          <w:numId w:val="2"/>
        </w:numPr>
        <w:rPr>
          <w:rFonts w:hint="eastAsia" w:ascii="宋体" w:hAnsi="宋体" w:eastAsia="宋体" w:cs="宋体"/>
          <w:color w:val="auto"/>
          <w:highlight w:val="none"/>
          <w:lang w:eastAsia="zh-CN"/>
          <w:rtl/>
        </w:rPr>
        <w:bidi/>
      </w:pPr>
      <w:r>
        <w:rPr>
          <w:rFonts w:hint="eastAsia" w:ascii="宋体" w:hAnsi="宋体" w:eastAsia="宋体" w:cs="宋体"/>
          <w:color w:val="auto"/>
          <w:highlight w:val="none"/>
          <w:lang w:val="en-US" w:eastAsia="zh-CN"/>
          <w:rtl/>
        </w:rPr>
        <w:t>تشير الإحصائيات إلى أن تركيز مادة إزالة الاستحلاب المضافة إلى منطقة المعالجة المركزية تجاوز 250 جزءًا في المليون خلال العام الماضي (يناير 2024 - يناير 2025). وقد تجاوز التركيز المضاف 300 جزء في المليون لأربعة أشهر متتالية من يوليو إلى أكتوبر 2024، وبلغ التركيز المضاف في يناير 2025 ما مقداره 311 جزءًا في المليون.</w:t>
      </w:r>
    </w:p>
    <w:p w14:paraId="0B96B7A1">
      <w:pPr>
        <w:pStyle w:val="49"/>
        <w:snapToGrid w:val="0"/>
        <w:rPr>
          <w:rFonts w:hint="eastAsia" w:ascii="宋体" w:hAnsi="宋体" w:eastAsia="宋体" w:cs="宋体"/>
          <w:color w:val="auto"/>
          <w:sz w:val="21"/>
          <w:szCs w:val="20"/>
          <w:highlight w:val="none"/>
          <w:rtl/>
        </w:rPr>
        <w:bidi/>
      </w:pPr>
      <w:r>
        <w:rPr>
          <w:rFonts w:hint="eastAsia" w:ascii="宋体" w:hAnsi="宋体" w:eastAsia="宋体" w:cs="宋体"/>
          <w:color w:val="auto"/>
          <w:sz w:val="21"/>
          <w:szCs w:val="20"/>
          <w:highlight w:val="none"/>
          <w:rtl/>
        </w:rPr>
        <w:t>الجدول 2-1: جدول إحصائي لتركيزات مزيل الاستحلاب من يناير 2024 إلى يناير 2025 (الوحدة: جزء في المليون)</w:t>
      </w:r>
    </w:p>
    <w:p w14:paraId="181D8442">
      <w:pPr>
        <w:pStyle w:val="49"/>
        <w:snapToGrid w:val="0"/>
        <w:rPr>
          <w:rFonts w:hint="eastAsia" w:ascii="宋体" w:hAnsi="宋体" w:eastAsia="宋体" w:cs="宋体"/>
          <w:color w:val="auto"/>
          <w:sz w:val="21"/>
          <w:szCs w:val="20"/>
          <w:highlight w:val="none"/>
          <w:rtl/>
        </w:rPr>
        <w:bidi/>
      </w:pPr>
    </w:p>
    <w:tbl>
      <w:tblPr>
        <w:tblStyle w:val="20"/>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3"/>
        <w:gridCol w:w="663"/>
        <w:gridCol w:w="663"/>
        <w:gridCol w:w="663"/>
        <w:gridCol w:w="663"/>
        <w:gridCol w:w="663"/>
        <w:gridCol w:w="663"/>
        <w:gridCol w:w="663"/>
        <w:gridCol w:w="663"/>
        <w:gridCol w:w="663"/>
        <w:gridCol w:w="664"/>
        <w:gridCol w:w="664"/>
        <w:gridCol w:w="664"/>
        <w:gridCol w:w="664"/>
      </w:tblGrid>
      <w:tr w14:paraId="79C1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68686237">
            <w:pPr>
              <w:pStyle w:val="49"/>
              <w:snapToGrid w:val="0"/>
              <w:jc w:val="center"/>
              <w:rPr>
                <w:rFonts w:hint="eastAsia" w:ascii="宋体" w:hAnsi="宋体" w:eastAsia="宋体" w:cs="宋体"/>
                <w:color w:val="auto"/>
                <w:sz w:val="18"/>
                <w:szCs w:val="16"/>
                <w:highlight w:val="none"/>
                <w:vertAlign w:val="baseline"/>
                <w:lang w:val="en-US" w:eastAsia="zh-CN"/>
                <w:rtl/>
              </w:rPr>
              <w:bidi/>
            </w:pPr>
            <w:r>
              <w:rPr>
                <w:rFonts w:hint="eastAsia" w:ascii="宋体" w:hAnsi="宋体" w:eastAsia="宋体" w:cs="宋体"/>
                <w:color w:val="auto"/>
                <w:sz w:val="18"/>
                <w:szCs w:val="16"/>
                <w:highlight w:val="none"/>
                <w:vertAlign w:val="baseline"/>
                <w:lang w:val="en-US" w:eastAsia="zh-CN"/>
                <w:rtl/>
              </w:rPr>
              <w:t>وقت</w:t>
            </w:r>
          </w:p>
        </w:tc>
        <w:tc>
          <w:tcPr>
            <w:tcW w:w="663" w:type="dxa"/>
            <w:vAlign w:val="center"/>
          </w:tcPr>
          <w:p w14:paraId="4CF45CAC">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يناير 2024</w:t>
            </w:r>
          </w:p>
        </w:tc>
        <w:tc>
          <w:tcPr>
            <w:tcW w:w="663" w:type="dxa"/>
            <w:vAlign w:val="center"/>
          </w:tcPr>
          <w:p w14:paraId="3D27AAD9">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فبراير 2024</w:t>
            </w:r>
          </w:p>
        </w:tc>
        <w:tc>
          <w:tcPr>
            <w:tcW w:w="663" w:type="dxa"/>
            <w:vAlign w:val="center"/>
          </w:tcPr>
          <w:p w14:paraId="382EDB3A">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2024.03</w:t>
            </w:r>
          </w:p>
        </w:tc>
        <w:tc>
          <w:tcPr>
            <w:tcW w:w="663" w:type="dxa"/>
            <w:vAlign w:val="center"/>
          </w:tcPr>
          <w:p w14:paraId="59FB9003">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أبريل 2024</w:t>
            </w:r>
          </w:p>
        </w:tc>
        <w:tc>
          <w:tcPr>
            <w:tcW w:w="663" w:type="dxa"/>
            <w:vAlign w:val="center"/>
          </w:tcPr>
          <w:p w14:paraId="462AE5CF">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2024.05</w:t>
            </w:r>
          </w:p>
        </w:tc>
        <w:tc>
          <w:tcPr>
            <w:tcW w:w="663" w:type="dxa"/>
            <w:vAlign w:val="center"/>
          </w:tcPr>
          <w:p w14:paraId="6622D602">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يونيو 2024</w:t>
            </w:r>
          </w:p>
        </w:tc>
        <w:tc>
          <w:tcPr>
            <w:tcW w:w="663" w:type="dxa"/>
            <w:vAlign w:val="center"/>
          </w:tcPr>
          <w:p w14:paraId="53FACA82">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2024.07</w:t>
            </w:r>
          </w:p>
        </w:tc>
        <w:tc>
          <w:tcPr>
            <w:tcW w:w="663" w:type="dxa"/>
            <w:vAlign w:val="center"/>
          </w:tcPr>
          <w:p w14:paraId="32C9C92A">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أغسطس 2024</w:t>
            </w:r>
          </w:p>
        </w:tc>
        <w:tc>
          <w:tcPr>
            <w:tcW w:w="663" w:type="dxa"/>
            <w:vAlign w:val="center"/>
          </w:tcPr>
          <w:p w14:paraId="2BB60D74">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2024.09</w:t>
            </w:r>
          </w:p>
        </w:tc>
        <w:tc>
          <w:tcPr>
            <w:tcW w:w="664" w:type="dxa"/>
            <w:vAlign w:val="center"/>
          </w:tcPr>
          <w:p w14:paraId="20B33B8F">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أكتوبر 2024</w:t>
            </w:r>
          </w:p>
        </w:tc>
        <w:tc>
          <w:tcPr>
            <w:tcW w:w="664" w:type="dxa"/>
            <w:vAlign w:val="center"/>
          </w:tcPr>
          <w:p w14:paraId="59E8DF90">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2024.11</w:t>
            </w:r>
          </w:p>
        </w:tc>
        <w:tc>
          <w:tcPr>
            <w:tcW w:w="664" w:type="dxa"/>
            <w:vAlign w:val="center"/>
          </w:tcPr>
          <w:p w14:paraId="32929560">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2024.12</w:t>
            </w:r>
          </w:p>
        </w:tc>
        <w:tc>
          <w:tcPr>
            <w:tcW w:w="664" w:type="dxa"/>
            <w:vAlign w:val="center"/>
          </w:tcPr>
          <w:p w14:paraId="10A15E94">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يناير 2025</w:t>
            </w:r>
          </w:p>
        </w:tc>
      </w:tr>
      <w:tr w14:paraId="6314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5EFBA789">
            <w:pPr>
              <w:pStyle w:val="49"/>
              <w:snapToGrid w:val="0"/>
              <w:jc w:val="center"/>
              <w:rPr>
                <w:rFonts w:hint="eastAsia" w:ascii="宋体" w:hAnsi="宋体" w:eastAsia="宋体" w:cs="宋体"/>
                <w:color w:val="auto"/>
                <w:sz w:val="18"/>
                <w:szCs w:val="16"/>
                <w:highlight w:val="none"/>
                <w:vertAlign w:val="baseline"/>
                <w:rtl/>
              </w:rPr>
              <w:bidi/>
            </w:pPr>
            <w:r>
              <w:rPr>
                <w:rFonts w:hint="eastAsia" w:ascii="宋体" w:hAnsi="宋体" w:eastAsia="宋体" w:cs="宋体"/>
                <w:i w:val="0"/>
                <w:iCs w:val="0"/>
                <w:color w:val="auto"/>
                <w:kern w:val="0"/>
                <w:sz w:val="21"/>
                <w:szCs w:val="21"/>
                <w:highlight w:val="none"/>
                <w:u w:val="none"/>
                <w:lang w:val="en-US" w:eastAsia="zh-CN" w:bidi="ar"/>
                <w:rtl/>
              </w:rPr>
              <w:t>التركيز (جزء في المليون)</w:t>
            </w:r>
          </w:p>
        </w:tc>
        <w:tc>
          <w:tcPr>
            <w:tcW w:w="663" w:type="dxa"/>
            <w:vAlign w:val="center"/>
          </w:tcPr>
          <w:p w14:paraId="45E99BB9">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310</w:t>
            </w:r>
          </w:p>
        </w:tc>
        <w:tc>
          <w:tcPr>
            <w:tcW w:w="663" w:type="dxa"/>
            <w:vAlign w:val="center"/>
          </w:tcPr>
          <w:p w14:paraId="2B496DF8">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296</w:t>
            </w:r>
          </w:p>
        </w:tc>
        <w:tc>
          <w:tcPr>
            <w:tcW w:w="663" w:type="dxa"/>
            <w:vAlign w:val="center"/>
          </w:tcPr>
          <w:p w14:paraId="38604B5C">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292</w:t>
            </w:r>
          </w:p>
        </w:tc>
        <w:tc>
          <w:tcPr>
            <w:tcW w:w="663" w:type="dxa"/>
            <w:vAlign w:val="center"/>
          </w:tcPr>
          <w:p w14:paraId="2F85E3F2">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283</w:t>
            </w:r>
          </w:p>
        </w:tc>
        <w:tc>
          <w:tcPr>
            <w:tcW w:w="663" w:type="dxa"/>
            <w:vAlign w:val="center"/>
          </w:tcPr>
          <w:p w14:paraId="3EC9C6C0">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297</w:t>
            </w:r>
          </w:p>
        </w:tc>
        <w:tc>
          <w:tcPr>
            <w:tcW w:w="663" w:type="dxa"/>
            <w:vAlign w:val="center"/>
          </w:tcPr>
          <w:p w14:paraId="72379831">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294</w:t>
            </w:r>
          </w:p>
        </w:tc>
        <w:tc>
          <w:tcPr>
            <w:tcW w:w="663" w:type="dxa"/>
            <w:vAlign w:val="center"/>
          </w:tcPr>
          <w:p w14:paraId="01366382">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303</w:t>
            </w:r>
          </w:p>
        </w:tc>
        <w:tc>
          <w:tcPr>
            <w:tcW w:w="663" w:type="dxa"/>
            <w:vAlign w:val="center"/>
          </w:tcPr>
          <w:p w14:paraId="5C0B0D8A">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303</w:t>
            </w:r>
          </w:p>
        </w:tc>
        <w:tc>
          <w:tcPr>
            <w:tcW w:w="663" w:type="dxa"/>
            <w:vAlign w:val="center"/>
          </w:tcPr>
          <w:p w14:paraId="6BA3487E">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304</w:t>
            </w:r>
          </w:p>
        </w:tc>
        <w:tc>
          <w:tcPr>
            <w:tcW w:w="664" w:type="dxa"/>
            <w:vAlign w:val="center"/>
          </w:tcPr>
          <w:p w14:paraId="423F67C7">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302</w:t>
            </w:r>
          </w:p>
        </w:tc>
        <w:tc>
          <w:tcPr>
            <w:tcW w:w="664" w:type="dxa"/>
            <w:vAlign w:val="center"/>
          </w:tcPr>
          <w:p w14:paraId="2785B3EB">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290</w:t>
            </w:r>
          </w:p>
        </w:tc>
        <w:tc>
          <w:tcPr>
            <w:tcW w:w="664" w:type="dxa"/>
            <w:vAlign w:val="center"/>
          </w:tcPr>
          <w:p w14:paraId="5844505B">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294</w:t>
            </w:r>
          </w:p>
        </w:tc>
        <w:tc>
          <w:tcPr>
            <w:tcW w:w="664" w:type="dxa"/>
            <w:vAlign w:val="center"/>
          </w:tcPr>
          <w:p w14:paraId="5DCAFF87">
            <w:pPr>
              <w:pStyle w:val="49"/>
              <w:snapToGrid w:val="0"/>
              <w:jc w:val="center"/>
              <w:rPr>
                <w:rFonts w:hint="eastAsia" w:ascii="宋体" w:hAnsi="宋体" w:eastAsia="宋体" w:cs="宋体"/>
                <w:color w:val="auto"/>
                <w:sz w:val="21"/>
                <w:szCs w:val="20"/>
                <w:highlight w:val="none"/>
                <w:vertAlign w:val="baseline"/>
                <w:lang w:val="en-US" w:eastAsia="zh-CN"/>
                <w:rtl/>
              </w:rPr>
              <w:bidi/>
            </w:pPr>
            <w:r>
              <w:rPr>
                <w:rFonts w:hint="eastAsia" w:ascii="宋体" w:hAnsi="宋体" w:eastAsia="宋体" w:cs="宋体"/>
                <w:color w:val="auto"/>
                <w:sz w:val="21"/>
                <w:szCs w:val="20"/>
                <w:highlight w:val="none"/>
                <w:vertAlign w:val="baseline"/>
                <w:lang w:val="en-US" w:eastAsia="zh-CN"/>
                <w:rtl/>
              </w:rPr>
              <w:t>311</w:t>
            </w:r>
          </w:p>
        </w:tc>
      </w:tr>
    </w:tbl>
    <w:p w14:paraId="3738673D">
      <w:pPr>
        <w:pStyle w:val="49"/>
        <w:snapToGrid w:val="0"/>
        <w:rPr>
          <w:rFonts w:hint="eastAsia" w:ascii="宋体" w:hAnsi="宋体" w:eastAsia="宋体" w:cs="宋体"/>
          <w:color w:val="auto"/>
          <w:sz w:val="21"/>
          <w:szCs w:val="20"/>
          <w:highlight w:val="none"/>
          <w:rtl/>
        </w:rPr>
        <w:bidi/>
      </w:pPr>
    </w:p>
    <w:p w14:paraId="3DD3587C">
      <w:pPr>
        <w:pStyle w:val="49"/>
        <w:snapToGrid w:val="0"/>
        <w:rPr>
          <w:rFonts w:hint="eastAsia" w:ascii="宋体" w:hAnsi="宋体" w:eastAsia="宋体" w:cs="宋体"/>
          <w:color w:val="auto"/>
          <w:sz w:val="21"/>
          <w:szCs w:val="20"/>
          <w:highlight w:val="none"/>
          <w:lang w:val="en-US" w:eastAsia="zh-CN"/>
          <w:rtl/>
        </w:rPr>
        <w:bidi/>
      </w:pPr>
      <w:r>
        <w:rPr>
          <w:rFonts w:hint="eastAsia" w:ascii="宋体" w:hAnsi="宋体" w:eastAsia="宋体" w:cs="宋体"/>
          <w:color w:val="auto"/>
          <w:sz w:val="21"/>
          <w:szCs w:val="20"/>
          <w:highlight w:val="none"/>
          <w:rtl/>
        </w:rPr>
        <w:t>إعداد: ليو شياو غوانغ، التاريخ: 1 مارس 2025، مراجعة: لي بي تشو</w:t>
      </w:r>
    </w:p>
    <w:p w14:paraId="1B57CA87">
      <w:pPr>
        <w:pStyle w:val="49"/>
        <w:snapToGrid w:val="0"/>
        <w:rPr>
          <w:rFonts w:hint="eastAsia" w:ascii="宋体" w:hAnsi="宋体" w:eastAsia="宋体" w:cs="宋体"/>
          <w:color w:val="auto"/>
          <w:highlight w:val="none"/>
          <w:lang w:val="en-US" w:eastAsia="zh-CN"/>
          <w:rtl/>
        </w:rPr>
        <w:bidi/>
      </w:pPr>
    </w:p>
    <w:p w14:paraId="6833B2A7">
      <w:pPr>
        <w:pStyle w:val="49"/>
        <w:snapToGrid w:val="0"/>
        <w:jc w:val="left"/>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قام عضو المجموعة ليو شياو غوانغ برسم مخطط اتجاهي بناءً على بيانات إحصائية حول تركيزات مزيلات الاستحلاب خلال العام الماضي:</w:t>
      </w:r>
    </w:p>
    <w:p w14:paraId="53645DC2">
      <w:pPr>
        <w:pStyle w:val="9"/>
        <w:jc w:val="center"/>
        <w:rPr>
          <w:rFonts w:hint="eastAsia" w:ascii="宋体" w:hAnsi="宋体" w:eastAsia="宋体" w:cs="宋体"/>
          <w:color w:val="auto"/>
          <w:highlight w:val="none"/>
          <w:rtl/>
        </w:rPr>
        <w:bidi/>
      </w:pPr>
      <w:r>
        <w:rPr>
          <w:rFonts w:hint="eastAsia" w:ascii="宋体" w:hAnsi="宋体" w:eastAsia="宋体" w:cs="宋体"/>
          <w:color w:val="auto"/>
          <w:highlight w:val="none"/>
          <w:rtl/>
        </w:rPr>
        <w:drawing>
          <wp:inline distT="0" distB="0" distL="114300" distR="114300">
            <wp:extent cx="3727450" cy="2189480"/>
            <wp:effectExtent l="0" t="0" r="6350" b="762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6"/>
                    <a:stretch>
                      <a:fillRect/>
                    </a:stretch>
                  </pic:blipFill>
                  <pic:spPr>
                    <a:xfrm>
                      <a:off x="0" y="0"/>
                      <a:ext cx="3727450" cy="2189480"/>
                    </a:xfrm>
                    <a:prstGeom prst="rect">
                      <a:avLst/>
                    </a:prstGeom>
                    <a:noFill/>
                    <a:ln>
                      <a:noFill/>
                    </a:ln>
                  </pic:spPr>
                </pic:pic>
              </a:graphicData>
            </a:graphic>
          </wp:inline>
        </w:drawing>
      </w:r>
    </w:p>
    <w:p w14:paraId="05E3C409">
      <w:pPr>
        <w:pStyle w:val="49"/>
        <w:snapToGrid w:val="0"/>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rtl/>
        </w:rPr>
        <w:t>الشكل 2-1: اتجاه تركيز مزيل الاستحلاب من يناير 2024 إلى يناير 2025</w:t>
      </w:r>
    </w:p>
    <w:p w14:paraId="3C8B9837">
      <w:pPr>
        <w:pStyle w:val="49"/>
        <w:snapToGrid w:val="0"/>
        <w:rPr>
          <w:rFonts w:hint="eastAsia" w:ascii="宋体" w:hAnsi="宋体" w:eastAsia="宋体" w:cs="宋体"/>
          <w:color w:val="auto"/>
          <w:sz w:val="21"/>
          <w:szCs w:val="20"/>
          <w:highlight w:val="none"/>
          <w:lang w:val="en-US" w:eastAsia="zh-CN"/>
          <w:rtl/>
        </w:rPr>
        <w:bidi/>
      </w:pPr>
      <w:r>
        <w:rPr>
          <w:rFonts w:hint="eastAsia" w:ascii="宋体" w:hAnsi="宋体" w:eastAsia="宋体" w:cs="宋体"/>
          <w:color w:val="auto"/>
          <w:sz w:val="21"/>
          <w:szCs w:val="20"/>
          <w:highlight w:val="none"/>
          <w:rtl/>
        </w:rPr>
        <w:t>إعداد: ليو شياو غوانغ، تاريخ: ١١ مارس ٢٠٢٥، مراجعة: لي بي تشو</w:t>
      </w:r>
    </w:p>
    <w:p w14:paraId="0B4C4FB5">
      <w:pPr>
        <w:pStyle w:val="9"/>
        <w:ind w:firstLine="0" w:firstLineChars="0"/>
        <w:rPr>
          <w:rFonts w:hint="eastAsia" w:ascii="宋体" w:hAnsi="宋体" w:eastAsia="宋体" w:cs="宋体"/>
          <w:color w:val="auto"/>
          <w:highlight w:val="none"/>
          <w:lang w:eastAsia="zh-CN"/>
          <w:rtl/>
        </w:rPr>
        <w:bidi/>
      </w:pPr>
    </w:p>
    <w:p w14:paraId="2C90D586">
      <w:pPr>
        <w:pStyle w:val="9"/>
        <w:numPr>
          <w:ilvl w:val="0"/>
          <w:numId w:val="2"/>
        </w:numPr>
        <w:rPr>
          <w:rFonts w:hint="eastAsia" w:ascii="宋体" w:hAnsi="宋体" w:eastAsia="宋体" w:cs="宋体"/>
          <w:color w:val="auto"/>
          <w:highlight w:val="none"/>
          <w:lang w:eastAsia="zh-CN"/>
          <w:rtl/>
        </w:rPr>
        <w:bidi/>
      </w:pPr>
      <w:r>
        <w:rPr>
          <w:rFonts w:hint="eastAsia" w:ascii="宋体" w:hAnsi="宋体" w:eastAsia="宋体" w:cs="宋体"/>
          <w:color w:val="auto"/>
          <w:highlight w:val="none"/>
          <w:lang w:eastAsia="zh-CN"/>
          <w:rtl/>
        </w:rPr>
        <w:t>تم تحديد موضوع البحث، وتم تقليل تركيز مزيل الاستحلاب المحقون في منطقة المعالجة المركزية.</w:t>
      </w:r>
    </w:p>
    <w:p w14:paraId="076AAB5F">
      <w:pPr>
        <w:pStyle w:val="3"/>
        <w:numPr>
          <w:ilvl w:val="0"/>
          <w:numId w:val="1"/>
        </w:numPr>
        <w:ind w:left="210" w:leftChars="0" w:firstLine="420" w:firstLineChars="0"/>
        <w:rPr>
          <w:rFonts w:hint="eastAsia" w:ascii="宋体" w:hAnsi="宋体" w:eastAsia="宋体" w:cs="宋体"/>
          <w:color w:val="auto"/>
          <w:highlight w:val="none"/>
          <w:rtl/>
        </w:rPr>
      </w:pPr>
      <w:bookmarkStart w:id="13" w:name="_Toc16200"/>
      <w:bookmarkStart w:id="14" w:name="_Toc31988"/>
      <w:bookmarkStart w:id="15" w:name="_Toc490060145"/>
      <w:r>
        <w:rPr>
          <w:rFonts w:hint="eastAsia" w:ascii="宋体" w:hAnsi="宋体" w:eastAsia="宋体" w:cs="宋体"/>
          <w:color w:val="auto"/>
          <w:highlight w:val="none"/>
          <w:rtl/>
        </w:rPr>
        <w:t>حدد أهدافك</w:t>
      </w:r>
      <w:bookmarkEnd w:id="13"/>
      <w:bookmarkEnd w:id="14"/>
    </w:p>
    <w:p w14:paraId="6C950685">
      <w:pPr>
        <w:pStyle w:val="9"/>
        <w:rPr>
          <w:rFonts w:hint="eastAsia" w:ascii="宋体" w:hAnsi="宋体" w:eastAsia="宋体" w:cs="宋体"/>
          <w:color w:val="auto"/>
          <w:highlight w:val="none"/>
          <w:lang w:val="en-US" w:eastAsia="zh-CN"/>
          <w:rtl/>
        </w:rPr>
        <w:bidi/>
      </w:pPr>
      <w:bookmarkStart w:id="16" w:name="_Hlk81614693"/>
      <w:bookmarkStart w:id="17" w:name="_Hlk85816441"/>
      <w:r>
        <w:rPr>
          <w:rFonts w:hint="eastAsia" w:ascii="宋体" w:hAnsi="宋体" w:eastAsia="宋体" w:cs="宋体"/>
          <w:color w:val="auto"/>
          <w:highlight w:val="none"/>
          <w:lang w:eastAsia="zh-CN"/>
          <w:rtl/>
        </w:rPr>
        <w:t>الهدف من البحث هو ضمان أن يكون تركيز مزيل الاستحلاب المحقون في منطقة المعالجة المركزية ≤250 جزء في المليون.</w:t>
      </w:r>
    </w:p>
    <w:p w14:paraId="336B20BA">
      <w:pPr>
        <w:pStyle w:val="9"/>
        <w:rPr>
          <w:rFonts w:hint="eastAsia" w:ascii="宋体" w:hAnsi="宋体" w:eastAsia="宋体" w:cs="宋体"/>
          <w:color w:val="auto"/>
          <w:highlight w:val="none"/>
          <w:lang w:val="en-US" w:eastAsia="zh-CN"/>
          <w:rtl/>
        </w:rPr>
        <w:bidi/>
      </w:pPr>
    </w:p>
    <w:p w14:paraId="29FFC8D6">
      <w:pPr>
        <w:pStyle w:val="9"/>
        <w:rPr>
          <w:rFonts w:hint="eastAsia" w:ascii="宋体" w:hAnsi="宋体" w:eastAsia="宋体" w:cs="宋体"/>
          <w:color w:val="auto"/>
          <w:highlight w:val="none"/>
          <w:lang w:val="en-US" w:eastAsia="zh-CN"/>
          <w:rtl/>
        </w:rPr>
        <w:bidi/>
      </w:pPr>
    </w:p>
    <w:p w14:paraId="6170CEF5">
      <w:pPr>
        <w:pStyle w:val="49"/>
        <w:snapToGrid w:val="0"/>
        <w:rPr>
          <w:rFonts w:hint="eastAsia" w:ascii="宋体" w:hAnsi="宋体" w:eastAsia="宋体" w:cs="宋体"/>
          <w:color w:val="auto"/>
          <w:highlight w:val="none"/>
          <w:lang w:eastAsia="zh-CN"/>
          <w:rtl/>
        </w:rPr>
        <w:bidi/>
      </w:pPr>
      <w:bookmarkStart w:id="18" w:name="OLE_LINK69"/>
      <w:r>
        <w:rPr>
          <w:rFonts w:hint="eastAsia" w:ascii="宋体" w:hAnsi="宋体" w:eastAsia="宋体" w:cs="宋体"/>
          <w:color w:val="auto"/>
          <w:sz w:val="21"/>
          <w:szCs w:val="20"/>
          <w:highlight w:val="none"/>
          <w:rtl/>
        </w:rPr>
        <w:t>الشكل 3-1 مقارنة تحديد الهدف</w:t>
      </w:r>
      <w:bookmarkEnd w:id="18"/>
    </w:p>
    <w:bookmarkEnd w:id="16"/>
    <w:bookmarkEnd w:id="17"/>
    <w:p w14:paraId="3C37A860">
      <w:pPr>
        <w:jc w:val="center"/>
        <w:rPr>
          <w:rFonts w:hint="eastAsia" w:ascii="宋体" w:hAnsi="宋体" w:eastAsia="宋体" w:cs="宋体"/>
          <w:color w:val="auto"/>
          <w:highlight w:val="none"/>
          <w:rtl/>
        </w:rPr>
        <w:bidi/>
      </w:pPr>
      <w:r>
        <w:rPr>
          <w:rFonts w:hint="eastAsia" w:ascii="宋体" w:hAnsi="宋体" w:eastAsia="宋体" w:cs="宋体"/>
          <w:color w:val="auto"/>
          <w:highlight w:val="none"/>
          <w:rtl/>
        </w:rPr>
        <w:drawing>
          <wp:inline distT="0" distB="0" distL="114300" distR="114300">
            <wp:extent cx="4826000" cy="2768600"/>
            <wp:effectExtent l="4445" t="4445" r="8255" b="8255"/>
            <wp:docPr id="6" name="图表 5"/>
            <wp:cNvGraphicFramePr/>
            <a:graphic xmlns:a="http://schemas.openxmlformats.org/drawingml/2006/main">
              <a:graphicData uri="http://schemas.openxmlformats.org/drawingml/2006/chart">
                <c:chart xmlns:c="http://schemas.openxmlformats.org/drawingml/2006/chart" r:id="rId17"/>
              </a:graphicData>
            </a:graphic>
          </wp:inline>
        </w:drawing>
      </w:r>
    </w:p>
    <w:bookmarkEnd w:id="15"/>
    <w:p w14:paraId="53AC2EDD">
      <w:pPr>
        <w:pStyle w:val="49"/>
        <w:snapToGrid w:val="0"/>
        <w:rPr>
          <w:rFonts w:hint="eastAsia" w:ascii="宋体" w:hAnsi="宋体" w:eastAsia="宋体" w:cs="宋体"/>
          <w:color w:val="auto"/>
          <w:sz w:val="21"/>
          <w:szCs w:val="20"/>
          <w:highlight w:val="none"/>
          <w:lang w:val="en-US" w:eastAsia="zh-CN"/>
          <w:rtl/>
        </w:rPr>
        <w:bidi/>
      </w:pPr>
      <w:r>
        <w:rPr>
          <w:rFonts w:hint="eastAsia" w:ascii="宋体" w:hAnsi="宋体" w:eastAsia="宋体" w:cs="宋体"/>
          <w:color w:val="auto"/>
          <w:sz w:val="21"/>
          <w:szCs w:val="20"/>
          <w:highlight w:val="none"/>
          <w:rtl/>
        </w:rPr>
        <w:t>إعداد: ليو شياو غوانغ، التاريخ: 1 مارس 2025، مراجعة: لي بي تشو</w:t>
      </w:r>
    </w:p>
    <w:p w14:paraId="5543DBD5">
      <w:pPr>
        <w:pStyle w:val="3"/>
        <w:numPr>
          <w:ilvl w:val="0"/>
          <w:numId w:val="1"/>
        </w:numPr>
        <w:ind w:left="210" w:leftChars="0" w:firstLine="420" w:firstLineChars="0"/>
        <w:rPr>
          <w:rFonts w:hint="eastAsia" w:ascii="宋体" w:hAnsi="宋体" w:eastAsia="宋体" w:cs="宋体"/>
          <w:color w:val="auto"/>
          <w:highlight w:val="none"/>
          <w:rtl/>
        </w:rPr>
      </w:pPr>
      <w:bookmarkStart w:id="19" w:name="_Toc28953"/>
      <w:r>
        <w:rPr>
          <w:rFonts w:hint="eastAsia" w:ascii="宋体" w:hAnsi="宋体" w:eastAsia="宋体" w:cs="宋体"/>
          <w:color w:val="auto"/>
          <w:highlight w:val="none"/>
          <w:rtl/>
        </w:rPr>
        <w:t>دراسة جدوى الهدف</w:t>
      </w:r>
      <w:bookmarkEnd w:id="19"/>
    </w:p>
    <w:p w14:paraId="07976A1D">
      <w:pPr>
        <w:pStyle w:val="9"/>
        <w:rPr>
          <w:rFonts w:hint="eastAsia" w:ascii="宋体" w:hAnsi="宋体" w:eastAsia="宋体" w:cs="宋体"/>
          <w:color w:val="auto"/>
          <w:highlight w:val="none"/>
          <w:lang w:eastAsia="zh-CN"/>
          <w:rtl/>
        </w:rPr>
        <w:bidi/>
      </w:pPr>
      <w:r>
        <w:rPr>
          <w:rFonts w:hint="eastAsia" w:ascii="宋体" w:hAnsi="宋体" w:eastAsia="宋体" w:cs="宋体"/>
          <w:color w:val="auto"/>
          <w:highlight w:val="none"/>
          <w:lang w:eastAsia="zh-CN"/>
          <w:rtl/>
        </w:rPr>
        <w:t>للتحقق من جدوى تقليل تركيز مزيل الاستحلاب المضاف إلى منطقة المعالجة المركزية إلى ≤250 جزء في المليون، قام الفريق بمراجعة بيانات اختبار مزيل الاستحلاب الميداني من عام 2024 وتصنيفها وتحليل بيانات أداء مزيل الاستحلاب A ومزيل الاستحلاب B.</w:t>
      </w:r>
    </w:p>
    <w:p w14:paraId="51919A53">
      <w:pPr>
        <w:pStyle w:val="4"/>
        <w:rPr>
          <w:rFonts w:hint="eastAsia" w:ascii="宋体" w:hAnsi="宋体" w:eastAsia="宋体" w:cs="宋体"/>
          <w:lang w:val="en-US" w:eastAsia="zh-CN"/>
          <w:rtl/>
        </w:rPr>
      </w:pPr>
      <w:bookmarkStart w:id="20" w:name="_Toc32396"/>
      <w:r>
        <w:rPr>
          <w:rFonts w:hint="eastAsia" w:ascii="宋体" w:hAnsi="宋体" w:eastAsia="宋体" w:cs="宋体"/>
          <w:lang w:eastAsia="zh-CN"/>
          <w:rtl/>
        </w:rPr>
        <w:t>4.1 نتائج الاختبارات الميدانية لمزيل الاستحلاب أ</w:t>
      </w:r>
      <w:bookmarkEnd w:id="20"/>
    </w:p>
    <w:p w14:paraId="451C4A63">
      <w:pPr>
        <w:pStyle w:val="9"/>
        <w:keepNext w:val="0"/>
        <w:keepLines w:val="0"/>
        <w:pageBreakBefore w:val="0"/>
        <w:widowControl w:val="0"/>
        <w:kinsoku/>
        <w:wordWrap/>
        <w:overflowPunct/>
        <w:topLinePunct w:val="0"/>
        <w:autoSpaceDE/>
        <w:autoSpaceDN/>
        <w:adjustRightInd/>
        <w:snapToGrid/>
        <w:spacing w:line="260" w:lineRule="exact"/>
        <w:ind w:left="0" w:leftChars="0" w:firstLine="0" w:firstLineChars="0"/>
        <w:jc w:val="center"/>
        <w:textAlignment w:val="auto"/>
        <w:rPr>
          <w:rFonts w:hint="eastAsia" w:ascii="宋体" w:hAnsi="宋体" w:eastAsia="宋体" w:cs="宋体"/>
          <w:b w:val="0"/>
          <w:bCs w:val="0"/>
          <w:color w:val="auto"/>
          <w:kern w:val="0"/>
          <w:sz w:val="21"/>
          <w:szCs w:val="21"/>
          <w:highlight w:val="none"/>
          <w:lang w:val="en-US" w:eastAsia="en-US" w:bidi="ar-SA"/>
          <w:rtl/>
        </w:rPr>
      </w:pPr>
      <w:r>
        <w:rPr>
          <w:rFonts w:hint="eastAsia" w:ascii="宋体" w:hAnsi="宋体" w:eastAsia="宋体" w:cs="宋体"/>
          <w:b w:val="0"/>
          <w:bCs w:val="0"/>
          <w:color w:val="auto"/>
          <w:sz w:val="21"/>
          <w:szCs w:val="21"/>
          <w:highlight w:val="none"/>
          <w:lang w:eastAsia="zh-CN"/>
          <w:rtl/>
        </w:rPr>
        <w:t>الجدول 4-1 بيانات التجفيف في الاختبارات الميدانية لمزيل الاستحلاب أ</w:t>
      </w:r>
    </w:p>
    <w:p w14:paraId="60183595">
      <w:pPr>
        <w:pStyle w:val="9"/>
        <w:keepNext w:val="0"/>
        <w:keepLines w:val="0"/>
        <w:pageBreakBefore w:val="0"/>
        <w:widowControl w:val="0"/>
        <w:kinsoku/>
        <w:wordWrap/>
        <w:overflowPunct/>
        <w:topLinePunct w:val="0"/>
        <w:autoSpaceDE/>
        <w:autoSpaceDN/>
        <w:adjustRightInd/>
        <w:snapToGrid/>
        <w:spacing w:line="300" w:lineRule="exact"/>
        <w:ind w:left="0" w:leftChars="0" w:firstLine="0" w:firstLineChars="0"/>
        <w:jc w:val="center"/>
        <w:textAlignment w:val="auto"/>
        <w:rPr>
          <w:rFonts w:hint="eastAsia" w:ascii="宋体" w:hAnsi="宋体" w:eastAsia="宋体" w:cs="宋体"/>
          <w:b w:val="0"/>
          <w:bCs w:val="0"/>
          <w:color w:val="auto"/>
          <w:sz w:val="21"/>
          <w:szCs w:val="21"/>
          <w:highlight w:val="none"/>
          <w:rtl/>
        </w:rPr>
      </w:pPr>
      <w:r>
        <w:rPr>
          <w:rFonts w:hint="eastAsia" w:ascii="宋体" w:hAnsi="宋体" w:eastAsia="宋体" w:cs="宋体"/>
          <w:b w:val="0"/>
          <w:bCs w:val="0"/>
          <w:color w:val="auto"/>
          <w:sz w:val="21"/>
          <w:szCs w:val="21"/>
          <w:highlight w:val="none"/>
          <w:lang w:val="en-US" w:eastAsia="zh-CN"/>
          <w:rtl/>
        </w:rPr>
        <w:t xml:space="preserve">   التركيز: 250-260 جزء في المليون</w:t>
      </w:r>
    </w:p>
    <w:tbl>
      <w:tblPr>
        <w:tblStyle w:val="56"/>
        <w:tblpPr w:leftFromText="180" w:rightFromText="180" w:vertAnchor="text" w:horzAnchor="page" w:tblpX="1052" w:tblpY="320"/>
        <w:tblOverlap w:val="never"/>
        <w:tblW w:w="97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4"/>
        <w:gridCol w:w="620"/>
        <w:gridCol w:w="679"/>
        <w:gridCol w:w="689"/>
        <w:gridCol w:w="739"/>
        <w:gridCol w:w="739"/>
        <w:gridCol w:w="600"/>
        <w:gridCol w:w="749"/>
        <w:gridCol w:w="620"/>
        <w:gridCol w:w="729"/>
        <w:gridCol w:w="630"/>
        <w:gridCol w:w="689"/>
        <w:gridCol w:w="729"/>
        <w:gridCol w:w="684"/>
      </w:tblGrid>
      <w:tr w14:paraId="6413B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894" w:type="dxa"/>
            <w:vMerge w:val="restart"/>
            <w:tcBorders>
              <w:top w:val="single" w:color="000000" w:sz="2" w:space="0"/>
              <w:bottom w:val="nil"/>
            </w:tcBorders>
            <w:shd w:val="clear" w:color="auto" w:fill="CCCDCF"/>
            <w:vAlign w:val="top"/>
          </w:tcPr>
          <w:p w14:paraId="7FBF7F3B">
            <w:pPr>
              <w:spacing w:line="253" w:lineRule="auto"/>
              <w:rPr>
                <w:rFonts w:hint="eastAsia" w:ascii="宋体" w:hAnsi="宋体" w:eastAsia="宋体" w:cs="宋体"/>
                <w:sz w:val="21"/>
                <w:highlight w:val="none"/>
                <w:rtl/>
              </w:rPr>
              <w:bidi/>
            </w:pPr>
          </w:p>
          <w:p w14:paraId="2488F841">
            <w:pPr>
              <w:spacing w:line="253" w:lineRule="auto"/>
              <w:rPr>
                <w:rFonts w:hint="eastAsia" w:ascii="宋体" w:hAnsi="宋体" w:eastAsia="宋体" w:cs="宋体"/>
                <w:sz w:val="21"/>
                <w:highlight w:val="none"/>
                <w:rtl/>
              </w:rPr>
              <w:bidi/>
            </w:pPr>
          </w:p>
          <w:p w14:paraId="786A0CD2">
            <w:pPr>
              <w:pStyle w:val="57"/>
              <w:spacing w:before="62" w:line="180" w:lineRule="auto"/>
              <w:ind w:left="247"/>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تاريخ</w:t>
            </w:r>
          </w:p>
        </w:tc>
        <w:tc>
          <w:tcPr>
            <w:tcW w:w="620" w:type="dxa"/>
            <w:vMerge w:val="restart"/>
            <w:tcBorders>
              <w:top w:val="single" w:color="000000" w:sz="2" w:space="0"/>
              <w:bottom w:val="nil"/>
            </w:tcBorders>
            <w:shd w:val="clear" w:color="auto" w:fill="CBCCCF"/>
            <w:vAlign w:val="top"/>
          </w:tcPr>
          <w:p w14:paraId="4566FB63">
            <w:pPr>
              <w:spacing w:line="252" w:lineRule="auto"/>
              <w:rPr>
                <w:rFonts w:hint="eastAsia" w:ascii="宋体" w:hAnsi="宋体" w:eastAsia="宋体" w:cs="宋体"/>
                <w:sz w:val="21"/>
                <w:highlight w:val="none"/>
                <w:rtl/>
              </w:rPr>
              <w:bidi/>
            </w:pPr>
          </w:p>
          <w:p w14:paraId="0EA9B346">
            <w:pPr>
              <w:spacing w:line="252" w:lineRule="auto"/>
              <w:rPr>
                <w:rFonts w:hint="eastAsia" w:ascii="宋体" w:hAnsi="宋体" w:eastAsia="宋体" w:cs="宋体"/>
                <w:sz w:val="21"/>
                <w:highlight w:val="none"/>
                <w:rtl/>
              </w:rPr>
              <w:bidi/>
            </w:pPr>
          </w:p>
          <w:p w14:paraId="5B7BA5C4">
            <w:pPr>
              <w:pStyle w:val="57"/>
              <w:spacing w:before="62" w:line="182" w:lineRule="auto"/>
              <w:ind w:left="113"/>
              <w:rPr>
                <w:rFonts w:hint="eastAsia" w:ascii="宋体" w:hAnsi="宋体" w:eastAsia="宋体" w:cs="宋体"/>
                <w:sz w:val="19"/>
                <w:szCs w:val="19"/>
                <w:highlight w:val="none"/>
                <w:rtl/>
              </w:rPr>
              <w:bidi/>
            </w:pPr>
            <w:r>
              <w:rPr>
                <w:rFonts w:hint="eastAsia" w:ascii="宋体" w:hAnsi="宋体" w:eastAsia="宋体" w:cs="宋体"/>
                <w:b/>
                <w:bCs/>
                <w:color w:val="206070"/>
                <w:spacing w:val="-3"/>
                <w:sz w:val="19"/>
                <w:szCs w:val="19"/>
                <w:highlight w:val="none"/>
                <w:rtl/>
              </w:rPr>
              <w:t>وقت</w:t>
            </w:r>
          </w:p>
        </w:tc>
        <w:tc>
          <w:tcPr>
            <w:tcW w:w="8276" w:type="dxa"/>
            <w:gridSpan w:val="12"/>
            <w:tcBorders>
              <w:top w:val="single" w:color="000000" w:sz="2" w:space="0"/>
              <w:bottom w:val="single" w:color="000000" w:sz="2" w:space="0"/>
            </w:tcBorders>
            <w:shd w:val="clear" w:color="auto" w:fill="CFD0D3"/>
            <w:vAlign w:val="top"/>
          </w:tcPr>
          <w:p w14:paraId="31B3B341">
            <w:pPr>
              <w:pStyle w:val="57"/>
              <w:spacing w:before="73" w:line="198" w:lineRule="auto"/>
              <w:ind w:left="3143"/>
              <w:rPr>
                <w:rFonts w:hint="eastAsia" w:ascii="宋体" w:hAnsi="宋体" w:eastAsia="宋体" w:cs="宋体"/>
                <w:sz w:val="19"/>
                <w:szCs w:val="19"/>
                <w:highlight w:val="none"/>
                <w:rtl/>
              </w:rPr>
              <w:bidi/>
            </w:pPr>
            <w:r>
              <w:rPr>
                <w:rFonts w:hint="eastAsia" w:ascii="宋体" w:hAnsi="宋体" w:eastAsia="宋体" w:cs="宋体"/>
                <w:b/>
                <w:bCs/>
                <w:color w:val="206070"/>
                <w:spacing w:val="-3"/>
                <w:sz w:val="19"/>
                <w:szCs w:val="19"/>
                <w:highlight w:val="none"/>
                <w:rtl/>
              </w:rPr>
              <w:t>إلكترو</w:t>
            </w:r>
            <w:r>
              <w:rPr>
                <w:rFonts w:hint="eastAsia" w:ascii="宋体" w:hAnsi="宋体" w:eastAsia="宋体" w:cs="宋体"/>
                <w:color w:val="206070"/>
                <w:spacing w:val="-3"/>
                <w:sz w:val="19"/>
                <w:szCs w:val="19"/>
                <w:highlight w:val="none"/>
                <w:rtl/>
              </w:rPr>
              <w:t xml:space="preserve">معالجات الزيوت الثابتة</w:t>
            </w:r>
          </w:p>
        </w:tc>
      </w:tr>
      <w:tr w14:paraId="16108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894" w:type="dxa"/>
            <w:vMerge w:val="continue"/>
            <w:tcBorders>
              <w:top w:val="nil"/>
              <w:bottom w:val="nil"/>
            </w:tcBorders>
            <w:vAlign w:val="top"/>
          </w:tcPr>
          <w:p w14:paraId="4834BA80">
            <w:pPr>
              <w:rPr>
                <w:rFonts w:hint="eastAsia" w:ascii="宋体" w:hAnsi="宋体" w:eastAsia="宋体" w:cs="宋体"/>
                <w:sz w:val="21"/>
                <w:highlight w:val="none"/>
                <w:rtl/>
              </w:rPr>
              <w:bidi/>
            </w:pPr>
          </w:p>
        </w:tc>
        <w:tc>
          <w:tcPr>
            <w:tcW w:w="620" w:type="dxa"/>
            <w:vMerge w:val="continue"/>
            <w:tcBorders>
              <w:top w:val="nil"/>
              <w:bottom w:val="nil"/>
            </w:tcBorders>
            <w:vAlign w:val="top"/>
          </w:tcPr>
          <w:p w14:paraId="5ADE7C19">
            <w:pPr>
              <w:rPr>
                <w:rFonts w:hint="eastAsia" w:ascii="宋体" w:hAnsi="宋体" w:eastAsia="宋体" w:cs="宋体"/>
                <w:sz w:val="21"/>
                <w:highlight w:val="none"/>
                <w:rtl/>
              </w:rPr>
              <w:bidi/>
            </w:pPr>
          </w:p>
        </w:tc>
        <w:tc>
          <w:tcPr>
            <w:tcW w:w="1368" w:type="dxa"/>
            <w:gridSpan w:val="2"/>
            <w:tcBorders>
              <w:top w:val="single" w:color="000000" w:sz="2" w:space="0"/>
              <w:bottom w:val="single" w:color="000000" w:sz="2" w:space="0"/>
            </w:tcBorders>
            <w:shd w:val="clear" w:color="auto" w:fill="CBCCCE"/>
            <w:vAlign w:val="top"/>
          </w:tcPr>
          <w:p w14:paraId="62D9D409">
            <w:pPr>
              <w:pStyle w:val="57"/>
              <w:spacing w:before="70" w:line="196" w:lineRule="auto"/>
              <w:ind w:left="383"/>
              <w:rPr>
                <w:rFonts w:hint="eastAsia" w:ascii="宋体" w:hAnsi="宋体" w:eastAsia="宋体" w:cs="宋体"/>
                <w:sz w:val="19"/>
                <w:szCs w:val="19"/>
                <w:highlight w:val="none"/>
                <w:rtl/>
              </w:rPr>
              <w:bidi/>
            </w:pPr>
            <w:r>
              <w:rPr>
                <w:rFonts w:hint="eastAsia" w:ascii="宋体" w:hAnsi="宋体" w:eastAsia="宋体" w:cs="宋体"/>
                <w:b/>
                <w:bCs/>
                <w:color w:val="206060"/>
                <w:spacing w:val="-3"/>
                <w:sz w:val="19"/>
                <w:szCs w:val="19"/>
                <w:highlight w:val="none"/>
                <w:rtl/>
              </w:rPr>
              <w:t>D-1004</w:t>
            </w:r>
          </w:p>
        </w:tc>
        <w:tc>
          <w:tcPr>
            <w:tcW w:w="1478" w:type="dxa"/>
            <w:gridSpan w:val="2"/>
            <w:tcBorders>
              <w:top w:val="single" w:color="000000" w:sz="2" w:space="0"/>
              <w:bottom w:val="single" w:color="000000" w:sz="2" w:space="0"/>
            </w:tcBorders>
            <w:shd w:val="clear" w:color="auto" w:fill="CACBCF"/>
            <w:vAlign w:val="top"/>
          </w:tcPr>
          <w:p w14:paraId="4A486803">
            <w:pPr>
              <w:pStyle w:val="57"/>
              <w:spacing w:before="70" w:line="196" w:lineRule="auto"/>
              <w:ind w:left="445"/>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D-1006</w:t>
            </w:r>
          </w:p>
        </w:tc>
        <w:tc>
          <w:tcPr>
            <w:tcW w:w="1349" w:type="dxa"/>
            <w:gridSpan w:val="2"/>
            <w:tcBorders>
              <w:top w:val="single" w:color="000000" w:sz="2" w:space="0"/>
              <w:bottom w:val="single" w:color="000000" w:sz="2" w:space="0"/>
            </w:tcBorders>
            <w:shd w:val="clear" w:color="auto" w:fill="C8C9CC"/>
            <w:vAlign w:val="top"/>
          </w:tcPr>
          <w:p w14:paraId="77068C29">
            <w:pPr>
              <w:pStyle w:val="57"/>
              <w:spacing w:before="70" w:line="196" w:lineRule="auto"/>
              <w:ind w:left="397"/>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D-1008</w:t>
            </w:r>
          </w:p>
        </w:tc>
        <w:tc>
          <w:tcPr>
            <w:tcW w:w="1349" w:type="dxa"/>
            <w:gridSpan w:val="2"/>
            <w:tcBorders>
              <w:top w:val="single" w:color="000000" w:sz="2" w:space="0"/>
              <w:bottom w:val="single" w:color="000000" w:sz="2" w:space="0"/>
            </w:tcBorders>
            <w:shd w:val="clear" w:color="auto" w:fill="C8C9CC"/>
            <w:vAlign w:val="top"/>
          </w:tcPr>
          <w:p w14:paraId="5F176468">
            <w:pPr>
              <w:pStyle w:val="57"/>
              <w:spacing w:before="70" w:line="196" w:lineRule="auto"/>
              <w:ind w:left="478"/>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D-04</w:t>
            </w:r>
          </w:p>
        </w:tc>
        <w:tc>
          <w:tcPr>
            <w:tcW w:w="1319" w:type="dxa"/>
            <w:gridSpan w:val="2"/>
            <w:tcBorders>
              <w:top w:val="single" w:color="000000" w:sz="2" w:space="0"/>
              <w:bottom w:val="single" w:color="000000" w:sz="2" w:space="0"/>
            </w:tcBorders>
            <w:shd w:val="clear" w:color="auto" w:fill="C8C9CC"/>
            <w:vAlign w:val="top"/>
          </w:tcPr>
          <w:p w14:paraId="01A2F2EF">
            <w:pPr>
              <w:pStyle w:val="57"/>
              <w:spacing w:before="70" w:line="196" w:lineRule="auto"/>
              <w:ind w:left="469"/>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D-06</w:t>
            </w:r>
          </w:p>
        </w:tc>
        <w:tc>
          <w:tcPr>
            <w:tcW w:w="1413" w:type="dxa"/>
            <w:gridSpan w:val="2"/>
            <w:tcBorders>
              <w:top w:val="single" w:color="000000" w:sz="2" w:space="0"/>
              <w:bottom w:val="single" w:color="000000" w:sz="2" w:space="0"/>
            </w:tcBorders>
            <w:shd w:val="clear" w:color="auto" w:fill="CFD0D4"/>
            <w:vAlign w:val="top"/>
          </w:tcPr>
          <w:p w14:paraId="0C1EC127">
            <w:pPr>
              <w:pStyle w:val="57"/>
              <w:spacing w:before="71" w:line="195" w:lineRule="auto"/>
              <w:ind w:left="467"/>
              <w:rPr>
                <w:rFonts w:hint="eastAsia" w:ascii="宋体" w:hAnsi="宋体" w:eastAsia="宋体" w:cs="宋体"/>
                <w:sz w:val="19"/>
                <w:szCs w:val="19"/>
                <w:highlight w:val="none"/>
                <w:rtl/>
              </w:rPr>
              <w:bidi/>
            </w:pPr>
            <w:r>
              <w:rPr>
                <w:rFonts w:hint="eastAsia" w:ascii="宋体" w:hAnsi="宋体" w:eastAsia="宋体" w:cs="宋体"/>
                <w:color w:val="205060"/>
                <w:spacing w:val="-1"/>
                <w:sz w:val="19"/>
                <w:szCs w:val="19"/>
                <w:highlight w:val="none"/>
                <w:rtl/>
              </w:rPr>
              <w:t>D-802</w:t>
            </w:r>
          </w:p>
        </w:tc>
      </w:tr>
      <w:tr w14:paraId="327BB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894" w:type="dxa"/>
            <w:vMerge w:val="continue"/>
            <w:tcBorders>
              <w:top w:val="nil"/>
              <w:bottom w:val="single" w:color="000000" w:sz="2" w:space="0"/>
            </w:tcBorders>
            <w:vAlign w:val="top"/>
          </w:tcPr>
          <w:p w14:paraId="7867913D">
            <w:pPr>
              <w:rPr>
                <w:rFonts w:hint="eastAsia" w:ascii="宋体" w:hAnsi="宋体" w:eastAsia="宋体" w:cs="宋体"/>
                <w:sz w:val="21"/>
                <w:highlight w:val="none"/>
                <w:rtl/>
              </w:rPr>
              <w:bidi/>
            </w:pPr>
          </w:p>
        </w:tc>
        <w:tc>
          <w:tcPr>
            <w:tcW w:w="620" w:type="dxa"/>
            <w:vMerge w:val="continue"/>
            <w:tcBorders>
              <w:top w:val="nil"/>
              <w:bottom w:val="single" w:color="000000" w:sz="2" w:space="0"/>
            </w:tcBorders>
            <w:vAlign w:val="top"/>
          </w:tcPr>
          <w:p w14:paraId="1F14F235">
            <w:pPr>
              <w:rPr>
                <w:rFonts w:hint="eastAsia" w:ascii="宋体" w:hAnsi="宋体" w:eastAsia="宋体" w:cs="宋体"/>
                <w:sz w:val="21"/>
                <w:highlight w:val="none"/>
                <w:rtl/>
              </w:rPr>
              <w:bidi/>
            </w:pPr>
          </w:p>
        </w:tc>
        <w:tc>
          <w:tcPr>
            <w:tcW w:w="679" w:type="dxa"/>
            <w:tcBorders>
              <w:top w:val="single" w:color="000000" w:sz="2" w:space="0"/>
              <w:bottom w:val="single" w:color="000000" w:sz="2" w:space="0"/>
            </w:tcBorders>
            <w:shd w:val="clear" w:color="auto" w:fill="C8C8CB"/>
            <w:vAlign w:val="top"/>
          </w:tcPr>
          <w:p w14:paraId="75240CFB">
            <w:pPr>
              <w:pStyle w:val="57"/>
              <w:spacing w:before="119" w:line="238" w:lineRule="auto"/>
              <w:ind w:left="143"/>
              <w:rPr>
                <w:rFonts w:hint="eastAsia" w:ascii="宋体" w:hAnsi="宋体" w:eastAsia="宋体" w:cs="宋体"/>
                <w:sz w:val="19"/>
                <w:szCs w:val="19"/>
                <w:highlight w:val="none"/>
                <w:rtl/>
              </w:rPr>
              <w:bidi/>
            </w:pPr>
            <w:r>
              <w:rPr>
                <w:rFonts w:hint="eastAsia" w:ascii="宋体" w:hAnsi="宋体" w:eastAsia="宋体" w:cs="宋体"/>
                <w:b/>
                <w:bCs/>
                <w:color w:val="206070"/>
                <w:spacing w:val="-4"/>
                <w:sz w:val="19"/>
                <w:szCs w:val="19"/>
                <w:highlight w:val="none"/>
                <w:rtl/>
              </w:rPr>
              <w:t>ملح</w:t>
            </w:r>
          </w:p>
          <w:p w14:paraId="75A23B44">
            <w:pPr>
              <w:pStyle w:val="57"/>
              <w:spacing w:before="15" w:line="212" w:lineRule="auto"/>
              <w:ind w:left="143"/>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ملغم/لتر</w:t>
            </w:r>
          </w:p>
        </w:tc>
        <w:tc>
          <w:tcPr>
            <w:tcW w:w="689" w:type="dxa"/>
            <w:tcBorders>
              <w:top w:val="single" w:color="000000" w:sz="2" w:space="0"/>
              <w:bottom w:val="single" w:color="000000" w:sz="2" w:space="0"/>
            </w:tcBorders>
            <w:shd w:val="clear" w:color="auto" w:fill="C8C9CB"/>
            <w:vAlign w:val="top"/>
          </w:tcPr>
          <w:p w14:paraId="605227D9">
            <w:pPr>
              <w:pStyle w:val="57"/>
              <w:spacing w:before="148" w:line="182" w:lineRule="auto"/>
              <w:ind w:left="144"/>
              <w:rPr>
                <w:rFonts w:hint="eastAsia" w:ascii="宋体" w:hAnsi="宋体" w:eastAsia="宋体" w:cs="宋体"/>
                <w:sz w:val="19"/>
                <w:szCs w:val="19"/>
                <w:highlight w:val="none"/>
                <w:rtl/>
              </w:rPr>
              <w:bidi/>
            </w:pPr>
            <w:r>
              <w:rPr>
                <w:rFonts w:hint="eastAsia" w:ascii="宋体" w:hAnsi="宋体" w:eastAsia="宋体" w:cs="宋体"/>
                <w:b/>
                <w:bCs/>
                <w:color w:val="205070"/>
                <w:spacing w:val="-3"/>
                <w:sz w:val="19"/>
                <w:szCs w:val="19"/>
                <w:highlight w:val="none"/>
                <w:rtl/>
              </w:rPr>
              <w:t>بي إس آند دبليو</w:t>
            </w:r>
          </w:p>
          <w:p w14:paraId="4F71C679">
            <w:pPr>
              <w:pStyle w:val="57"/>
              <w:spacing w:before="70" w:line="225" w:lineRule="auto"/>
              <w:ind w:left="284"/>
              <w:rPr>
                <w:rFonts w:hint="eastAsia" w:ascii="宋体" w:hAnsi="宋体" w:eastAsia="宋体" w:cs="宋体"/>
                <w:sz w:val="19"/>
                <w:szCs w:val="19"/>
                <w:highlight w:val="none"/>
                <w:rtl/>
              </w:rPr>
              <w:bidi/>
            </w:pPr>
            <w:r>
              <w:rPr>
                <w:rFonts w:hint="eastAsia" w:ascii="宋体" w:hAnsi="宋体" w:eastAsia="宋体" w:cs="宋体"/>
                <w:b/>
                <w:bCs/>
                <w:color w:val="306070"/>
                <w:spacing w:val="-2"/>
                <w:sz w:val="19"/>
                <w:szCs w:val="19"/>
                <w:highlight w:val="none"/>
                <w:rtl/>
              </w:rPr>
              <w:t>%</w:t>
            </w:r>
          </w:p>
        </w:tc>
        <w:tc>
          <w:tcPr>
            <w:tcW w:w="739" w:type="dxa"/>
            <w:tcBorders>
              <w:top w:val="single" w:color="000000" w:sz="2" w:space="0"/>
              <w:bottom w:val="single" w:color="000000" w:sz="2" w:space="0"/>
            </w:tcBorders>
            <w:shd w:val="clear" w:color="auto" w:fill="C8C9CB"/>
            <w:vAlign w:val="top"/>
          </w:tcPr>
          <w:p w14:paraId="78C1CF8D">
            <w:pPr>
              <w:pStyle w:val="57"/>
              <w:spacing w:before="109" w:line="238" w:lineRule="auto"/>
              <w:ind w:left="175"/>
              <w:rPr>
                <w:rFonts w:hint="eastAsia" w:ascii="宋体" w:hAnsi="宋体" w:eastAsia="宋体" w:cs="宋体"/>
                <w:sz w:val="19"/>
                <w:szCs w:val="19"/>
                <w:highlight w:val="none"/>
                <w:rtl/>
              </w:rPr>
              <w:bidi/>
            </w:pPr>
            <w:r>
              <w:rPr>
                <w:rFonts w:hint="eastAsia" w:ascii="宋体" w:hAnsi="宋体" w:eastAsia="宋体" w:cs="宋体"/>
                <w:b/>
                <w:bCs/>
                <w:color w:val="205070"/>
                <w:spacing w:val="-4"/>
                <w:sz w:val="19"/>
                <w:szCs w:val="19"/>
                <w:highlight w:val="none"/>
                <w:rtl/>
              </w:rPr>
              <w:t>ملح</w:t>
            </w:r>
          </w:p>
          <w:p w14:paraId="056894CC">
            <w:pPr>
              <w:pStyle w:val="57"/>
              <w:spacing w:before="35" w:line="212" w:lineRule="auto"/>
              <w:ind w:left="175"/>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ملغم/لتر</w:t>
            </w:r>
          </w:p>
        </w:tc>
        <w:tc>
          <w:tcPr>
            <w:tcW w:w="739" w:type="dxa"/>
            <w:tcBorders>
              <w:top w:val="single" w:color="000000" w:sz="2" w:space="0"/>
              <w:bottom w:val="single" w:color="000000" w:sz="2" w:space="0"/>
            </w:tcBorders>
            <w:shd w:val="clear" w:color="auto" w:fill="C8C9CD"/>
            <w:vAlign w:val="top"/>
          </w:tcPr>
          <w:p w14:paraId="4F6BF1B5">
            <w:pPr>
              <w:pStyle w:val="57"/>
              <w:spacing w:before="158" w:line="182" w:lineRule="auto"/>
              <w:ind w:left="176"/>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بي إس آند دبليو</w:t>
            </w:r>
          </w:p>
          <w:p w14:paraId="7B2814CB">
            <w:pPr>
              <w:pStyle w:val="57"/>
              <w:spacing w:before="60" w:line="225" w:lineRule="auto"/>
              <w:ind w:left="316"/>
              <w:rPr>
                <w:rFonts w:hint="eastAsia" w:ascii="宋体" w:hAnsi="宋体" w:eastAsia="宋体" w:cs="宋体"/>
                <w:sz w:val="19"/>
                <w:szCs w:val="19"/>
                <w:highlight w:val="none"/>
                <w:rtl/>
              </w:rPr>
              <w:bidi/>
            </w:pPr>
            <w:r>
              <w:rPr>
                <w:rFonts w:hint="eastAsia" w:ascii="宋体" w:hAnsi="宋体" w:eastAsia="宋体" w:cs="宋体"/>
                <w:b/>
                <w:bCs/>
                <w:color w:val="306070"/>
                <w:spacing w:val="-2"/>
                <w:sz w:val="19"/>
                <w:szCs w:val="19"/>
                <w:highlight w:val="none"/>
                <w:rtl/>
              </w:rPr>
              <w:t>%</w:t>
            </w:r>
          </w:p>
        </w:tc>
        <w:tc>
          <w:tcPr>
            <w:tcW w:w="600" w:type="dxa"/>
            <w:tcBorders>
              <w:top w:val="single" w:color="000000" w:sz="2" w:space="0"/>
              <w:bottom w:val="single" w:color="000000" w:sz="2" w:space="0"/>
            </w:tcBorders>
            <w:shd w:val="clear" w:color="auto" w:fill="C7C8CC"/>
            <w:vAlign w:val="top"/>
          </w:tcPr>
          <w:p w14:paraId="01CEE82C">
            <w:pPr>
              <w:pStyle w:val="57"/>
              <w:spacing w:before="119" w:line="238" w:lineRule="auto"/>
              <w:ind w:left="107"/>
              <w:rPr>
                <w:rFonts w:hint="eastAsia" w:ascii="宋体" w:hAnsi="宋体" w:eastAsia="宋体" w:cs="宋体"/>
                <w:sz w:val="19"/>
                <w:szCs w:val="19"/>
                <w:highlight w:val="none"/>
                <w:rtl/>
              </w:rPr>
              <w:bidi/>
            </w:pPr>
            <w:r>
              <w:rPr>
                <w:rFonts w:hint="eastAsia" w:ascii="宋体" w:hAnsi="宋体" w:eastAsia="宋体" w:cs="宋体"/>
                <w:b/>
                <w:bCs/>
                <w:color w:val="205070"/>
                <w:spacing w:val="-4"/>
                <w:sz w:val="19"/>
                <w:szCs w:val="19"/>
                <w:highlight w:val="none"/>
                <w:rtl/>
              </w:rPr>
              <w:t>ملح</w:t>
            </w:r>
          </w:p>
          <w:p w14:paraId="3A88EDE5">
            <w:pPr>
              <w:pStyle w:val="57"/>
              <w:spacing w:before="25" w:line="212" w:lineRule="auto"/>
              <w:ind w:left="107"/>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ملغ/لتر</w:t>
            </w:r>
          </w:p>
        </w:tc>
        <w:tc>
          <w:tcPr>
            <w:tcW w:w="749" w:type="dxa"/>
            <w:tcBorders>
              <w:top w:val="single" w:color="000000" w:sz="2" w:space="0"/>
              <w:bottom w:val="single" w:color="000000" w:sz="2" w:space="0"/>
            </w:tcBorders>
            <w:shd w:val="clear" w:color="auto" w:fill="C7C8CC"/>
            <w:vAlign w:val="top"/>
          </w:tcPr>
          <w:p w14:paraId="39569924">
            <w:pPr>
              <w:pStyle w:val="57"/>
              <w:spacing w:before="158" w:line="182" w:lineRule="auto"/>
              <w:ind w:left="177"/>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بي إس آند دبليو</w:t>
            </w:r>
          </w:p>
          <w:p w14:paraId="0A2F019E">
            <w:pPr>
              <w:pStyle w:val="57"/>
              <w:spacing w:before="70" w:line="215" w:lineRule="auto"/>
              <w:ind w:left="317"/>
              <w:rPr>
                <w:rFonts w:hint="eastAsia" w:ascii="宋体" w:hAnsi="宋体" w:eastAsia="宋体" w:cs="宋体"/>
                <w:sz w:val="19"/>
                <w:szCs w:val="19"/>
                <w:highlight w:val="none"/>
                <w:rtl/>
              </w:rPr>
              <w:bidi/>
            </w:pPr>
            <w:r>
              <w:rPr>
                <w:rFonts w:hint="eastAsia" w:ascii="宋体" w:hAnsi="宋体" w:eastAsia="宋体" w:cs="宋体"/>
                <w:b/>
                <w:bCs/>
                <w:color w:val="206070"/>
                <w:spacing w:val="-2"/>
                <w:sz w:val="19"/>
                <w:szCs w:val="19"/>
                <w:highlight w:val="none"/>
                <w:rtl/>
              </w:rPr>
              <w:t>%</w:t>
            </w:r>
          </w:p>
        </w:tc>
        <w:tc>
          <w:tcPr>
            <w:tcW w:w="620" w:type="dxa"/>
            <w:tcBorders>
              <w:top w:val="single" w:color="000000" w:sz="2" w:space="0"/>
              <w:bottom w:val="single" w:color="000000" w:sz="2" w:space="0"/>
            </w:tcBorders>
            <w:shd w:val="clear" w:color="auto" w:fill="C4C5C8"/>
            <w:vAlign w:val="top"/>
          </w:tcPr>
          <w:p w14:paraId="0A1D1441">
            <w:pPr>
              <w:pStyle w:val="57"/>
              <w:spacing w:before="128" w:line="238" w:lineRule="auto"/>
              <w:ind w:left="118"/>
              <w:rPr>
                <w:rFonts w:hint="eastAsia" w:ascii="宋体" w:hAnsi="宋体" w:eastAsia="宋体" w:cs="宋体"/>
                <w:sz w:val="19"/>
                <w:szCs w:val="19"/>
                <w:highlight w:val="none"/>
                <w:rtl/>
              </w:rPr>
              <w:bidi/>
            </w:pPr>
            <w:r>
              <w:rPr>
                <w:rFonts w:hint="eastAsia" w:ascii="宋体" w:hAnsi="宋体" w:eastAsia="宋体" w:cs="宋体"/>
                <w:b/>
                <w:bCs/>
                <w:color w:val="206060"/>
                <w:spacing w:val="-4"/>
                <w:sz w:val="19"/>
                <w:szCs w:val="19"/>
                <w:highlight w:val="none"/>
                <w:rtl/>
              </w:rPr>
              <w:t>ملح</w:t>
            </w:r>
          </w:p>
          <w:p w14:paraId="53EE265A">
            <w:pPr>
              <w:pStyle w:val="57"/>
              <w:spacing w:before="5" w:line="212" w:lineRule="auto"/>
              <w:ind w:left="118"/>
              <w:rPr>
                <w:rFonts w:hint="eastAsia" w:ascii="宋体" w:hAnsi="宋体" w:eastAsia="宋体" w:cs="宋体"/>
                <w:sz w:val="19"/>
                <w:szCs w:val="19"/>
                <w:highlight w:val="none"/>
                <w:rtl/>
              </w:rPr>
              <w:bidi/>
            </w:pPr>
            <w:r>
              <w:rPr>
                <w:rFonts w:hint="eastAsia" w:ascii="宋体" w:hAnsi="宋体" w:eastAsia="宋体" w:cs="宋体"/>
                <w:b/>
                <w:bCs/>
                <w:color w:val="205050"/>
                <w:spacing w:val="-3"/>
                <w:sz w:val="19"/>
                <w:szCs w:val="19"/>
                <w:highlight w:val="none"/>
                <w:rtl/>
              </w:rPr>
              <w:t>ملغم/لتر</w:t>
            </w:r>
          </w:p>
        </w:tc>
        <w:tc>
          <w:tcPr>
            <w:tcW w:w="729" w:type="dxa"/>
            <w:tcBorders>
              <w:top w:val="single" w:color="000000" w:sz="2" w:space="0"/>
              <w:bottom w:val="single" w:color="000000" w:sz="2" w:space="0"/>
            </w:tcBorders>
            <w:shd w:val="clear" w:color="auto" w:fill="C7C8CB"/>
            <w:vAlign w:val="top"/>
          </w:tcPr>
          <w:p w14:paraId="5C3FF976">
            <w:pPr>
              <w:pStyle w:val="57"/>
              <w:spacing w:before="158" w:line="182" w:lineRule="auto"/>
              <w:ind w:left="168"/>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بي إس آند دبليو</w:t>
            </w:r>
          </w:p>
          <w:p w14:paraId="3B70BCF8">
            <w:pPr>
              <w:pStyle w:val="57"/>
              <w:spacing w:before="61" w:line="224" w:lineRule="auto"/>
              <w:ind w:left="306"/>
              <w:rPr>
                <w:rFonts w:hint="eastAsia" w:ascii="宋体" w:hAnsi="宋体" w:eastAsia="宋体" w:cs="宋体"/>
                <w:sz w:val="19"/>
                <w:szCs w:val="19"/>
                <w:highlight w:val="none"/>
                <w:rtl/>
              </w:rPr>
              <w:bidi/>
            </w:pPr>
            <w:r>
              <w:rPr>
                <w:rFonts w:hint="eastAsia" w:ascii="宋体" w:hAnsi="宋体" w:eastAsia="宋体" w:cs="宋体"/>
                <w:color w:val="206070"/>
                <w:sz w:val="19"/>
                <w:szCs w:val="19"/>
                <w:highlight w:val="none"/>
                <w:rtl/>
              </w:rPr>
              <w:t>%</w:t>
            </w:r>
          </w:p>
        </w:tc>
        <w:tc>
          <w:tcPr>
            <w:tcW w:w="630" w:type="dxa"/>
            <w:tcBorders>
              <w:top w:val="single" w:color="000000" w:sz="2" w:space="0"/>
              <w:bottom w:val="single" w:color="000000" w:sz="2" w:space="0"/>
            </w:tcBorders>
            <w:shd w:val="clear" w:color="auto" w:fill="C6C7CC"/>
            <w:vAlign w:val="top"/>
          </w:tcPr>
          <w:p w14:paraId="3AA7826C">
            <w:pPr>
              <w:pStyle w:val="57"/>
              <w:spacing w:before="109" w:line="238" w:lineRule="auto"/>
              <w:ind w:left="119"/>
              <w:rPr>
                <w:rFonts w:hint="eastAsia" w:ascii="宋体" w:hAnsi="宋体" w:eastAsia="宋体" w:cs="宋体"/>
                <w:sz w:val="19"/>
                <w:szCs w:val="19"/>
                <w:highlight w:val="none"/>
                <w:rtl/>
              </w:rPr>
              <w:bidi/>
            </w:pPr>
            <w:r>
              <w:rPr>
                <w:rFonts w:hint="eastAsia" w:ascii="宋体" w:hAnsi="宋体" w:eastAsia="宋体" w:cs="宋体"/>
                <w:b/>
                <w:bCs/>
                <w:color w:val="205060"/>
                <w:spacing w:val="-4"/>
                <w:sz w:val="19"/>
                <w:szCs w:val="19"/>
                <w:highlight w:val="none"/>
                <w:rtl/>
              </w:rPr>
              <w:t>ملح</w:t>
            </w:r>
          </w:p>
          <w:p w14:paraId="04AF5C03">
            <w:pPr>
              <w:pStyle w:val="57"/>
              <w:spacing w:before="35" w:line="212" w:lineRule="auto"/>
              <w:ind w:left="119"/>
              <w:rPr>
                <w:rFonts w:hint="eastAsia" w:ascii="宋体" w:hAnsi="宋体" w:eastAsia="宋体" w:cs="宋体"/>
                <w:sz w:val="19"/>
                <w:szCs w:val="19"/>
                <w:highlight w:val="none"/>
                <w:rtl/>
              </w:rPr>
              <w:bidi/>
            </w:pPr>
            <w:r>
              <w:rPr>
                <w:rFonts w:hint="eastAsia" w:ascii="宋体" w:hAnsi="宋体" w:eastAsia="宋体" w:cs="宋体"/>
                <w:b/>
                <w:bCs/>
                <w:color w:val="206060"/>
                <w:spacing w:val="-3"/>
                <w:sz w:val="19"/>
                <w:szCs w:val="19"/>
                <w:highlight w:val="none"/>
                <w:rtl/>
              </w:rPr>
              <w:t>ملغم/لتر</w:t>
            </w:r>
          </w:p>
        </w:tc>
        <w:tc>
          <w:tcPr>
            <w:tcW w:w="689" w:type="dxa"/>
            <w:tcBorders>
              <w:top w:val="single" w:color="000000" w:sz="2" w:space="0"/>
              <w:bottom w:val="single" w:color="000000" w:sz="2" w:space="0"/>
            </w:tcBorders>
            <w:shd w:val="clear" w:color="auto" w:fill="CBCCCF"/>
            <w:vAlign w:val="top"/>
          </w:tcPr>
          <w:p w14:paraId="528A7B23">
            <w:pPr>
              <w:pStyle w:val="57"/>
              <w:spacing w:before="148" w:line="182" w:lineRule="auto"/>
              <w:ind w:left="149"/>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بي إس آند دبليو</w:t>
            </w:r>
          </w:p>
          <w:p w14:paraId="64E93616">
            <w:pPr>
              <w:pStyle w:val="57"/>
              <w:spacing w:before="71" w:line="224" w:lineRule="auto"/>
              <w:ind w:left="287"/>
              <w:rPr>
                <w:rFonts w:hint="eastAsia" w:ascii="宋体" w:hAnsi="宋体" w:eastAsia="宋体" w:cs="宋体"/>
                <w:sz w:val="19"/>
                <w:szCs w:val="19"/>
                <w:highlight w:val="none"/>
                <w:rtl/>
              </w:rPr>
              <w:bidi/>
            </w:pPr>
            <w:r>
              <w:rPr>
                <w:rFonts w:hint="eastAsia" w:ascii="宋体" w:hAnsi="宋体" w:eastAsia="宋体" w:cs="宋体"/>
                <w:color w:val="205060"/>
                <w:sz w:val="19"/>
                <w:szCs w:val="19"/>
                <w:highlight w:val="none"/>
                <w:rtl/>
              </w:rPr>
              <w:t>%</w:t>
            </w:r>
          </w:p>
        </w:tc>
        <w:tc>
          <w:tcPr>
            <w:tcW w:w="729" w:type="dxa"/>
            <w:tcBorders>
              <w:top w:val="single" w:color="000000" w:sz="2" w:space="0"/>
              <w:bottom w:val="single" w:color="000000" w:sz="2" w:space="0"/>
            </w:tcBorders>
            <w:shd w:val="clear" w:color="auto" w:fill="CBCCCF"/>
            <w:vAlign w:val="top"/>
          </w:tcPr>
          <w:p w14:paraId="3B3A8C1C">
            <w:pPr>
              <w:pStyle w:val="57"/>
              <w:spacing w:before="128" w:line="238" w:lineRule="auto"/>
              <w:ind w:left="170"/>
              <w:rPr>
                <w:rFonts w:hint="eastAsia" w:ascii="宋体" w:hAnsi="宋体" w:eastAsia="宋体" w:cs="宋体"/>
                <w:sz w:val="19"/>
                <w:szCs w:val="19"/>
                <w:highlight w:val="none"/>
                <w:rtl/>
              </w:rPr>
              <w:bidi/>
            </w:pPr>
            <w:r>
              <w:rPr>
                <w:rFonts w:hint="eastAsia" w:ascii="宋体" w:hAnsi="宋体" w:eastAsia="宋体" w:cs="宋体"/>
                <w:b/>
                <w:bCs/>
                <w:color w:val="205060"/>
                <w:spacing w:val="-4"/>
                <w:sz w:val="19"/>
                <w:szCs w:val="19"/>
                <w:highlight w:val="none"/>
                <w:rtl/>
              </w:rPr>
              <w:t>ملح</w:t>
            </w:r>
          </w:p>
          <w:p w14:paraId="136B0541">
            <w:pPr>
              <w:pStyle w:val="57"/>
              <w:spacing w:before="25" w:line="212" w:lineRule="auto"/>
              <w:ind w:left="170"/>
              <w:rPr>
                <w:rFonts w:hint="eastAsia" w:ascii="宋体" w:hAnsi="宋体" w:eastAsia="宋体" w:cs="宋体"/>
                <w:sz w:val="19"/>
                <w:szCs w:val="19"/>
                <w:highlight w:val="none"/>
                <w:rtl/>
              </w:rPr>
              <w:bidi/>
            </w:pPr>
            <w:r>
              <w:rPr>
                <w:rFonts w:hint="eastAsia" w:ascii="宋体" w:hAnsi="宋体" w:eastAsia="宋体" w:cs="宋体"/>
                <w:b/>
                <w:bCs/>
                <w:color w:val="205060"/>
                <w:spacing w:val="-3"/>
                <w:sz w:val="19"/>
                <w:szCs w:val="19"/>
                <w:highlight w:val="none"/>
                <w:rtl/>
              </w:rPr>
              <w:t>ملغم/لتر</w:t>
            </w:r>
          </w:p>
        </w:tc>
        <w:tc>
          <w:tcPr>
            <w:tcW w:w="684" w:type="dxa"/>
            <w:tcBorders>
              <w:top w:val="single" w:color="000000" w:sz="2" w:space="0"/>
              <w:bottom w:val="single" w:color="000000" w:sz="2" w:space="0"/>
            </w:tcBorders>
            <w:shd w:val="clear" w:color="auto" w:fill="CFD0D5"/>
            <w:vAlign w:val="top"/>
          </w:tcPr>
          <w:p w14:paraId="3F17D825">
            <w:pPr>
              <w:pStyle w:val="57"/>
              <w:spacing w:before="159" w:line="182" w:lineRule="auto"/>
              <w:ind w:left="149"/>
              <w:rPr>
                <w:rFonts w:hint="eastAsia" w:ascii="宋体" w:hAnsi="宋体" w:eastAsia="宋体" w:cs="宋体"/>
                <w:sz w:val="19"/>
                <w:szCs w:val="19"/>
                <w:highlight w:val="none"/>
                <w:rtl/>
              </w:rPr>
              <w:bidi/>
            </w:pPr>
            <w:r>
              <w:rPr>
                <w:rFonts w:hint="eastAsia" w:ascii="宋体" w:hAnsi="宋体" w:eastAsia="宋体" w:cs="宋体"/>
                <w:color w:val="205060"/>
                <w:spacing w:val="-1"/>
                <w:sz w:val="19"/>
                <w:szCs w:val="19"/>
                <w:highlight w:val="none"/>
                <w:rtl/>
              </w:rPr>
              <w:t>بي إس آند دبليو</w:t>
            </w:r>
          </w:p>
          <w:p w14:paraId="10714904">
            <w:pPr>
              <w:pStyle w:val="57"/>
              <w:spacing w:before="60" w:line="224" w:lineRule="auto"/>
              <w:ind w:left="288"/>
              <w:rPr>
                <w:rFonts w:hint="eastAsia" w:ascii="宋体" w:hAnsi="宋体" w:eastAsia="宋体" w:cs="宋体"/>
                <w:sz w:val="19"/>
                <w:szCs w:val="19"/>
                <w:highlight w:val="none"/>
                <w:rtl/>
              </w:rPr>
              <w:bidi/>
            </w:pPr>
            <w:r>
              <w:rPr>
                <w:rFonts w:hint="eastAsia" w:ascii="宋体" w:hAnsi="宋体" w:eastAsia="宋体" w:cs="宋体"/>
                <w:color w:val="306060"/>
                <w:sz w:val="19"/>
                <w:szCs w:val="19"/>
                <w:highlight w:val="none"/>
                <w:rtl/>
              </w:rPr>
              <w:t>%</w:t>
            </w:r>
          </w:p>
        </w:tc>
      </w:tr>
      <w:tr w14:paraId="05868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894" w:type="dxa"/>
            <w:vMerge w:val="restart"/>
            <w:tcBorders>
              <w:top w:val="single" w:color="000000" w:sz="2" w:space="0"/>
              <w:bottom w:val="nil"/>
            </w:tcBorders>
            <w:vAlign w:val="top"/>
          </w:tcPr>
          <w:p w14:paraId="5E6B4B51">
            <w:pPr>
              <w:spacing w:line="304" w:lineRule="auto"/>
              <w:rPr>
                <w:rFonts w:hint="eastAsia" w:ascii="宋体" w:hAnsi="宋体" w:eastAsia="宋体" w:cs="宋体"/>
                <w:sz w:val="21"/>
                <w:highlight w:val="none"/>
                <w:rtl/>
              </w:rPr>
              <w:bidi/>
            </w:pPr>
          </w:p>
          <w:p w14:paraId="37811A94">
            <w:pPr>
              <w:pStyle w:val="57"/>
              <w:spacing w:before="62" w:line="238" w:lineRule="auto"/>
              <w:ind w:left="5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29-05-24</w:t>
            </w:r>
          </w:p>
        </w:tc>
        <w:tc>
          <w:tcPr>
            <w:tcW w:w="620" w:type="dxa"/>
            <w:tcBorders>
              <w:top w:val="single" w:color="000000" w:sz="2" w:space="0"/>
              <w:bottom w:val="single" w:color="000000" w:sz="2" w:space="0"/>
            </w:tcBorders>
            <w:vAlign w:val="top"/>
          </w:tcPr>
          <w:p w14:paraId="65FD07F4">
            <w:pPr>
              <w:pStyle w:val="57"/>
              <w:spacing w:before="71" w:line="195"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09:00</w:t>
            </w:r>
          </w:p>
        </w:tc>
        <w:tc>
          <w:tcPr>
            <w:tcW w:w="679" w:type="dxa"/>
            <w:tcBorders>
              <w:top w:val="single" w:color="000000" w:sz="2" w:space="0"/>
              <w:bottom w:val="single" w:color="000000" w:sz="2" w:space="0"/>
            </w:tcBorders>
            <w:vAlign w:val="top"/>
          </w:tcPr>
          <w:p w14:paraId="2F5B2296">
            <w:pPr>
              <w:pStyle w:val="57"/>
              <w:spacing w:before="71" w:line="195"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6238D1D2">
            <w:pPr>
              <w:pStyle w:val="57"/>
              <w:spacing w:before="71" w:line="195"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0.2</w:t>
            </w:r>
          </w:p>
        </w:tc>
        <w:tc>
          <w:tcPr>
            <w:tcW w:w="739" w:type="dxa"/>
            <w:tcBorders>
              <w:top w:val="single" w:color="000000" w:sz="2" w:space="0"/>
              <w:bottom w:val="single" w:color="000000" w:sz="2" w:space="0"/>
            </w:tcBorders>
            <w:vAlign w:val="top"/>
          </w:tcPr>
          <w:p w14:paraId="04BD5CBF">
            <w:pPr>
              <w:pStyle w:val="57"/>
              <w:spacing w:before="71" w:line="195"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4AAED6B1">
            <w:pPr>
              <w:pStyle w:val="57"/>
              <w:spacing w:before="102" w:line="165" w:lineRule="auto"/>
              <w:ind w:left="314"/>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00" w:type="dxa"/>
            <w:tcBorders>
              <w:top w:val="single" w:color="000000" w:sz="2" w:space="0"/>
              <w:bottom w:val="single" w:color="000000" w:sz="2" w:space="0"/>
            </w:tcBorders>
            <w:vAlign w:val="top"/>
          </w:tcPr>
          <w:p w14:paraId="6052F259">
            <w:pPr>
              <w:pStyle w:val="57"/>
              <w:spacing w:before="71" w:line="195"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49" w:type="dxa"/>
            <w:tcBorders>
              <w:top w:val="single" w:color="000000" w:sz="2" w:space="0"/>
              <w:bottom w:val="single" w:color="000000" w:sz="2" w:space="0"/>
            </w:tcBorders>
            <w:vAlign w:val="top"/>
          </w:tcPr>
          <w:p w14:paraId="26C55B6A">
            <w:pPr>
              <w:pStyle w:val="57"/>
              <w:spacing w:before="71" w:line="195" w:lineRule="auto"/>
              <w:ind w:left="22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20" w:type="dxa"/>
            <w:tcBorders>
              <w:top w:val="single" w:color="000000" w:sz="2" w:space="0"/>
              <w:bottom w:val="single" w:color="000000" w:sz="2" w:space="0"/>
            </w:tcBorders>
            <w:vAlign w:val="top"/>
          </w:tcPr>
          <w:p w14:paraId="31FB6AB4">
            <w:pPr>
              <w:pStyle w:val="57"/>
              <w:spacing w:before="71" w:line="195"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179C255F">
            <w:pPr>
              <w:pStyle w:val="57"/>
              <w:spacing w:before="71" w:line="195" w:lineRule="auto"/>
              <w:ind w:left="216"/>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30" w:type="dxa"/>
            <w:tcBorders>
              <w:top w:val="single" w:color="000000" w:sz="2" w:space="0"/>
              <w:bottom w:val="single" w:color="000000" w:sz="2" w:space="0"/>
            </w:tcBorders>
            <w:vAlign w:val="top"/>
          </w:tcPr>
          <w:p w14:paraId="2C22B4AD">
            <w:pPr>
              <w:pStyle w:val="57"/>
              <w:spacing w:before="71" w:line="195"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57</w:t>
            </w:r>
          </w:p>
        </w:tc>
        <w:tc>
          <w:tcPr>
            <w:tcW w:w="689" w:type="dxa"/>
            <w:tcBorders>
              <w:top w:val="single" w:color="000000" w:sz="2" w:space="0"/>
              <w:bottom w:val="single" w:color="000000" w:sz="2" w:space="0"/>
            </w:tcBorders>
            <w:vAlign w:val="top"/>
          </w:tcPr>
          <w:p w14:paraId="1632B1DD">
            <w:pPr>
              <w:pStyle w:val="57"/>
              <w:spacing w:before="102" w:line="165" w:lineRule="auto"/>
              <w:ind w:left="287"/>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29" w:type="dxa"/>
            <w:tcBorders>
              <w:top w:val="single" w:color="000000" w:sz="2" w:space="0"/>
              <w:bottom w:val="single" w:color="000000" w:sz="2" w:space="0"/>
            </w:tcBorders>
            <w:vAlign w:val="top"/>
          </w:tcPr>
          <w:p w14:paraId="793F200A">
            <w:pPr>
              <w:pStyle w:val="57"/>
              <w:spacing w:before="71" w:line="195"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39D25C79">
            <w:pPr>
              <w:pStyle w:val="57"/>
              <w:spacing w:before="102" w:line="165" w:lineRule="auto"/>
              <w:ind w:left="288"/>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r>
      <w:tr w14:paraId="2B1DF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894" w:type="dxa"/>
            <w:vMerge w:val="continue"/>
            <w:tcBorders>
              <w:top w:val="nil"/>
              <w:bottom w:val="nil"/>
            </w:tcBorders>
            <w:vAlign w:val="top"/>
          </w:tcPr>
          <w:p w14:paraId="566C4696">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6848B191">
            <w:pPr>
              <w:pStyle w:val="57"/>
              <w:spacing w:before="71" w:line="204" w:lineRule="auto"/>
              <w:ind w:left="61"/>
              <w:rPr>
                <w:rFonts w:hint="eastAsia" w:ascii="宋体" w:hAnsi="宋体" w:eastAsia="宋体" w:cs="宋体"/>
                <w:sz w:val="19"/>
                <w:szCs w:val="19"/>
                <w:highlight w:val="none"/>
                <w:rtl/>
              </w:rPr>
              <w:bidi/>
            </w:pPr>
            <w:r>
              <w:rPr>
                <w:rFonts w:hint="eastAsia" w:ascii="宋体" w:hAnsi="宋体" w:eastAsia="宋体" w:cs="宋体"/>
                <w:spacing w:val="-4"/>
                <w:sz w:val="19"/>
                <w:szCs w:val="19"/>
                <w:highlight w:val="none"/>
                <w:rtl/>
              </w:rPr>
              <w:t>15:00</w:t>
            </w:r>
          </w:p>
        </w:tc>
        <w:tc>
          <w:tcPr>
            <w:tcW w:w="679" w:type="dxa"/>
            <w:tcBorders>
              <w:top w:val="single" w:color="000000" w:sz="2" w:space="0"/>
              <w:bottom w:val="single" w:color="000000" w:sz="2" w:space="0"/>
            </w:tcBorders>
            <w:vAlign w:val="top"/>
          </w:tcPr>
          <w:p w14:paraId="4126DC8A">
            <w:pPr>
              <w:pStyle w:val="57"/>
              <w:spacing w:before="71" w:line="204"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0C765DA9">
            <w:pPr>
              <w:pStyle w:val="57"/>
              <w:spacing w:before="71" w:line="204"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39" w:type="dxa"/>
            <w:tcBorders>
              <w:top w:val="single" w:color="000000" w:sz="2" w:space="0"/>
              <w:bottom w:val="single" w:color="000000" w:sz="2" w:space="0"/>
            </w:tcBorders>
            <w:vAlign w:val="top"/>
          </w:tcPr>
          <w:p w14:paraId="3B7AA83E">
            <w:pPr>
              <w:pStyle w:val="57"/>
              <w:spacing w:before="71" w:line="204"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5559A3DD">
            <w:pPr>
              <w:pStyle w:val="57"/>
              <w:spacing w:before="71" w:line="204" w:lineRule="auto"/>
              <w:ind w:left="214"/>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00" w:type="dxa"/>
            <w:tcBorders>
              <w:top w:val="single" w:color="000000" w:sz="2" w:space="0"/>
              <w:bottom w:val="single" w:color="000000" w:sz="2" w:space="0"/>
            </w:tcBorders>
            <w:vAlign w:val="top"/>
          </w:tcPr>
          <w:p w14:paraId="65BCA9F3">
            <w:pPr>
              <w:pStyle w:val="57"/>
              <w:spacing w:before="71" w:line="204"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49" w:type="dxa"/>
            <w:tcBorders>
              <w:top w:val="single" w:color="000000" w:sz="2" w:space="0"/>
              <w:bottom w:val="single" w:color="000000" w:sz="2" w:space="0"/>
            </w:tcBorders>
            <w:vAlign w:val="top"/>
          </w:tcPr>
          <w:p w14:paraId="67909C72">
            <w:pPr>
              <w:pStyle w:val="57"/>
              <w:spacing w:before="71" w:line="204" w:lineRule="auto"/>
              <w:ind w:left="22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20" w:type="dxa"/>
            <w:tcBorders>
              <w:top w:val="single" w:color="000000" w:sz="2" w:space="0"/>
              <w:bottom w:val="single" w:color="000000" w:sz="2" w:space="0"/>
            </w:tcBorders>
            <w:vAlign w:val="top"/>
          </w:tcPr>
          <w:p w14:paraId="49D6A0D5">
            <w:pPr>
              <w:pStyle w:val="57"/>
              <w:spacing w:before="71" w:line="204"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6A86ADC2">
            <w:pPr>
              <w:pStyle w:val="57"/>
              <w:spacing w:before="71" w:line="204" w:lineRule="auto"/>
              <w:ind w:left="216"/>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30" w:type="dxa"/>
            <w:tcBorders>
              <w:top w:val="single" w:color="000000" w:sz="2" w:space="0"/>
              <w:bottom w:val="single" w:color="000000" w:sz="2" w:space="0"/>
            </w:tcBorders>
            <w:vAlign w:val="top"/>
          </w:tcPr>
          <w:p w14:paraId="782B9469">
            <w:pPr>
              <w:pStyle w:val="57"/>
              <w:spacing w:before="71" w:line="204"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57</w:t>
            </w:r>
          </w:p>
        </w:tc>
        <w:tc>
          <w:tcPr>
            <w:tcW w:w="689" w:type="dxa"/>
            <w:tcBorders>
              <w:top w:val="single" w:color="000000" w:sz="2" w:space="0"/>
              <w:bottom w:val="single" w:color="000000" w:sz="2" w:space="0"/>
            </w:tcBorders>
            <w:vAlign w:val="top"/>
          </w:tcPr>
          <w:p w14:paraId="549F1C1D">
            <w:pPr>
              <w:pStyle w:val="57"/>
              <w:spacing w:before="102" w:line="173" w:lineRule="auto"/>
              <w:ind w:left="287"/>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29" w:type="dxa"/>
            <w:tcBorders>
              <w:top w:val="single" w:color="000000" w:sz="2" w:space="0"/>
              <w:bottom w:val="single" w:color="000000" w:sz="2" w:space="0"/>
            </w:tcBorders>
            <w:vAlign w:val="top"/>
          </w:tcPr>
          <w:p w14:paraId="759F5878">
            <w:pPr>
              <w:pStyle w:val="57"/>
              <w:spacing w:before="71" w:line="204"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76827138">
            <w:pPr>
              <w:pStyle w:val="57"/>
              <w:spacing w:before="71" w:line="204"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r>
      <w:tr w14:paraId="5BE2A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94" w:type="dxa"/>
            <w:vMerge w:val="continue"/>
            <w:tcBorders>
              <w:top w:val="nil"/>
              <w:bottom w:val="single" w:color="000000" w:sz="2" w:space="0"/>
            </w:tcBorders>
            <w:vAlign w:val="top"/>
          </w:tcPr>
          <w:p w14:paraId="74CA5137">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6C4D41E3">
            <w:pPr>
              <w:pStyle w:val="57"/>
              <w:spacing w:before="72" w:line="204"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21:00</w:t>
            </w:r>
          </w:p>
        </w:tc>
        <w:tc>
          <w:tcPr>
            <w:tcW w:w="679" w:type="dxa"/>
            <w:tcBorders>
              <w:top w:val="single" w:color="000000" w:sz="2" w:space="0"/>
              <w:bottom w:val="single" w:color="000000" w:sz="2" w:space="0"/>
            </w:tcBorders>
            <w:vAlign w:val="top"/>
          </w:tcPr>
          <w:p w14:paraId="5003B1F4">
            <w:pPr>
              <w:pStyle w:val="57"/>
              <w:spacing w:before="72" w:line="204"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775FF3F0">
            <w:pPr>
              <w:pStyle w:val="57"/>
              <w:spacing w:before="72" w:line="204"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39" w:type="dxa"/>
            <w:tcBorders>
              <w:top w:val="single" w:color="000000" w:sz="2" w:space="0"/>
              <w:bottom w:val="single" w:color="000000" w:sz="2" w:space="0"/>
            </w:tcBorders>
            <w:vAlign w:val="top"/>
          </w:tcPr>
          <w:p w14:paraId="43B124BC">
            <w:pPr>
              <w:pStyle w:val="57"/>
              <w:spacing w:before="72" w:line="204"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6CE91F27">
            <w:pPr>
              <w:pStyle w:val="57"/>
              <w:spacing w:before="72" w:line="204" w:lineRule="auto"/>
              <w:ind w:left="214"/>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00" w:type="dxa"/>
            <w:tcBorders>
              <w:top w:val="single" w:color="000000" w:sz="2" w:space="0"/>
              <w:bottom w:val="single" w:color="000000" w:sz="2" w:space="0"/>
            </w:tcBorders>
            <w:vAlign w:val="top"/>
          </w:tcPr>
          <w:p w14:paraId="5E3FD3FA">
            <w:pPr>
              <w:pStyle w:val="57"/>
              <w:spacing w:before="72" w:line="204"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إثنان وعشرون</w:t>
            </w:r>
          </w:p>
        </w:tc>
        <w:tc>
          <w:tcPr>
            <w:tcW w:w="749" w:type="dxa"/>
            <w:tcBorders>
              <w:top w:val="single" w:color="000000" w:sz="2" w:space="0"/>
              <w:bottom w:val="single" w:color="000000" w:sz="2" w:space="0"/>
            </w:tcBorders>
            <w:vAlign w:val="top"/>
          </w:tcPr>
          <w:p w14:paraId="47BFE477">
            <w:pPr>
              <w:pStyle w:val="57"/>
              <w:spacing w:before="102" w:line="174" w:lineRule="auto"/>
              <w:ind w:left="315"/>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20" w:type="dxa"/>
            <w:tcBorders>
              <w:top w:val="single" w:color="000000" w:sz="2" w:space="0"/>
              <w:bottom w:val="single" w:color="000000" w:sz="2" w:space="0"/>
            </w:tcBorders>
            <w:vAlign w:val="top"/>
          </w:tcPr>
          <w:p w14:paraId="28AB851B">
            <w:pPr>
              <w:pStyle w:val="57"/>
              <w:spacing w:before="72" w:line="204"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إثنان وعشرون</w:t>
            </w:r>
          </w:p>
        </w:tc>
        <w:tc>
          <w:tcPr>
            <w:tcW w:w="729" w:type="dxa"/>
            <w:tcBorders>
              <w:top w:val="single" w:color="000000" w:sz="2" w:space="0"/>
              <w:bottom w:val="single" w:color="000000" w:sz="2" w:space="0"/>
            </w:tcBorders>
            <w:vAlign w:val="top"/>
          </w:tcPr>
          <w:p w14:paraId="68096157">
            <w:pPr>
              <w:pStyle w:val="57"/>
              <w:spacing w:before="102" w:line="174" w:lineRule="auto"/>
              <w:ind w:left="306"/>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30" w:type="dxa"/>
            <w:tcBorders>
              <w:top w:val="single" w:color="000000" w:sz="2" w:space="0"/>
              <w:bottom w:val="single" w:color="000000" w:sz="2" w:space="0"/>
            </w:tcBorders>
            <w:vAlign w:val="top"/>
          </w:tcPr>
          <w:p w14:paraId="7DA5B492">
            <w:pPr>
              <w:pStyle w:val="57"/>
              <w:spacing w:before="72" w:line="204"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65D3688F">
            <w:pPr>
              <w:pStyle w:val="57"/>
              <w:spacing w:before="102" w:line="174" w:lineRule="auto"/>
              <w:ind w:left="287"/>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29" w:type="dxa"/>
            <w:tcBorders>
              <w:top w:val="single" w:color="000000" w:sz="2" w:space="0"/>
              <w:bottom w:val="single" w:color="000000" w:sz="2" w:space="0"/>
            </w:tcBorders>
            <w:vAlign w:val="top"/>
          </w:tcPr>
          <w:p w14:paraId="2B25668A">
            <w:pPr>
              <w:pStyle w:val="57"/>
              <w:spacing w:before="72" w:line="204"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5419FC88">
            <w:pPr>
              <w:pStyle w:val="57"/>
              <w:spacing w:before="72" w:line="204"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r>
      <w:tr w14:paraId="1C314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trPr>
        <w:tc>
          <w:tcPr>
            <w:tcW w:w="894" w:type="dxa"/>
            <w:vMerge w:val="restart"/>
            <w:tcBorders>
              <w:top w:val="single" w:color="000000" w:sz="2" w:space="0"/>
              <w:bottom w:val="nil"/>
            </w:tcBorders>
            <w:vAlign w:val="top"/>
          </w:tcPr>
          <w:p w14:paraId="560929CC">
            <w:pPr>
              <w:spacing w:line="315" w:lineRule="auto"/>
              <w:rPr>
                <w:rFonts w:hint="eastAsia" w:ascii="宋体" w:hAnsi="宋体" w:eastAsia="宋体" w:cs="宋体"/>
                <w:sz w:val="21"/>
                <w:highlight w:val="none"/>
                <w:rtl/>
              </w:rPr>
              <w:bidi/>
            </w:pPr>
          </w:p>
          <w:p w14:paraId="2D15819A">
            <w:pPr>
              <w:pStyle w:val="57"/>
              <w:spacing w:before="62" w:line="238" w:lineRule="auto"/>
              <w:ind w:left="5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30-05-24</w:t>
            </w:r>
          </w:p>
        </w:tc>
        <w:tc>
          <w:tcPr>
            <w:tcW w:w="620" w:type="dxa"/>
            <w:tcBorders>
              <w:top w:val="single" w:color="000000" w:sz="2" w:space="0"/>
              <w:bottom w:val="single" w:color="000000" w:sz="2" w:space="0"/>
            </w:tcBorders>
            <w:vAlign w:val="top"/>
          </w:tcPr>
          <w:p w14:paraId="62E4B4D5">
            <w:pPr>
              <w:pStyle w:val="57"/>
              <w:spacing w:before="82" w:line="203"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09:00</w:t>
            </w:r>
          </w:p>
        </w:tc>
        <w:tc>
          <w:tcPr>
            <w:tcW w:w="679" w:type="dxa"/>
            <w:tcBorders>
              <w:top w:val="single" w:color="000000" w:sz="2" w:space="0"/>
              <w:bottom w:val="single" w:color="000000" w:sz="2" w:space="0"/>
            </w:tcBorders>
            <w:vAlign w:val="top"/>
          </w:tcPr>
          <w:p w14:paraId="7F02FE67">
            <w:pPr>
              <w:pStyle w:val="57"/>
              <w:spacing w:before="82" w:line="203" w:lineRule="auto"/>
              <w:ind w:left="231"/>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689" w:type="dxa"/>
            <w:tcBorders>
              <w:top w:val="single" w:color="000000" w:sz="2" w:space="0"/>
              <w:bottom w:val="single" w:color="000000" w:sz="2" w:space="0"/>
            </w:tcBorders>
            <w:vAlign w:val="top"/>
          </w:tcPr>
          <w:p w14:paraId="49719063">
            <w:pPr>
              <w:pStyle w:val="57"/>
              <w:spacing w:before="82" w:line="203"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39" w:type="dxa"/>
            <w:tcBorders>
              <w:top w:val="single" w:color="000000" w:sz="2" w:space="0"/>
              <w:bottom w:val="single" w:color="000000" w:sz="2" w:space="0"/>
            </w:tcBorders>
            <w:vAlign w:val="top"/>
          </w:tcPr>
          <w:p w14:paraId="655935B6">
            <w:pPr>
              <w:pStyle w:val="57"/>
              <w:spacing w:before="82" w:line="203" w:lineRule="auto"/>
              <w:ind w:left="262"/>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739" w:type="dxa"/>
            <w:tcBorders>
              <w:top w:val="single" w:color="000000" w:sz="2" w:space="0"/>
              <w:bottom w:val="single" w:color="000000" w:sz="2" w:space="0"/>
            </w:tcBorders>
            <w:vAlign w:val="top"/>
          </w:tcPr>
          <w:p w14:paraId="22D5E233">
            <w:pPr>
              <w:pStyle w:val="57"/>
              <w:spacing w:before="82" w:line="203" w:lineRule="auto"/>
              <w:ind w:left="214"/>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00" w:type="dxa"/>
            <w:tcBorders>
              <w:top w:val="single" w:color="000000" w:sz="2" w:space="0"/>
              <w:bottom w:val="single" w:color="000000" w:sz="2" w:space="0"/>
            </w:tcBorders>
            <w:vAlign w:val="top"/>
          </w:tcPr>
          <w:p w14:paraId="04718A71">
            <w:pPr>
              <w:pStyle w:val="57"/>
              <w:spacing w:before="82" w:line="203" w:lineRule="auto"/>
              <w:ind w:left="194"/>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749" w:type="dxa"/>
            <w:tcBorders>
              <w:top w:val="single" w:color="000000" w:sz="2" w:space="0"/>
              <w:bottom w:val="single" w:color="000000" w:sz="2" w:space="0"/>
            </w:tcBorders>
            <w:vAlign w:val="top"/>
          </w:tcPr>
          <w:p w14:paraId="7313E618">
            <w:pPr>
              <w:pStyle w:val="57"/>
              <w:spacing w:before="82" w:line="203" w:lineRule="auto"/>
              <w:ind w:left="22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20" w:type="dxa"/>
            <w:tcBorders>
              <w:top w:val="single" w:color="000000" w:sz="2" w:space="0"/>
              <w:bottom w:val="single" w:color="000000" w:sz="2" w:space="0"/>
            </w:tcBorders>
            <w:vAlign w:val="top"/>
          </w:tcPr>
          <w:p w14:paraId="6804D788">
            <w:pPr>
              <w:pStyle w:val="57"/>
              <w:spacing w:before="82" w:line="203" w:lineRule="auto"/>
              <w:ind w:left="205"/>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729" w:type="dxa"/>
            <w:tcBorders>
              <w:top w:val="single" w:color="000000" w:sz="2" w:space="0"/>
              <w:bottom w:val="single" w:color="000000" w:sz="2" w:space="0"/>
            </w:tcBorders>
            <w:vAlign w:val="top"/>
          </w:tcPr>
          <w:p w14:paraId="4B222045">
            <w:pPr>
              <w:pStyle w:val="57"/>
              <w:spacing w:before="82" w:line="203" w:lineRule="auto"/>
              <w:ind w:left="216"/>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30" w:type="dxa"/>
            <w:tcBorders>
              <w:top w:val="single" w:color="000000" w:sz="2" w:space="0"/>
              <w:bottom w:val="single" w:color="000000" w:sz="2" w:space="0"/>
            </w:tcBorders>
            <w:vAlign w:val="top"/>
          </w:tcPr>
          <w:p w14:paraId="54F65113">
            <w:pPr>
              <w:pStyle w:val="57"/>
              <w:spacing w:before="82" w:line="203" w:lineRule="auto"/>
              <w:ind w:left="166"/>
              <w:rPr>
                <w:rFonts w:hint="eastAsia" w:ascii="宋体" w:hAnsi="宋体" w:eastAsia="宋体" w:cs="宋体"/>
                <w:sz w:val="19"/>
                <w:szCs w:val="19"/>
                <w:highlight w:val="none"/>
                <w:rtl/>
              </w:rPr>
              <w:bidi/>
            </w:pPr>
            <w:r>
              <w:rPr>
                <w:rFonts w:hint="eastAsia" w:ascii="宋体" w:hAnsi="宋体" w:eastAsia="宋体" w:cs="宋体"/>
                <w:spacing w:val="-5"/>
                <w:sz w:val="19"/>
                <w:szCs w:val="19"/>
                <w:highlight w:val="none"/>
                <w:rtl/>
              </w:rPr>
              <w:t>143</w:t>
            </w:r>
          </w:p>
        </w:tc>
        <w:tc>
          <w:tcPr>
            <w:tcW w:w="689" w:type="dxa"/>
            <w:tcBorders>
              <w:top w:val="single" w:color="000000" w:sz="2" w:space="0"/>
              <w:bottom w:val="single" w:color="000000" w:sz="2" w:space="0"/>
            </w:tcBorders>
            <w:vAlign w:val="top"/>
          </w:tcPr>
          <w:p w14:paraId="55B6163D">
            <w:pPr>
              <w:pStyle w:val="57"/>
              <w:spacing w:before="82" w:line="203" w:lineRule="auto"/>
              <w:ind w:left="197"/>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29" w:type="dxa"/>
            <w:tcBorders>
              <w:top w:val="single" w:color="000000" w:sz="2" w:space="0"/>
              <w:bottom w:val="single" w:color="000000" w:sz="2" w:space="0"/>
            </w:tcBorders>
            <w:vAlign w:val="top"/>
          </w:tcPr>
          <w:p w14:paraId="25B25745">
            <w:pPr>
              <w:pStyle w:val="57"/>
              <w:spacing w:before="82" w:line="203"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85</w:t>
            </w:r>
          </w:p>
        </w:tc>
        <w:tc>
          <w:tcPr>
            <w:tcW w:w="684" w:type="dxa"/>
            <w:tcBorders>
              <w:top w:val="single" w:color="000000" w:sz="2" w:space="0"/>
              <w:bottom w:val="single" w:color="000000" w:sz="2" w:space="0"/>
            </w:tcBorders>
            <w:vAlign w:val="top"/>
          </w:tcPr>
          <w:p w14:paraId="5DA51A33">
            <w:pPr>
              <w:pStyle w:val="57"/>
              <w:spacing w:before="82" w:line="203"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r>
      <w:tr w14:paraId="73DD9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894" w:type="dxa"/>
            <w:vMerge w:val="continue"/>
            <w:tcBorders>
              <w:top w:val="nil"/>
              <w:bottom w:val="nil"/>
            </w:tcBorders>
            <w:vAlign w:val="top"/>
          </w:tcPr>
          <w:p w14:paraId="0D9E08DD">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18E255F3">
            <w:pPr>
              <w:pStyle w:val="57"/>
              <w:spacing w:before="73" w:line="202" w:lineRule="auto"/>
              <w:ind w:left="61"/>
              <w:rPr>
                <w:rFonts w:hint="eastAsia" w:ascii="宋体" w:hAnsi="宋体" w:eastAsia="宋体" w:cs="宋体"/>
                <w:sz w:val="19"/>
                <w:szCs w:val="19"/>
                <w:highlight w:val="none"/>
                <w:rtl/>
              </w:rPr>
              <w:bidi/>
            </w:pPr>
            <w:r>
              <w:rPr>
                <w:rFonts w:hint="eastAsia" w:ascii="宋体" w:hAnsi="宋体" w:eastAsia="宋体" w:cs="宋体"/>
                <w:spacing w:val="-4"/>
                <w:sz w:val="19"/>
                <w:szCs w:val="19"/>
                <w:highlight w:val="none"/>
                <w:rtl/>
              </w:rPr>
              <w:t>15:00</w:t>
            </w:r>
          </w:p>
        </w:tc>
        <w:tc>
          <w:tcPr>
            <w:tcW w:w="679" w:type="dxa"/>
            <w:tcBorders>
              <w:top w:val="single" w:color="000000" w:sz="2" w:space="0"/>
              <w:bottom w:val="single" w:color="000000" w:sz="2" w:space="0"/>
            </w:tcBorders>
            <w:vAlign w:val="top"/>
          </w:tcPr>
          <w:p w14:paraId="1493954C">
            <w:pPr>
              <w:pStyle w:val="57"/>
              <w:spacing w:before="73" w:line="202" w:lineRule="auto"/>
              <w:ind w:left="231"/>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689" w:type="dxa"/>
            <w:tcBorders>
              <w:top w:val="single" w:color="000000" w:sz="2" w:space="0"/>
              <w:bottom w:val="single" w:color="000000" w:sz="2" w:space="0"/>
            </w:tcBorders>
            <w:vAlign w:val="top"/>
          </w:tcPr>
          <w:p w14:paraId="076F2929">
            <w:pPr>
              <w:pStyle w:val="57"/>
              <w:spacing w:before="73" w:line="202"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39" w:type="dxa"/>
            <w:tcBorders>
              <w:top w:val="single" w:color="000000" w:sz="2" w:space="0"/>
              <w:bottom w:val="single" w:color="000000" w:sz="2" w:space="0"/>
            </w:tcBorders>
            <w:vAlign w:val="top"/>
          </w:tcPr>
          <w:p w14:paraId="6B18915B">
            <w:pPr>
              <w:pStyle w:val="57"/>
              <w:spacing w:before="73" w:line="202" w:lineRule="auto"/>
              <w:ind w:left="262"/>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739" w:type="dxa"/>
            <w:tcBorders>
              <w:top w:val="single" w:color="000000" w:sz="2" w:space="0"/>
              <w:bottom w:val="single" w:color="000000" w:sz="2" w:space="0"/>
            </w:tcBorders>
            <w:vAlign w:val="top"/>
          </w:tcPr>
          <w:p w14:paraId="71A1E699">
            <w:pPr>
              <w:pStyle w:val="57"/>
              <w:spacing w:before="103" w:line="172" w:lineRule="auto"/>
              <w:ind w:left="314"/>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00" w:type="dxa"/>
            <w:tcBorders>
              <w:top w:val="single" w:color="000000" w:sz="2" w:space="0"/>
              <w:bottom w:val="single" w:color="000000" w:sz="2" w:space="0"/>
            </w:tcBorders>
            <w:vAlign w:val="top"/>
          </w:tcPr>
          <w:p w14:paraId="4ED014DC">
            <w:pPr>
              <w:pStyle w:val="57"/>
              <w:spacing w:before="73" w:line="202" w:lineRule="auto"/>
              <w:ind w:left="194"/>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749" w:type="dxa"/>
            <w:tcBorders>
              <w:top w:val="single" w:color="000000" w:sz="2" w:space="0"/>
              <w:bottom w:val="single" w:color="000000" w:sz="2" w:space="0"/>
            </w:tcBorders>
            <w:vAlign w:val="top"/>
          </w:tcPr>
          <w:p w14:paraId="2F74989F">
            <w:pPr>
              <w:pStyle w:val="57"/>
              <w:spacing w:before="103" w:line="172" w:lineRule="auto"/>
              <w:ind w:left="315"/>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20" w:type="dxa"/>
            <w:tcBorders>
              <w:top w:val="single" w:color="000000" w:sz="2" w:space="0"/>
              <w:bottom w:val="single" w:color="000000" w:sz="2" w:space="0"/>
            </w:tcBorders>
            <w:vAlign w:val="top"/>
          </w:tcPr>
          <w:p w14:paraId="691A33A3">
            <w:pPr>
              <w:pStyle w:val="57"/>
              <w:spacing w:before="73" w:line="202" w:lineRule="auto"/>
              <w:ind w:left="205"/>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729" w:type="dxa"/>
            <w:tcBorders>
              <w:top w:val="single" w:color="000000" w:sz="2" w:space="0"/>
              <w:bottom w:val="single" w:color="000000" w:sz="2" w:space="0"/>
            </w:tcBorders>
            <w:vAlign w:val="top"/>
          </w:tcPr>
          <w:p w14:paraId="6A61C000">
            <w:pPr>
              <w:pStyle w:val="57"/>
              <w:spacing w:before="73" w:line="202" w:lineRule="auto"/>
              <w:ind w:left="216"/>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30" w:type="dxa"/>
            <w:tcBorders>
              <w:top w:val="single" w:color="000000" w:sz="2" w:space="0"/>
              <w:bottom w:val="single" w:color="000000" w:sz="2" w:space="0"/>
            </w:tcBorders>
            <w:vAlign w:val="top"/>
          </w:tcPr>
          <w:p w14:paraId="70DA0AA1">
            <w:pPr>
              <w:pStyle w:val="57"/>
              <w:spacing w:before="73" w:line="202"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79D53409">
            <w:pPr>
              <w:pStyle w:val="57"/>
              <w:spacing w:before="73" w:line="202" w:lineRule="auto"/>
              <w:ind w:left="197"/>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29" w:type="dxa"/>
            <w:tcBorders>
              <w:top w:val="single" w:color="000000" w:sz="2" w:space="0"/>
              <w:bottom w:val="single" w:color="000000" w:sz="2" w:space="0"/>
            </w:tcBorders>
            <w:vAlign w:val="top"/>
          </w:tcPr>
          <w:p w14:paraId="3A992BF0">
            <w:pPr>
              <w:pStyle w:val="57"/>
              <w:spacing w:before="73" w:line="202"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19C1EDAE">
            <w:pPr>
              <w:pStyle w:val="57"/>
              <w:spacing w:before="73" w:line="202"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r>
      <w:tr w14:paraId="7D224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94" w:type="dxa"/>
            <w:vMerge w:val="continue"/>
            <w:tcBorders>
              <w:top w:val="nil"/>
              <w:bottom w:val="single" w:color="000000" w:sz="2" w:space="0"/>
            </w:tcBorders>
            <w:vAlign w:val="top"/>
          </w:tcPr>
          <w:p w14:paraId="01F0CA5D">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16C04463">
            <w:pPr>
              <w:pStyle w:val="57"/>
              <w:spacing w:before="74" w:line="202"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21:00</w:t>
            </w:r>
          </w:p>
        </w:tc>
        <w:tc>
          <w:tcPr>
            <w:tcW w:w="679" w:type="dxa"/>
            <w:tcBorders>
              <w:top w:val="single" w:color="000000" w:sz="2" w:space="0"/>
              <w:bottom w:val="single" w:color="000000" w:sz="2" w:space="0"/>
            </w:tcBorders>
            <w:vAlign w:val="top"/>
          </w:tcPr>
          <w:p w14:paraId="55BAECA9">
            <w:pPr>
              <w:pStyle w:val="57"/>
              <w:spacing w:before="74" w:line="202"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498C3440">
            <w:pPr>
              <w:pStyle w:val="57"/>
              <w:spacing w:before="74" w:line="202"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39" w:type="dxa"/>
            <w:tcBorders>
              <w:top w:val="single" w:color="000000" w:sz="2" w:space="0"/>
              <w:bottom w:val="single" w:color="000000" w:sz="2" w:space="0"/>
            </w:tcBorders>
            <w:vAlign w:val="top"/>
          </w:tcPr>
          <w:p w14:paraId="06EA579C">
            <w:pPr>
              <w:pStyle w:val="57"/>
              <w:spacing w:before="74" w:line="202"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4E3751AA">
            <w:pPr>
              <w:pStyle w:val="57"/>
              <w:spacing w:before="104" w:line="172" w:lineRule="auto"/>
              <w:ind w:left="314"/>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00" w:type="dxa"/>
            <w:tcBorders>
              <w:top w:val="single" w:color="000000" w:sz="2" w:space="0"/>
              <w:bottom w:val="single" w:color="000000" w:sz="2" w:space="0"/>
            </w:tcBorders>
            <w:vAlign w:val="top"/>
          </w:tcPr>
          <w:p w14:paraId="3EF9ABB1">
            <w:pPr>
              <w:pStyle w:val="57"/>
              <w:spacing w:before="74" w:line="202" w:lineRule="auto"/>
              <w:ind w:left="194"/>
              <w:rPr>
                <w:rFonts w:hint="eastAsia" w:ascii="宋体" w:hAnsi="宋体" w:eastAsia="宋体" w:cs="宋体"/>
                <w:sz w:val="19"/>
                <w:szCs w:val="19"/>
                <w:highlight w:val="none"/>
                <w:rtl/>
              </w:rPr>
              <w:bidi/>
            </w:pPr>
            <w:r>
              <w:rPr>
                <w:rFonts w:hint="eastAsia" w:ascii="宋体" w:hAnsi="宋体" w:eastAsia="宋体" w:cs="宋体"/>
                <w:spacing w:val="-6"/>
                <w:sz w:val="19"/>
                <w:szCs w:val="19"/>
                <w:highlight w:val="none"/>
                <w:rtl/>
              </w:rPr>
              <w:t>17</w:t>
            </w:r>
          </w:p>
        </w:tc>
        <w:tc>
          <w:tcPr>
            <w:tcW w:w="749" w:type="dxa"/>
            <w:tcBorders>
              <w:top w:val="single" w:color="000000" w:sz="2" w:space="0"/>
              <w:bottom w:val="single" w:color="000000" w:sz="2" w:space="0"/>
            </w:tcBorders>
            <w:vAlign w:val="top"/>
          </w:tcPr>
          <w:p w14:paraId="530B77F9">
            <w:pPr>
              <w:pStyle w:val="57"/>
              <w:spacing w:before="104" w:line="172" w:lineRule="auto"/>
              <w:ind w:left="315"/>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20" w:type="dxa"/>
            <w:tcBorders>
              <w:top w:val="single" w:color="000000" w:sz="2" w:space="0"/>
              <w:bottom w:val="single" w:color="000000" w:sz="2" w:space="0"/>
            </w:tcBorders>
            <w:vAlign w:val="top"/>
          </w:tcPr>
          <w:p w14:paraId="6E46EC58">
            <w:pPr>
              <w:pStyle w:val="57"/>
              <w:spacing w:before="74" w:line="202"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48C82460">
            <w:pPr>
              <w:pStyle w:val="57"/>
              <w:spacing w:before="74" w:line="202" w:lineRule="auto"/>
              <w:ind w:left="216"/>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30" w:type="dxa"/>
            <w:tcBorders>
              <w:top w:val="single" w:color="000000" w:sz="2" w:space="0"/>
              <w:bottom w:val="single" w:color="000000" w:sz="2" w:space="0"/>
            </w:tcBorders>
            <w:vAlign w:val="top"/>
          </w:tcPr>
          <w:p w14:paraId="718D6CE7">
            <w:pPr>
              <w:pStyle w:val="57"/>
              <w:spacing w:before="74" w:line="202"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3A89FB10">
            <w:pPr>
              <w:pStyle w:val="57"/>
              <w:spacing w:before="74" w:line="202" w:lineRule="auto"/>
              <w:ind w:left="197"/>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29" w:type="dxa"/>
            <w:tcBorders>
              <w:top w:val="single" w:color="000000" w:sz="2" w:space="0"/>
              <w:bottom w:val="single" w:color="000000" w:sz="2" w:space="0"/>
            </w:tcBorders>
            <w:vAlign w:val="top"/>
          </w:tcPr>
          <w:p w14:paraId="1C071958">
            <w:pPr>
              <w:pStyle w:val="57"/>
              <w:spacing w:before="74" w:line="202"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73C7369A">
            <w:pPr>
              <w:pStyle w:val="57"/>
              <w:spacing w:before="74" w:line="202"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r>
      <w:tr w14:paraId="23E4C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94" w:type="dxa"/>
            <w:vMerge w:val="restart"/>
            <w:tcBorders>
              <w:top w:val="single" w:color="000000" w:sz="2" w:space="0"/>
              <w:bottom w:val="nil"/>
            </w:tcBorders>
            <w:vAlign w:val="top"/>
          </w:tcPr>
          <w:p w14:paraId="25BD37B7">
            <w:pPr>
              <w:pStyle w:val="57"/>
              <w:spacing w:before="184" w:line="146" w:lineRule="exact"/>
              <w:ind w:left="15"/>
              <w:rPr>
                <w:rFonts w:hint="eastAsia" w:ascii="宋体" w:hAnsi="宋体" w:eastAsia="宋体" w:cs="宋体"/>
                <w:sz w:val="19"/>
                <w:szCs w:val="19"/>
                <w:highlight w:val="none"/>
                <w:rtl/>
              </w:rPr>
              <w:bidi/>
            </w:pPr>
          </w:p>
          <w:p w14:paraId="4CD0C1E9">
            <w:pPr>
              <w:pStyle w:val="57"/>
              <w:spacing w:before="30" w:line="238" w:lineRule="auto"/>
              <w:ind w:left="5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31-05-24</w:t>
            </w:r>
          </w:p>
        </w:tc>
        <w:tc>
          <w:tcPr>
            <w:tcW w:w="620" w:type="dxa"/>
            <w:tcBorders>
              <w:top w:val="single" w:color="000000" w:sz="2" w:space="0"/>
              <w:bottom w:val="single" w:color="000000" w:sz="2" w:space="0"/>
            </w:tcBorders>
            <w:vAlign w:val="top"/>
          </w:tcPr>
          <w:p w14:paraId="5A8C7BC0">
            <w:pPr>
              <w:pStyle w:val="57"/>
              <w:spacing w:before="74" w:line="202"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09:00</w:t>
            </w:r>
          </w:p>
        </w:tc>
        <w:tc>
          <w:tcPr>
            <w:tcW w:w="679" w:type="dxa"/>
            <w:tcBorders>
              <w:top w:val="single" w:color="000000" w:sz="2" w:space="0"/>
              <w:bottom w:val="single" w:color="000000" w:sz="2" w:space="0"/>
            </w:tcBorders>
            <w:vAlign w:val="top"/>
          </w:tcPr>
          <w:p w14:paraId="14C0BEE1">
            <w:pPr>
              <w:pStyle w:val="57"/>
              <w:spacing w:before="74" w:line="202"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3F234C43">
            <w:pPr>
              <w:pStyle w:val="57"/>
              <w:spacing w:before="104" w:line="172" w:lineRule="auto"/>
              <w:ind w:left="282"/>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39" w:type="dxa"/>
            <w:tcBorders>
              <w:top w:val="single" w:color="000000" w:sz="2" w:space="0"/>
              <w:bottom w:val="single" w:color="000000" w:sz="2" w:space="0"/>
            </w:tcBorders>
            <w:vAlign w:val="top"/>
          </w:tcPr>
          <w:p w14:paraId="78E0F34F">
            <w:pPr>
              <w:pStyle w:val="57"/>
              <w:spacing w:before="74" w:line="202"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495F1780">
            <w:pPr>
              <w:pStyle w:val="57"/>
              <w:spacing w:before="104" w:line="172" w:lineRule="auto"/>
              <w:ind w:left="314"/>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00" w:type="dxa"/>
            <w:tcBorders>
              <w:top w:val="single" w:color="000000" w:sz="2" w:space="0"/>
              <w:bottom w:val="single" w:color="000000" w:sz="2" w:space="0"/>
            </w:tcBorders>
            <w:vAlign w:val="top"/>
          </w:tcPr>
          <w:p w14:paraId="4B520751">
            <w:pPr>
              <w:pStyle w:val="57"/>
              <w:spacing w:before="74" w:line="202"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49" w:type="dxa"/>
            <w:tcBorders>
              <w:top w:val="single" w:color="000000" w:sz="2" w:space="0"/>
              <w:bottom w:val="single" w:color="000000" w:sz="2" w:space="0"/>
            </w:tcBorders>
            <w:vAlign w:val="top"/>
          </w:tcPr>
          <w:p w14:paraId="60B9850F">
            <w:pPr>
              <w:pStyle w:val="57"/>
              <w:spacing w:before="104" w:line="172" w:lineRule="auto"/>
              <w:ind w:left="315"/>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20" w:type="dxa"/>
            <w:tcBorders>
              <w:top w:val="single" w:color="000000" w:sz="2" w:space="0"/>
              <w:bottom w:val="single" w:color="000000" w:sz="2" w:space="0"/>
            </w:tcBorders>
            <w:vAlign w:val="top"/>
          </w:tcPr>
          <w:p w14:paraId="13C3E025">
            <w:pPr>
              <w:pStyle w:val="57"/>
              <w:spacing w:before="74" w:line="202"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إثنان وعشرون</w:t>
            </w:r>
          </w:p>
        </w:tc>
        <w:tc>
          <w:tcPr>
            <w:tcW w:w="729" w:type="dxa"/>
            <w:tcBorders>
              <w:top w:val="single" w:color="000000" w:sz="2" w:space="0"/>
              <w:bottom w:val="single" w:color="000000" w:sz="2" w:space="0"/>
            </w:tcBorders>
            <w:vAlign w:val="top"/>
          </w:tcPr>
          <w:p w14:paraId="45C65890">
            <w:pPr>
              <w:pStyle w:val="57"/>
              <w:spacing w:before="104" w:line="172" w:lineRule="auto"/>
              <w:ind w:left="306"/>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30" w:type="dxa"/>
            <w:tcBorders>
              <w:top w:val="single" w:color="000000" w:sz="2" w:space="0"/>
              <w:bottom w:val="single" w:color="000000" w:sz="2" w:space="0"/>
            </w:tcBorders>
            <w:vAlign w:val="top"/>
          </w:tcPr>
          <w:p w14:paraId="0395B77D">
            <w:pPr>
              <w:pStyle w:val="57"/>
              <w:spacing w:before="74" w:line="202"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42535234">
            <w:pPr>
              <w:pStyle w:val="57"/>
              <w:spacing w:before="104" w:line="172" w:lineRule="auto"/>
              <w:ind w:left="287"/>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29" w:type="dxa"/>
            <w:tcBorders>
              <w:top w:val="single" w:color="000000" w:sz="2" w:space="0"/>
              <w:bottom w:val="single" w:color="000000" w:sz="2" w:space="0"/>
            </w:tcBorders>
            <w:vAlign w:val="top"/>
          </w:tcPr>
          <w:p w14:paraId="0F8D3E0F">
            <w:pPr>
              <w:pStyle w:val="57"/>
              <w:spacing w:before="74" w:line="202"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12C172B9">
            <w:pPr>
              <w:pStyle w:val="57"/>
              <w:spacing w:before="104" w:line="172" w:lineRule="auto"/>
              <w:ind w:left="288"/>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r>
      <w:tr w14:paraId="0DCA8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894" w:type="dxa"/>
            <w:vMerge w:val="continue"/>
            <w:tcBorders>
              <w:top w:val="nil"/>
              <w:bottom w:val="nil"/>
            </w:tcBorders>
            <w:vAlign w:val="top"/>
          </w:tcPr>
          <w:p w14:paraId="4991365B">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02D46426">
            <w:pPr>
              <w:pStyle w:val="57"/>
              <w:spacing w:before="74" w:line="192" w:lineRule="auto"/>
              <w:ind w:left="61"/>
              <w:rPr>
                <w:rFonts w:hint="eastAsia" w:ascii="宋体" w:hAnsi="宋体" w:eastAsia="宋体" w:cs="宋体"/>
                <w:sz w:val="19"/>
                <w:szCs w:val="19"/>
                <w:highlight w:val="none"/>
                <w:rtl/>
              </w:rPr>
              <w:bidi/>
            </w:pPr>
            <w:r>
              <w:rPr>
                <w:rFonts w:hint="eastAsia" w:ascii="宋体" w:hAnsi="宋体" w:eastAsia="宋体" w:cs="宋体"/>
                <w:spacing w:val="-4"/>
                <w:sz w:val="19"/>
                <w:szCs w:val="19"/>
                <w:highlight w:val="none"/>
                <w:rtl/>
              </w:rPr>
              <w:t>15:00</w:t>
            </w:r>
          </w:p>
        </w:tc>
        <w:tc>
          <w:tcPr>
            <w:tcW w:w="679" w:type="dxa"/>
            <w:tcBorders>
              <w:top w:val="single" w:color="000000" w:sz="2" w:space="0"/>
              <w:bottom w:val="single" w:color="000000" w:sz="2" w:space="0"/>
            </w:tcBorders>
            <w:vAlign w:val="top"/>
          </w:tcPr>
          <w:p w14:paraId="48AACCA6">
            <w:pPr>
              <w:pStyle w:val="57"/>
              <w:spacing w:before="74" w:line="192"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463298F7">
            <w:pPr>
              <w:pStyle w:val="57"/>
              <w:spacing w:before="74" w:line="192"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39" w:type="dxa"/>
            <w:tcBorders>
              <w:top w:val="single" w:color="000000" w:sz="2" w:space="0"/>
              <w:bottom w:val="single" w:color="000000" w:sz="2" w:space="0"/>
            </w:tcBorders>
            <w:vAlign w:val="top"/>
          </w:tcPr>
          <w:p w14:paraId="03323108">
            <w:pPr>
              <w:pStyle w:val="57"/>
              <w:spacing w:before="74" w:line="192"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60A6EFF4">
            <w:pPr>
              <w:pStyle w:val="57"/>
              <w:spacing w:before="105" w:line="162" w:lineRule="auto"/>
              <w:ind w:left="314"/>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00" w:type="dxa"/>
            <w:tcBorders>
              <w:top w:val="single" w:color="000000" w:sz="2" w:space="0"/>
              <w:bottom w:val="single" w:color="000000" w:sz="2" w:space="0"/>
            </w:tcBorders>
            <w:vAlign w:val="top"/>
          </w:tcPr>
          <w:p w14:paraId="77172073">
            <w:pPr>
              <w:pStyle w:val="57"/>
              <w:spacing w:before="74" w:line="192"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إثنان وعشرون</w:t>
            </w:r>
          </w:p>
        </w:tc>
        <w:tc>
          <w:tcPr>
            <w:tcW w:w="749" w:type="dxa"/>
            <w:tcBorders>
              <w:top w:val="single" w:color="000000" w:sz="2" w:space="0"/>
              <w:bottom w:val="single" w:color="000000" w:sz="2" w:space="0"/>
            </w:tcBorders>
            <w:vAlign w:val="top"/>
          </w:tcPr>
          <w:p w14:paraId="3AB4514C">
            <w:pPr>
              <w:pStyle w:val="57"/>
              <w:spacing w:before="105" w:line="162" w:lineRule="auto"/>
              <w:ind w:left="315"/>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20" w:type="dxa"/>
            <w:tcBorders>
              <w:top w:val="single" w:color="000000" w:sz="2" w:space="0"/>
              <w:bottom w:val="single" w:color="000000" w:sz="2" w:space="0"/>
            </w:tcBorders>
            <w:vAlign w:val="top"/>
          </w:tcPr>
          <w:p w14:paraId="39DEF891">
            <w:pPr>
              <w:pStyle w:val="57"/>
              <w:spacing w:before="74" w:line="192"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71929FA5">
            <w:pPr>
              <w:pStyle w:val="57"/>
              <w:spacing w:before="105" w:line="162" w:lineRule="auto"/>
              <w:ind w:left="306"/>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30" w:type="dxa"/>
            <w:tcBorders>
              <w:top w:val="single" w:color="000000" w:sz="2" w:space="0"/>
              <w:bottom w:val="single" w:color="000000" w:sz="2" w:space="0"/>
            </w:tcBorders>
            <w:vAlign w:val="top"/>
          </w:tcPr>
          <w:p w14:paraId="47189230">
            <w:pPr>
              <w:pStyle w:val="57"/>
              <w:spacing w:before="74" w:line="192"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6A99E45A">
            <w:pPr>
              <w:pStyle w:val="57"/>
              <w:spacing w:before="74" w:line="192" w:lineRule="auto"/>
              <w:ind w:left="197"/>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29" w:type="dxa"/>
            <w:tcBorders>
              <w:top w:val="single" w:color="000000" w:sz="2" w:space="0"/>
              <w:bottom w:val="single" w:color="000000" w:sz="2" w:space="0"/>
            </w:tcBorders>
            <w:vAlign w:val="top"/>
          </w:tcPr>
          <w:p w14:paraId="3343663C">
            <w:pPr>
              <w:pStyle w:val="57"/>
              <w:spacing w:before="74" w:line="192"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4AE24411">
            <w:pPr>
              <w:pStyle w:val="57"/>
              <w:spacing w:before="105" w:line="162" w:lineRule="auto"/>
              <w:ind w:left="288"/>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r>
      <w:tr w14:paraId="4F070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94" w:type="dxa"/>
            <w:vMerge w:val="continue"/>
            <w:tcBorders>
              <w:top w:val="nil"/>
              <w:bottom w:val="single" w:color="000000" w:sz="2" w:space="0"/>
            </w:tcBorders>
            <w:vAlign w:val="top"/>
          </w:tcPr>
          <w:p w14:paraId="1BC19F30">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7FD78032">
            <w:pPr>
              <w:pStyle w:val="57"/>
              <w:spacing w:before="74" w:line="202"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21:00</w:t>
            </w:r>
          </w:p>
        </w:tc>
        <w:tc>
          <w:tcPr>
            <w:tcW w:w="679" w:type="dxa"/>
            <w:tcBorders>
              <w:top w:val="single" w:color="000000" w:sz="2" w:space="0"/>
              <w:bottom w:val="single" w:color="000000" w:sz="2" w:space="0"/>
            </w:tcBorders>
            <w:vAlign w:val="top"/>
          </w:tcPr>
          <w:p w14:paraId="649AC6F6">
            <w:pPr>
              <w:pStyle w:val="57"/>
              <w:spacing w:before="74" w:line="202"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7A0A23EE">
            <w:pPr>
              <w:pStyle w:val="57"/>
              <w:spacing w:before="74" w:line="202"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0.2</w:t>
            </w:r>
          </w:p>
        </w:tc>
        <w:tc>
          <w:tcPr>
            <w:tcW w:w="739" w:type="dxa"/>
            <w:tcBorders>
              <w:top w:val="single" w:color="000000" w:sz="2" w:space="0"/>
              <w:bottom w:val="single" w:color="000000" w:sz="2" w:space="0"/>
            </w:tcBorders>
            <w:vAlign w:val="top"/>
          </w:tcPr>
          <w:p w14:paraId="64DE2AF0">
            <w:pPr>
              <w:pStyle w:val="57"/>
              <w:spacing w:before="74" w:line="202"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1BCEA649">
            <w:pPr>
              <w:pStyle w:val="57"/>
              <w:spacing w:before="74" w:line="202" w:lineRule="auto"/>
              <w:ind w:left="214"/>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0.2</w:t>
            </w:r>
          </w:p>
        </w:tc>
        <w:tc>
          <w:tcPr>
            <w:tcW w:w="600" w:type="dxa"/>
            <w:tcBorders>
              <w:top w:val="single" w:color="000000" w:sz="2" w:space="0"/>
              <w:bottom w:val="single" w:color="000000" w:sz="2" w:space="0"/>
            </w:tcBorders>
            <w:vAlign w:val="top"/>
          </w:tcPr>
          <w:p w14:paraId="7E8687A2">
            <w:pPr>
              <w:pStyle w:val="57"/>
              <w:spacing w:before="74" w:line="202"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49" w:type="dxa"/>
            <w:tcBorders>
              <w:top w:val="single" w:color="000000" w:sz="2" w:space="0"/>
              <w:bottom w:val="single" w:color="000000" w:sz="2" w:space="0"/>
            </w:tcBorders>
            <w:vAlign w:val="top"/>
          </w:tcPr>
          <w:p w14:paraId="4178DDC5">
            <w:pPr>
              <w:pStyle w:val="57"/>
              <w:spacing w:before="74" w:line="202" w:lineRule="auto"/>
              <w:ind w:left="22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20" w:type="dxa"/>
            <w:tcBorders>
              <w:top w:val="single" w:color="000000" w:sz="2" w:space="0"/>
              <w:bottom w:val="single" w:color="000000" w:sz="2" w:space="0"/>
            </w:tcBorders>
            <w:vAlign w:val="top"/>
          </w:tcPr>
          <w:p w14:paraId="7985A0E6">
            <w:pPr>
              <w:pStyle w:val="57"/>
              <w:spacing w:before="74" w:line="202"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7DFDF165">
            <w:pPr>
              <w:pStyle w:val="57"/>
              <w:spacing w:before="74" w:line="202" w:lineRule="auto"/>
              <w:ind w:left="216"/>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30" w:type="dxa"/>
            <w:tcBorders>
              <w:top w:val="single" w:color="000000" w:sz="2" w:space="0"/>
              <w:bottom w:val="single" w:color="000000" w:sz="2" w:space="0"/>
            </w:tcBorders>
            <w:vAlign w:val="top"/>
          </w:tcPr>
          <w:p w14:paraId="145E85FD">
            <w:pPr>
              <w:pStyle w:val="57"/>
              <w:spacing w:before="74" w:line="202"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6E6C0CE4">
            <w:pPr>
              <w:pStyle w:val="57"/>
              <w:spacing w:before="74" w:line="202" w:lineRule="auto"/>
              <w:ind w:left="197"/>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29" w:type="dxa"/>
            <w:tcBorders>
              <w:top w:val="single" w:color="000000" w:sz="2" w:space="0"/>
              <w:bottom w:val="single" w:color="000000" w:sz="2" w:space="0"/>
            </w:tcBorders>
            <w:vAlign w:val="top"/>
          </w:tcPr>
          <w:p w14:paraId="73F30178">
            <w:pPr>
              <w:pStyle w:val="57"/>
              <w:spacing w:before="74" w:line="202"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4FF85794">
            <w:pPr>
              <w:pStyle w:val="57"/>
              <w:spacing w:before="74" w:line="202"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0.2</w:t>
            </w:r>
          </w:p>
        </w:tc>
      </w:tr>
      <w:tr w14:paraId="193D3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894" w:type="dxa"/>
            <w:vMerge w:val="restart"/>
            <w:tcBorders>
              <w:top w:val="single" w:color="000000" w:sz="2" w:space="0"/>
              <w:bottom w:val="nil"/>
            </w:tcBorders>
            <w:vAlign w:val="top"/>
          </w:tcPr>
          <w:p w14:paraId="64CA03B3">
            <w:pPr>
              <w:spacing w:line="307" w:lineRule="auto"/>
              <w:rPr>
                <w:rFonts w:hint="eastAsia" w:ascii="宋体" w:hAnsi="宋体" w:eastAsia="宋体" w:cs="宋体"/>
                <w:sz w:val="21"/>
                <w:highlight w:val="none"/>
                <w:rtl/>
              </w:rPr>
              <w:bidi/>
            </w:pPr>
          </w:p>
          <w:p w14:paraId="50408C0F">
            <w:pPr>
              <w:pStyle w:val="57"/>
              <w:spacing w:before="61" w:line="238" w:lineRule="auto"/>
              <w:ind w:left="5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01-06-24</w:t>
            </w:r>
          </w:p>
        </w:tc>
        <w:tc>
          <w:tcPr>
            <w:tcW w:w="620" w:type="dxa"/>
            <w:tcBorders>
              <w:top w:val="single" w:color="000000" w:sz="2" w:space="0"/>
              <w:bottom w:val="single" w:color="000000" w:sz="2" w:space="0"/>
            </w:tcBorders>
            <w:vAlign w:val="top"/>
          </w:tcPr>
          <w:p w14:paraId="65591136">
            <w:pPr>
              <w:pStyle w:val="57"/>
              <w:spacing w:before="74" w:line="201"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09:00</w:t>
            </w:r>
          </w:p>
        </w:tc>
        <w:tc>
          <w:tcPr>
            <w:tcW w:w="679" w:type="dxa"/>
            <w:tcBorders>
              <w:top w:val="single" w:color="000000" w:sz="2" w:space="0"/>
              <w:bottom w:val="single" w:color="000000" w:sz="2" w:space="0"/>
            </w:tcBorders>
            <w:vAlign w:val="top"/>
          </w:tcPr>
          <w:p w14:paraId="17DB0DFA">
            <w:pPr>
              <w:pStyle w:val="57"/>
              <w:spacing w:before="74" w:line="201"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2BC6B9FB">
            <w:pPr>
              <w:pStyle w:val="57"/>
              <w:spacing w:before="105" w:line="171" w:lineRule="auto"/>
              <w:ind w:left="282"/>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39" w:type="dxa"/>
            <w:tcBorders>
              <w:top w:val="single" w:color="000000" w:sz="2" w:space="0"/>
              <w:bottom w:val="single" w:color="000000" w:sz="2" w:space="0"/>
            </w:tcBorders>
            <w:vAlign w:val="top"/>
          </w:tcPr>
          <w:p w14:paraId="24221E3C">
            <w:pPr>
              <w:pStyle w:val="57"/>
              <w:spacing w:before="74" w:line="201"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39" w:type="dxa"/>
            <w:tcBorders>
              <w:top w:val="single" w:color="000000" w:sz="2" w:space="0"/>
              <w:bottom w:val="single" w:color="000000" w:sz="2" w:space="0"/>
            </w:tcBorders>
            <w:vAlign w:val="top"/>
          </w:tcPr>
          <w:p w14:paraId="540E4ADA">
            <w:pPr>
              <w:pStyle w:val="57"/>
              <w:spacing w:before="105" w:line="171" w:lineRule="auto"/>
              <w:ind w:left="314"/>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00" w:type="dxa"/>
            <w:tcBorders>
              <w:top w:val="single" w:color="000000" w:sz="2" w:space="0"/>
              <w:bottom w:val="single" w:color="000000" w:sz="2" w:space="0"/>
            </w:tcBorders>
            <w:vAlign w:val="top"/>
          </w:tcPr>
          <w:p w14:paraId="3AA68208">
            <w:pPr>
              <w:pStyle w:val="57"/>
              <w:spacing w:before="74" w:line="201"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49" w:type="dxa"/>
            <w:tcBorders>
              <w:top w:val="single" w:color="000000" w:sz="2" w:space="0"/>
              <w:bottom w:val="single" w:color="000000" w:sz="2" w:space="0"/>
            </w:tcBorders>
            <w:vAlign w:val="top"/>
          </w:tcPr>
          <w:p w14:paraId="7F3181CE">
            <w:pPr>
              <w:pStyle w:val="57"/>
              <w:spacing w:before="105" w:line="171" w:lineRule="auto"/>
              <w:ind w:left="315"/>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20" w:type="dxa"/>
            <w:tcBorders>
              <w:top w:val="single" w:color="000000" w:sz="2" w:space="0"/>
              <w:bottom w:val="single" w:color="000000" w:sz="2" w:space="0"/>
            </w:tcBorders>
            <w:vAlign w:val="top"/>
          </w:tcPr>
          <w:p w14:paraId="7C6C5E0A">
            <w:pPr>
              <w:pStyle w:val="57"/>
              <w:spacing w:before="74" w:line="201"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448CE92C">
            <w:pPr>
              <w:pStyle w:val="57"/>
              <w:spacing w:before="105" w:line="171" w:lineRule="auto"/>
              <w:ind w:left="306"/>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30" w:type="dxa"/>
            <w:tcBorders>
              <w:top w:val="single" w:color="000000" w:sz="2" w:space="0"/>
              <w:bottom w:val="single" w:color="000000" w:sz="2" w:space="0"/>
            </w:tcBorders>
            <w:vAlign w:val="top"/>
          </w:tcPr>
          <w:p w14:paraId="074DB770">
            <w:pPr>
              <w:pStyle w:val="57"/>
              <w:spacing w:before="74" w:line="201" w:lineRule="auto"/>
              <w:ind w:left="216"/>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9" w:type="dxa"/>
            <w:tcBorders>
              <w:top w:val="single" w:color="000000" w:sz="2" w:space="0"/>
              <w:bottom w:val="single" w:color="000000" w:sz="2" w:space="0"/>
            </w:tcBorders>
            <w:vAlign w:val="top"/>
          </w:tcPr>
          <w:p w14:paraId="5C3A0502">
            <w:pPr>
              <w:pStyle w:val="57"/>
              <w:spacing w:before="105" w:line="171" w:lineRule="auto"/>
              <w:ind w:left="287"/>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29" w:type="dxa"/>
            <w:tcBorders>
              <w:top w:val="single" w:color="000000" w:sz="2" w:space="0"/>
              <w:bottom w:val="single" w:color="000000" w:sz="2" w:space="0"/>
            </w:tcBorders>
            <w:vAlign w:val="top"/>
          </w:tcPr>
          <w:p w14:paraId="5D736464">
            <w:pPr>
              <w:pStyle w:val="57"/>
              <w:spacing w:before="74" w:line="201" w:lineRule="auto"/>
              <w:ind w:left="267"/>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684" w:type="dxa"/>
            <w:tcBorders>
              <w:top w:val="single" w:color="000000" w:sz="2" w:space="0"/>
              <w:bottom w:val="single" w:color="000000" w:sz="2" w:space="0"/>
            </w:tcBorders>
            <w:vAlign w:val="top"/>
          </w:tcPr>
          <w:p w14:paraId="60BD8C59">
            <w:pPr>
              <w:pStyle w:val="57"/>
              <w:spacing w:before="74" w:line="201"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r>
      <w:tr w14:paraId="3AA897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894" w:type="dxa"/>
            <w:vMerge w:val="continue"/>
            <w:tcBorders>
              <w:top w:val="nil"/>
              <w:bottom w:val="nil"/>
            </w:tcBorders>
            <w:vAlign w:val="top"/>
          </w:tcPr>
          <w:p w14:paraId="56EE76B9">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6353DB87">
            <w:pPr>
              <w:pStyle w:val="57"/>
              <w:spacing w:before="75" w:line="201" w:lineRule="auto"/>
              <w:ind w:left="61"/>
              <w:rPr>
                <w:rFonts w:hint="eastAsia" w:ascii="宋体" w:hAnsi="宋体" w:eastAsia="宋体" w:cs="宋体"/>
                <w:sz w:val="19"/>
                <w:szCs w:val="19"/>
                <w:highlight w:val="none"/>
                <w:rtl/>
              </w:rPr>
              <w:bidi/>
            </w:pPr>
            <w:r>
              <w:rPr>
                <w:rFonts w:hint="eastAsia" w:ascii="宋体" w:hAnsi="宋体" w:eastAsia="宋体" w:cs="宋体"/>
                <w:spacing w:val="-4"/>
                <w:sz w:val="19"/>
                <w:szCs w:val="19"/>
                <w:highlight w:val="none"/>
                <w:rtl/>
              </w:rPr>
              <w:t>15:00</w:t>
            </w:r>
          </w:p>
        </w:tc>
        <w:tc>
          <w:tcPr>
            <w:tcW w:w="679" w:type="dxa"/>
            <w:tcBorders>
              <w:top w:val="single" w:color="000000" w:sz="2" w:space="0"/>
              <w:bottom w:val="single" w:color="000000" w:sz="2" w:space="0"/>
            </w:tcBorders>
            <w:vAlign w:val="top"/>
          </w:tcPr>
          <w:p w14:paraId="45D4904D">
            <w:pPr>
              <w:pStyle w:val="57"/>
              <w:spacing w:before="75" w:line="201"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78</w:t>
            </w:r>
          </w:p>
        </w:tc>
        <w:tc>
          <w:tcPr>
            <w:tcW w:w="689" w:type="dxa"/>
            <w:tcBorders>
              <w:top w:val="single" w:color="000000" w:sz="2" w:space="0"/>
              <w:bottom w:val="single" w:color="000000" w:sz="2" w:space="0"/>
            </w:tcBorders>
            <w:vAlign w:val="top"/>
          </w:tcPr>
          <w:p w14:paraId="72FD684E">
            <w:pPr>
              <w:pStyle w:val="57"/>
              <w:spacing w:before="106" w:line="171" w:lineRule="auto"/>
              <w:ind w:left="282"/>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739" w:type="dxa"/>
            <w:tcBorders>
              <w:top w:val="single" w:color="000000" w:sz="2" w:space="0"/>
              <w:bottom w:val="single" w:color="000000" w:sz="2" w:space="0"/>
            </w:tcBorders>
            <w:vAlign w:val="top"/>
          </w:tcPr>
          <w:p w14:paraId="54D2DB4E">
            <w:pPr>
              <w:pStyle w:val="57"/>
              <w:spacing w:before="75" w:line="201"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55</w:t>
            </w:r>
          </w:p>
        </w:tc>
        <w:tc>
          <w:tcPr>
            <w:tcW w:w="739" w:type="dxa"/>
            <w:tcBorders>
              <w:top w:val="single" w:color="000000" w:sz="2" w:space="0"/>
              <w:bottom w:val="single" w:color="000000" w:sz="2" w:space="0"/>
            </w:tcBorders>
            <w:vAlign w:val="top"/>
          </w:tcPr>
          <w:p w14:paraId="59E20CE8">
            <w:pPr>
              <w:pStyle w:val="57"/>
              <w:spacing w:before="75" w:line="201" w:lineRule="auto"/>
              <w:ind w:left="214"/>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00" w:type="dxa"/>
            <w:tcBorders>
              <w:top w:val="single" w:color="000000" w:sz="2" w:space="0"/>
              <w:bottom w:val="single" w:color="000000" w:sz="2" w:space="0"/>
            </w:tcBorders>
            <w:vAlign w:val="top"/>
          </w:tcPr>
          <w:p w14:paraId="769BCF71">
            <w:pPr>
              <w:pStyle w:val="57"/>
              <w:spacing w:before="75" w:line="201" w:lineRule="auto"/>
              <w:ind w:left="194"/>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إثنان وعشرون</w:t>
            </w:r>
          </w:p>
        </w:tc>
        <w:tc>
          <w:tcPr>
            <w:tcW w:w="749" w:type="dxa"/>
            <w:tcBorders>
              <w:top w:val="single" w:color="000000" w:sz="2" w:space="0"/>
              <w:bottom w:val="single" w:color="000000" w:sz="2" w:space="0"/>
            </w:tcBorders>
            <w:vAlign w:val="top"/>
          </w:tcPr>
          <w:p w14:paraId="0AC5DCCD">
            <w:pPr>
              <w:pStyle w:val="57"/>
              <w:spacing w:before="75" w:line="201" w:lineRule="auto"/>
              <w:ind w:left="225"/>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0.2</w:t>
            </w:r>
          </w:p>
        </w:tc>
        <w:tc>
          <w:tcPr>
            <w:tcW w:w="620" w:type="dxa"/>
            <w:tcBorders>
              <w:top w:val="single" w:color="000000" w:sz="2" w:space="0"/>
              <w:bottom w:val="single" w:color="000000" w:sz="2" w:space="0"/>
            </w:tcBorders>
            <w:vAlign w:val="top"/>
          </w:tcPr>
          <w:p w14:paraId="477581C3">
            <w:pPr>
              <w:pStyle w:val="57"/>
              <w:spacing w:before="75" w:line="201"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0952DBBB">
            <w:pPr>
              <w:pStyle w:val="57"/>
              <w:spacing w:before="106" w:line="171" w:lineRule="auto"/>
              <w:ind w:left="306"/>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30" w:type="dxa"/>
            <w:tcBorders>
              <w:top w:val="single" w:color="000000" w:sz="2" w:space="0"/>
              <w:bottom w:val="single" w:color="000000" w:sz="2" w:space="0"/>
            </w:tcBorders>
            <w:vAlign w:val="top"/>
          </w:tcPr>
          <w:p w14:paraId="188B4A2A">
            <w:pPr>
              <w:pStyle w:val="57"/>
              <w:spacing w:before="75" w:line="201" w:lineRule="auto"/>
              <w:ind w:left="166"/>
              <w:rPr>
                <w:rFonts w:hint="eastAsia" w:ascii="宋体" w:hAnsi="宋体" w:eastAsia="宋体" w:cs="宋体"/>
                <w:sz w:val="19"/>
                <w:szCs w:val="19"/>
                <w:highlight w:val="none"/>
                <w:rtl/>
              </w:rPr>
              <w:bidi/>
            </w:pPr>
            <w:r>
              <w:rPr>
                <w:rFonts w:hint="eastAsia" w:ascii="宋体" w:hAnsi="宋体" w:eastAsia="宋体" w:cs="宋体"/>
                <w:spacing w:val="-5"/>
                <w:sz w:val="19"/>
                <w:szCs w:val="19"/>
                <w:highlight w:val="none"/>
                <w:rtl/>
              </w:rPr>
              <w:t>161</w:t>
            </w:r>
          </w:p>
        </w:tc>
        <w:tc>
          <w:tcPr>
            <w:tcW w:w="689" w:type="dxa"/>
            <w:tcBorders>
              <w:top w:val="single" w:color="000000" w:sz="2" w:space="0"/>
              <w:bottom w:val="single" w:color="000000" w:sz="2" w:space="0"/>
            </w:tcBorders>
            <w:vAlign w:val="top"/>
          </w:tcPr>
          <w:p w14:paraId="5D9CC102">
            <w:pPr>
              <w:pStyle w:val="57"/>
              <w:spacing w:before="75" w:line="201" w:lineRule="auto"/>
              <w:ind w:left="197"/>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0.8</w:t>
            </w:r>
          </w:p>
        </w:tc>
        <w:tc>
          <w:tcPr>
            <w:tcW w:w="729" w:type="dxa"/>
            <w:tcBorders>
              <w:top w:val="single" w:color="000000" w:sz="2" w:space="0"/>
              <w:bottom w:val="single" w:color="000000" w:sz="2" w:space="0"/>
            </w:tcBorders>
            <w:vAlign w:val="top"/>
          </w:tcPr>
          <w:p w14:paraId="4E65DB6D">
            <w:pPr>
              <w:pStyle w:val="57"/>
              <w:spacing w:before="75" w:line="201" w:lineRule="auto"/>
              <w:ind w:left="217"/>
              <w:rPr>
                <w:rFonts w:hint="eastAsia" w:ascii="宋体" w:hAnsi="宋体" w:eastAsia="宋体" w:cs="宋体"/>
                <w:sz w:val="19"/>
                <w:szCs w:val="19"/>
                <w:highlight w:val="none"/>
                <w:rtl/>
              </w:rPr>
              <w:bidi/>
            </w:pPr>
            <w:r>
              <w:rPr>
                <w:rFonts w:hint="eastAsia" w:ascii="宋体" w:hAnsi="宋体" w:eastAsia="宋体" w:cs="宋体"/>
                <w:spacing w:val="-5"/>
                <w:sz w:val="19"/>
                <w:szCs w:val="19"/>
                <w:highlight w:val="none"/>
                <w:rtl/>
              </w:rPr>
              <w:t>193</w:t>
            </w:r>
          </w:p>
        </w:tc>
        <w:tc>
          <w:tcPr>
            <w:tcW w:w="684" w:type="dxa"/>
            <w:tcBorders>
              <w:top w:val="single" w:color="000000" w:sz="2" w:space="0"/>
              <w:bottom w:val="single" w:color="000000" w:sz="2" w:space="0"/>
            </w:tcBorders>
            <w:vAlign w:val="top"/>
          </w:tcPr>
          <w:p w14:paraId="2238DDEB">
            <w:pPr>
              <w:pStyle w:val="57"/>
              <w:spacing w:before="75" w:line="201"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r>
      <w:tr w14:paraId="357EF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6" w:hRule="atLeast"/>
        </w:trPr>
        <w:tc>
          <w:tcPr>
            <w:tcW w:w="894" w:type="dxa"/>
            <w:vMerge w:val="continue"/>
            <w:tcBorders>
              <w:top w:val="nil"/>
              <w:bottom w:val="single" w:color="000000" w:sz="2" w:space="0"/>
            </w:tcBorders>
            <w:vAlign w:val="top"/>
          </w:tcPr>
          <w:p w14:paraId="0B99E96B">
            <w:pPr>
              <w:rPr>
                <w:rFonts w:hint="eastAsia" w:ascii="宋体" w:hAnsi="宋体" w:eastAsia="宋体" w:cs="宋体"/>
                <w:sz w:val="21"/>
                <w:highlight w:val="none"/>
                <w:rtl/>
              </w:rPr>
              <w:bidi/>
            </w:pPr>
          </w:p>
        </w:tc>
        <w:tc>
          <w:tcPr>
            <w:tcW w:w="620" w:type="dxa"/>
            <w:tcBorders>
              <w:top w:val="single" w:color="000000" w:sz="2" w:space="0"/>
              <w:bottom w:val="single" w:color="000000" w:sz="2" w:space="0"/>
            </w:tcBorders>
            <w:vAlign w:val="top"/>
          </w:tcPr>
          <w:p w14:paraId="75EE31F9">
            <w:pPr>
              <w:pStyle w:val="57"/>
              <w:spacing w:before="75" w:line="205" w:lineRule="auto"/>
              <w:ind w:left="6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21:00</w:t>
            </w:r>
          </w:p>
        </w:tc>
        <w:tc>
          <w:tcPr>
            <w:tcW w:w="679" w:type="dxa"/>
            <w:tcBorders>
              <w:top w:val="single" w:color="000000" w:sz="2" w:space="0"/>
              <w:bottom w:val="single" w:color="000000" w:sz="2" w:space="0"/>
            </w:tcBorders>
            <w:vAlign w:val="top"/>
          </w:tcPr>
          <w:p w14:paraId="10970C77">
            <w:pPr>
              <w:pStyle w:val="57"/>
              <w:spacing w:before="75" w:line="205" w:lineRule="auto"/>
              <w:ind w:left="231"/>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85</w:t>
            </w:r>
          </w:p>
        </w:tc>
        <w:tc>
          <w:tcPr>
            <w:tcW w:w="689" w:type="dxa"/>
            <w:tcBorders>
              <w:top w:val="single" w:color="000000" w:sz="2" w:space="0"/>
              <w:bottom w:val="single" w:color="000000" w:sz="2" w:space="0"/>
            </w:tcBorders>
            <w:vAlign w:val="top"/>
          </w:tcPr>
          <w:p w14:paraId="632A8845">
            <w:pPr>
              <w:pStyle w:val="57"/>
              <w:spacing w:before="75" w:line="205" w:lineRule="auto"/>
              <w:ind w:left="191"/>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739" w:type="dxa"/>
            <w:tcBorders>
              <w:top w:val="single" w:color="000000" w:sz="2" w:space="0"/>
              <w:bottom w:val="single" w:color="000000" w:sz="2" w:space="0"/>
            </w:tcBorders>
            <w:vAlign w:val="top"/>
          </w:tcPr>
          <w:p w14:paraId="51139580">
            <w:pPr>
              <w:pStyle w:val="57"/>
              <w:spacing w:before="75" w:line="205" w:lineRule="auto"/>
              <w:ind w:left="262"/>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63</w:t>
            </w:r>
          </w:p>
        </w:tc>
        <w:tc>
          <w:tcPr>
            <w:tcW w:w="739" w:type="dxa"/>
            <w:tcBorders>
              <w:top w:val="single" w:color="000000" w:sz="2" w:space="0"/>
              <w:bottom w:val="single" w:color="000000" w:sz="2" w:space="0"/>
            </w:tcBorders>
            <w:vAlign w:val="top"/>
          </w:tcPr>
          <w:p w14:paraId="76E4317E">
            <w:pPr>
              <w:pStyle w:val="57"/>
              <w:spacing w:before="75" w:line="205" w:lineRule="auto"/>
              <w:ind w:left="214"/>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0.1</w:t>
            </w:r>
          </w:p>
        </w:tc>
        <w:tc>
          <w:tcPr>
            <w:tcW w:w="600" w:type="dxa"/>
            <w:tcBorders>
              <w:top w:val="single" w:color="000000" w:sz="2" w:space="0"/>
              <w:bottom w:val="single" w:color="000000" w:sz="2" w:space="0"/>
            </w:tcBorders>
            <w:shd w:val="clear" w:color="auto" w:fill="FFFFFF"/>
            <w:vAlign w:val="top"/>
          </w:tcPr>
          <w:p w14:paraId="6DD4D0CE">
            <w:pPr>
              <w:pStyle w:val="57"/>
              <w:spacing w:before="75" w:line="205" w:lineRule="auto"/>
              <w:ind w:left="194"/>
              <w:rPr>
                <w:rFonts w:hint="eastAsia" w:ascii="宋体" w:hAnsi="宋体" w:eastAsia="宋体" w:cs="宋体"/>
                <w:sz w:val="19"/>
                <w:szCs w:val="19"/>
                <w:highlight w:val="none"/>
                <w:rtl/>
              </w:rPr>
              <w:bidi/>
            </w:pPr>
            <w:r>
              <w:rPr>
                <w:rFonts w:hint="eastAsia" w:ascii="宋体" w:hAnsi="宋体" w:eastAsia="宋体" w:cs="宋体"/>
                <w:highlight w:val="none"/>
                <w:rtl/>
              </w:rPr>
              <mc:AlternateContent>
                <mc:Choice Requires="wps">
                  <w:drawing>
                    <wp:anchor distT="0" distB="0" distL="114300" distR="114300" simplePos="0" relativeHeight="251661312" behindDoc="1" locked="0" layoutInCell="1" allowOverlap="1">
                      <wp:simplePos x="0" y="0"/>
                      <wp:positionH relativeFrom="column">
                        <wp:posOffset>-8890</wp:posOffset>
                      </wp:positionH>
                      <wp:positionV relativeFrom="paragraph">
                        <wp:posOffset>-11430</wp:posOffset>
                      </wp:positionV>
                      <wp:extent cx="367030" cy="2794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367030" cy="279400"/>
                              </a:xfrm>
                              <a:prstGeom prst="rect">
                                <a:avLst/>
                              </a:prstGeom>
                              <a:noFill/>
                              <a:ln>
                                <a:noFill/>
                              </a:ln>
                            </wps:spPr>
                            <wps:txbx>
                              <w:txbxContent>
                                <w:p w14:paraId="4199BF12">
                                  <w:pPr>
                                    <w:spacing w:before="20" w:line="399" w:lineRule="exact"/>
                                    <w:ind w:left="20"/>
                                    <w:rPr>
                                      <w:rFonts w:ascii="宋体" w:hAnsi="宋体" w:eastAsia="宋体" w:cs="宋体"/>
                                      <w:sz w:val="110"/>
                                      <w:szCs w:val="110"/>
                                      <w:rtl/>
                                    </w:rPr>
                                    <w:bidi/>
                                  </w:pPr>
                                  <w:r>
                                    <w:rPr>
                                      <w:rFonts w:ascii="宋体" w:hAnsi="宋体" w:eastAsia="宋体" w:cs="宋体"/>
                                      <w:position w:val="-51"/>
                                      <w:sz w:val="110"/>
                                      <w:szCs w:val="110"/>
                                      <w:rtl/>
                                    </w:rPr>
                                    <w:t>²</w:t>
                                  </w:r>
                                </w:p>
                              </w:txbxContent>
                            </wps:txbx>
                            <wps:bodyPr lIns="0" tIns="0" rIns="0" bIns="0" upright="1"/>
                          </wps:wsp>
                        </a:graphicData>
                      </a:graphic>
                    </wp:anchor>
                  </w:drawing>
                </mc:Choice>
                <mc:Fallback>
                  <w:pict>
                    <v:shape id="_x0000_s1026" o:spid="_x0000_s1026" o:spt="202" type="#_x0000_t202" style="position:absolute;left:0pt;margin-left:-0.7pt;margin-top:-0.9pt;height:22pt;width:28.9pt;z-index:-251655168;mso-width-relative:page;mso-height-relative:page;" filled="f" stroked="f" coordsize="21600,21600" o:gfxdata="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lx9BNYAAAAHAQAADwAAAAAAAAABACAAAAAiAAAAZHJzL2Rvd25yZXYueG1sUEsBAhQA&#10;FAAAAAgAh07iQEmX7NC7AQAAcwMAAA4AAAAAAAAAAQAgAAAAJQEAAGRycy9lMm9Eb2MueG1sUEsF&#10;BgAAAAAGAAYAWQEAAFIFAAAAAA==&#10;">
                      <v:fill on="f" focussize="0,0"/>
                      <v:stroke on="f"/>
                      <v:imagedata o:title=""/>
                      <o:lock v:ext="edit" aspectratio="f"/>
                      <v:textbox inset="0mm,0mm,0mm,0mm">
                        <w:txbxContent>
                          <w:p w14:paraId="4199BF12">
                            <w:pPr>
                              <w:spacing w:before="20" w:line="399" w:lineRule="exact"/>
                              <w:ind w:left="20"/>
                              <w:rPr>
                                <w:rFonts w:ascii="宋体" w:hAnsi="宋体" w:eastAsia="宋体" w:cs="宋体"/>
                                <w:sz w:val="110"/>
                                <w:szCs w:val="110"/>
                                <w:rtl/>
                              </w:rPr>
                              <w:bidi/>
                            </w:pPr>
                            <w:r>
                              <w:rPr>
                                <w:rFonts w:ascii="宋体" w:hAnsi="宋体" w:eastAsia="宋体" w:cs="宋体"/>
                                <w:position w:val="-51"/>
                                <w:sz w:val="110"/>
                                <w:szCs w:val="110"/>
                                <w:rtl/>
                              </w:rPr>
                              <w:t>²</w:t>
                            </w:r>
                          </w:p>
                        </w:txbxContent>
                      </v:textbox>
                    </v:shape>
                  </w:pict>
                </mc:Fallback>
              </mc:AlternateContent>
            </w:r>
            <w:r>
              <w:rPr>
                <w:rFonts w:hint="eastAsia" w:ascii="宋体" w:hAnsi="宋体" w:eastAsia="宋体" w:cs="宋体"/>
                <w:spacing w:val="-6"/>
                <w:sz w:val="19"/>
                <w:szCs w:val="19"/>
                <w:highlight w:val="none"/>
                <w:rtl/>
              </w:rPr>
              <w:t>17</w:t>
            </w:r>
          </w:p>
        </w:tc>
        <w:tc>
          <w:tcPr>
            <w:tcW w:w="749" w:type="dxa"/>
            <w:tcBorders>
              <w:top w:val="single" w:color="000000" w:sz="2" w:space="0"/>
              <w:bottom w:val="single" w:color="000000" w:sz="2" w:space="0"/>
            </w:tcBorders>
            <w:vAlign w:val="top"/>
          </w:tcPr>
          <w:p w14:paraId="244F7552">
            <w:pPr>
              <w:pStyle w:val="57"/>
              <w:spacing w:before="105" w:line="175" w:lineRule="auto"/>
              <w:ind w:left="315"/>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20" w:type="dxa"/>
            <w:tcBorders>
              <w:top w:val="single" w:color="000000" w:sz="2" w:space="0"/>
              <w:bottom w:val="single" w:color="000000" w:sz="2" w:space="0"/>
            </w:tcBorders>
            <w:vAlign w:val="top"/>
          </w:tcPr>
          <w:p w14:paraId="63F479B5">
            <w:pPr>
              <w:pStyle w:val="57"/>
              <w:spacing w:before="75" w:line="205" w:lineRule="auto"/>
              <w:ind w:left="205"/>
              <w:rPr>
                <w:rFonts w:hint="eastAsia" w:ascii="宋体" w:hAnsi="宋体" w:eastAsia="宋体" w:cs="宋体"/>
                <w:sz w:val="19"/>
                <w:szCs w:val="19"/>
                <w:highlight w:val="none"/>
                <w:rtl/>
              </w:rPr>
              <w:bidi/>
            </w:pPr>
            <w:r>
              <w:rPr>
                <w:rFonts w:hint="eastAsia" w:ascii="宋体" w:hAnsi="宋体" w:eastAsia="宋体" w:cs="宋体"/>
                <w:spacing w:val="-3"/>
                <w:sz w:val="19"/>
                <w:szCs w:val="19"/>
                <w:highlight w:val="none"/>
                <w:rtl/>
              </w:rPr>
              <w:t>28</w:t>
            </w:r>
          </w:p>
        </w:tc>
        <w:tc>
          <w:tcPr>
            <w:tcW w:w="729" w:type="dxa"/>
            <w:tcBorders>
              <w:top w:val="single" w:color="000000" w:sz="2" w:space="0"/>
              <w:bottom w:val="single" w:color="000000" w:sz="2" w:space="0"/>
            </w:tcBorders>
            <w:vAlign w:val="top"/>
          </w:tcPr>
          <w:p w14:paraId="6DCC7549">
            <w:pPr>
              <w:pStyle w:val="57"/>
              <w:spacing w:before="105" w:line="175" w:lineRule="auto"/>
              <w:ind w:left="306"/>
              <w:rPr>
                <w:rFonts w:hint="eastAsia" w:ascii="宋体" w:hAnsi="宋体" w:eastAsia="宋体" w:cs="宋体"/>
                <w:sz w:val="19"/>
                <w:szCs w:val="19"/>
                <w:highlight w:val="none"/>
                <w:rtl/>
              </w:rPr>
              <w:bidi/>
            </w:pPr>
            <w:r>
              <w:rPr>
                <w:rFonts w:hint="eastAsia" w:ascii="宋体" w:hAnsi="宋体" w:eastAsia="宋体" w:cs="宋体"/>
                <w:sz w:val="19"/>
                <w:szCs w:val="19"/>
                <w:highlight w:val="none"/>
                <w:rtl/>
              </w:rPr>
              <w:t>تي</w:t>
            </w:r>
          </w:p>
        </w:tc>
        <w:tc>
          <w:tcPr>
            <w:tcW w:w="630" w:type="dxa"/>
            <w:tcBorders>
              <w:top w:val="single" w:color="000000" w:sz="2" w:space="0"/>
              <w:bottom w:val="single" w:color="000000" w:sz="2" w:space="0"/>
            </w:tcBorders>
            <w:vAlign w:val="top"/>
          </w:tcPr>
          <w:p w14:paraId="250AB4CD">
            <w:pPr>
              <w:pStyle w:val="57"/>
              <w:spacing w:before="75" w:line="205" w:lineRule="auto"/>
              <w:ind w:left="166"/>
              <w:rPr>
                <w:rFonts w:hint="eastAsia" w:ascii="宋体" w:hAnsi="宋体" w:eastAsia="宋体" w:cs="宋体"/>
                <w:sz w:val="19"/>
                <w:szCs w:val="19"/>
                <w:highlight w:val="none"/>
                <w:rtl/>
              </w:rPr>
              <w:bidi/>
            </w:pPr>
            <w:r>
              <w:rPr>
                <w:rFonts w:hint="eastAsia" w:ascii="宋体" w:hAnsi="宋体" w:eastAsia="宋体" w:cs="宋体"/>
                <w:spacing w:val="-5"/>
                <w:sz w:val="19"/>
                <w:szCs w:val="19"/>
                <w:highlight w:val="none"/>
                <w:rtl/>
              </w:rPr>
              <w:t>147</w:t>
            </w:r>
          </w:p>
        </w:tc>
        <w:tc>
          <w:tcPr>
            <w:tcW w:w="689" w:type="dxa"/>
            <w:tcBorders>
              <w:top w:val="single" w:color="000000" w:sz="2" w:space="0"/>
              <w:bottom w:val="single" w:color="000000" w:sz="2" w:space="0"/>
            </w:tcBorders>
            <w:vAlign w:val="top"/>
          </w:tcPr>
          <w:p w14:paraId="614AC9D9">
            <w:pPr>
              <w:pStyle w:val="57"/>
              <w:spacing w:before="75" w:line="205" w:lineRule="auto"/>
              <w:ind w:left="197"/>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0.6</w:t>
            </w:r>
          </w:p>
        </w:tc>
        <w:tc>
          <w:tcPr>
            <w:tcW w:w="729" w:type="dxa"/>
            <w:tcBorders>
              <w:top w:val="single" w:color="000000" w:sz="2" w:space="0"/>
              <w:bottom w:val="single" w:color="000000" w:sz="2" w:space="0"/>
            </w:tcBorders>
            <w:vAlign w:val="top"/>
          </w:tcPr>
          <w:p w14:paraId="64C4C09E">
            <w:pPr>
              <w:pStyle w:val="57"/>
              <w:spacing w:before="75" w:line="205" w:lineRule="auto"/>
              <w:ind w:left="217"/>
              <w:rPr>
                <w:rFonts w:hint="eastAsia" w:ascii="宋体" w:hAnsi="宋体" w:eastAsia="宋体" w:cs="宋体"/>
                <w:sz w:val="19"/>
                <w:szCs w:val="19"/>
                <w:highlight w:val="none"/>
                <w:rtl/>
              </w:rPr>
              <w:bidi/>
            </w:pPr>
            <w:r>
              <w:rPr>
                <w:rFonts w:hint="eastAsia" w:ascii="宋体" w:hAnsi="宋体" w:eastAsia="宋体" w:cs="宋体"/>
                <w:spacing w:val="-5"/>
                <w:sz w:val="19"/>
                <w:szCs w:val="19"/>
                <w:highlight w:val="none"/>
                <w:rtl/>
              </w:rPr>
              <w:t>171</w:t>
            </w:r>
          </w:p>
        </w:tc>
        <w:tc>
          <w:tcPr>
            <w:tcW w:w="684" w:type="dxa"/>
            <w:tcBorders>
              <w:top w:val="single" w:color="000000" w:sz="2" w:space="0"/>
              <w:bottom w:val="single" w:color="000000" w:sz="2" w:space="0"/>
            </w:tcBorders>
            <w:vAlign w:val="top"/>
          </w:tcPr>
          <w:p w14:paraId="06A13333">
            <w:pPr>
              <w:pStyle w:val="57"/>
              <w:spacing w:before="75" w:line="205" w:lineRule="auto"/>
              <w:ind w:left="189"/>
              <w:rPr>
                <w:rFonts w:hint="eastAsia" w:ascii="宋体" w:hAnsi="宋体" w:eastAsia="宋体" w:cs="宋体"/>
                <w:sz w:val="19"/>
                <w:szCs w:val="19"/>
                <w:highlight w:val="none"/>
                <w:rtl/>
              </w:rPr>
              <w:bidi/>
            </w:pPr>
            <w:r>
              <w:rPr>
                <w:rFonts w:hint="eastAsia" w:ascii="宋体" w:hAnsi="宋体" w:eastAsia="宋体" w:cs="宋体"/>
                <w:spacing w:val="-2"/>
                <w:sz w:val="19"/>
                <w:szCs w:val="19"/>
                <w:highlight w:val="none"/>
                <w:rtl/>
              </w:rPr>
              <w:t>0.2</w:t>
            </w:r>
          </w:p>
        </w:tc>
      </w:tr>
    </w:tbl>
    <w:p w14:paraId="375051BA">
      <w:pPr>
        <w:pStyle w:val="9"/>
        <w:keepNext w:val="0"/>
        <w:keepLines w:val="0"/>
        <w:pageBreakBefore w:val="0"/>
        <w:widowControl w:val="0"/>
        <w:kinsoku/>
        <w:wordWrap/>
        <w:overflowPunct/>
        <w:topLinePunct w:val="0"/>
        <w:autoSpaceDE/>
        <w:autoSpaceDN/>
        <w:adjustRightInd/>
        <w:snapToGrid/>
        <w:spacing w:line="300" w:lineRule="exact"/>
        <w:ind w:left="0" w:leftChars="0" w:firstLine="0" w:firstLineChars="0"/>
        <w:jc w:val="both"/>
        <w:textAlignment w:val="auto"/>
        <w:rPr>
          <w:rFonts w:hint="eastAsia" w:ascii="宋体" w:hAnsi="宋体" w:eastAsia="宋体" w:cs="宋体"/>
          <w:b w:val="0"/>
          <w:bCs w:val="0"/>
          <w:color w:val="auto"/>
          <w:sz w:val="18"/>
          <w:szCs w:val="18"/>
          <w:highlight w:val="none"/>
          <w:lang w:val="en-US" w:eastAsia="zh-CN"/>
          <w:rtl/>
        </w:rPr>
      </w:pPr>
      <w:r>
        <w:rPr>
          <w:rFonts w:hint="eastAsia" w:ascii="宋体" w:hAnsi="宋体" w:eastAsia="宋体" w:cs="宋体"/>
          <w:b w:val="0"/>
          <w:bCs w:val="0"/>
          <w:color w:val="auto"/>
          <w:sz w:val="18"/>
          <w:szCs w:val="18"/>
          <w:highlight w:val="none"/>
          <w:lang w:val="en-US" w:eastAsia="zh-CN"/>
          <w:rtl/>
        </w:rPr>
        <w:t>ملاحظة: يشير محتوى الماء T إلى نسبة ضئيلة، مما يدل على محتوى مائي منخفض للغاية لا يمكن اكتشافه بواسطة أجهزة المختبر.</w:t>
      </w:r>
    </w:p>
    <w:p w14:paraId="2A64B6A2">
      <w:pPr>
        <w:pStyle w:val="9"/>
        <w:keepNext w:val="0"/>
        <w:keepLines w:val="0"/>
        <w:pageBreakBefore w:val="0"/>
        <w:widowControl w:val="0"/>
        <w:kinsoku/>
        <w:wordWrap/>
        <w:overflowPunct/>
        <w:topLinePunct w:val="0"/>
        <w:autoSpaceDE/>
        <w:autoSpaceDN/>
        <w:adjustRightInd/>
        <w:snapToGrid/>
        <w:spacing w:line="300" w:lineRule="exact"/>
        <w:ind w:left="0" w:leftChars="0" w:firstLine="0" w:firstLineChars="0"/>
        <w:jc w:val="both"/>
        <w:textAlignment w:val="auto"/>
        <w:rPr>
          <w:rFonts w:hint="eastAsia" w:ascii="宋体" w:hAnsi="宋体" w:eastAsia="宋体" w:cs="宋体"/>
          <w:b w:val="0"/>
          <w:bCs w:val="0"/>
          <w:color w:val="auto"/>
          <w:sz w:val="18"/>
          <w:szCs w:val="18"/>
          <w:highlight w:val="none"/>
          <w:lang w:val="en-US" w:eastAsia="zh-CN"/>
          <w:rtl/>
        </w:rPr>
      </w:pPr>
    </w:p>
    <w:p w14:paraId="0025FF17">
      <w:pPr>
        <w:pStyle w:val="9"/>
        <w:keepNext w:val="0"/>
        <w:keepLines w:val="0"/>
        <w:pageBreakBefore w:val="0"/>
        <w:widowControl w:val="0"/>
        <w:kinsoku/>
        <w:wordWrap/>
        <w:overflowPunct/>
        <w:topLinePunct w:val="0"/>
        <w:autoSpaceDE/>
        <w:autoSpaceDN/>
        <w:adjustRightInd/>
        <w:snapToGrid/>
        <w:spacing w:line="260" w:lineRule="exact"/>
        <w:ind w:left="0" w:leftChars="0" w:firstLine="0" w:firstLineChars="0"/>
        <w:jc w:val="center"/>
        <w:textAlignment w:val="auto"/>
        <w:rPr>
          <w:rFonts w:hint="eastAsia" w:ascii="宋体" w:hAnsi="宋体" w:eastAsia="宋体" w:cs="宋体"/>
          <w:b w:val="0"/>
          <w:bCs w:val="0"/>
          <w:color w:val="auto"/>
          <w:kern w:val="0"/>
          <w:sz w:val="21"/>
          <w:szCs w:val="21"/>
          <w:highlight w:val="none"/>
          <w:lang w:val="en-US" w:eastAsia="en-US" w:bidi="ar-SA"/>
          <w:rtl/>
        </w:rPr>
      </w:pPr>
      <w:r>
        <w:rPr>
          <w:rFonts w:hint="eastAsia" w:ascii="宋体" w:hAnsi="宋体" w:eastAsia="宋体" w:cs="宋体"/>
          <w:b w:val="0"/>
          <w:bCs w:val="0"/>
          <w:color w:val="auto"/>
          <w:sz w:val="21"/>
          <w:szCs w:val="21"/>
          <w:highlight w:val="none"/>
          <w:lang w:eastAsia="zh-CN"/>
          <w:rtl/>
        </w:rPr>
        <w:t>الجدول 4-2 بيانات الاختبار الميداني لمزيل الاستحلاب أ</w:t>
      </w:r>
    </w:p>
    <w:tbl>
      <w:tblPr>
        <w:tblStyle w:val="56"/>
        <w:tblW w:w="6820" w:type="dxa"/>
        <w:tblInd w:w="13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13"/>
        <w:gridCol w:w="1867"/>
        <w:gridCol w:w="1827"/>
        <w:gridCol w:w="1813"/>
      </w:tblGrid>
      <w:tr w14:paraId="31129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1313" w:type="dxa"/>
            <w:vAlign w:val="top"/>
          </w:tcPr>
          <w:p w14:paraId="41C2B781">
            <w:pPr>
              <w:pStyle w:val="57"/>
              <w:spacing w:before="107" w:line="163" w:lineRule="auto"/>
              <w:ind w:left="438"/>
              <w:rPr>
                <w:rFonts w:hint="eastAsia" w:ascii="宋体" w:hAnsi="宋体" w:eastAsia="宋体" w:cs="宋体"/>
                <w:sz w:val="21"/>
                <w:szCs w:val="21"/>
                <w:highlight w:val="none"/>
                <w:rtl/>
              </w:rPr>
              <w:bidi/>
            </w:pPr>
            <w:r>
              <w:rPr>
                <w:rFonts w:hint="eastAsia" w:ascii="宋体" w:hAnsi="宋体" w:eastAsia="宋体" w:cs="宋体"/>
                <w:b/>
                <w:bCs/>
                <w:color w:val="205070"/>
                <w:spacing w:val="-3"/>
                <w:sz w:val="21"/>
                <w:szCs w:val="21"/>
                <w:highlight w:val="none"/>
                <w:rtl/>
              </w:rPr>
              <w:t>تاريخ</w:t>
            </w:r>
          </w:p>
        </w:tc>
        <w:tc>
          <w:tcPr>
            <w:tcW w:w="1867" w:type="dxa"/>
            <w:vAlign w:val="top"/>
          </w:tcPr>
          <w:p w14:paraId="56D6FE34">
            <w:pPr>
              <w:pStyle w:val="57"/>
              <w:spacing w:before="43" w:line="214" w:lineRule="auto"/>
              <w:ind w:left="135"/>
              <w:rPr>
                <w:rFonts w:hint="eastAsia" w:ascii="宋体" w:hAnsi="宋体" w:eastAsia="宋体" w:cs="宋体"/>
                <w:sz w:val="21"/>
                <w:szCs w:val="21"/>
                <w:highlight w:val="none"/>
                <w:rtl/>
              </w:rPr>
              <w:bidi/>
            </w:pPr>
            <w:r>
              <w:rPr>
                <w:rFonts w:hint="eastAsia" w:ascii="宋体" w:hAnsi="宋体" w:eastAsia="宋体" w:cs="宋体"/>
                <w:b/>
                <w:bCs/>
                <w:color w:val="205060"/>
                <w:spacing w:val="-3"/>
                <w:sz w:val="21"/>
                <w:szCs w:val="21"/>
                <w:highlight w:val="none"/>
                <w:rtl/>
              </w:rPr>
              <w:t>الاستلام (قسم العمليات التجارية)</w:t>
            </w:r>
          </w:p>
        </w:tc>
        <w:tc>
          <w:tcPr>
            <w:tcW w:w="1827" w:type="dxa"/>
            <w:vAlign w:val="top"/>
          </w:tcPr>
          <w:p w14:paraId="3E258097">
            <w:pPr>
              <w:pStyle w:val="57"/>
              <w:spacing w:before="45" w:line="214" w:lineRule="auto"/>
              <w:jc w:val="right"/>
              <w:rPr>
                <w:rFonts w:hint="eastAsia" w:ascii="宋体" w:hAnsi="宋体" w:eastAsia="宋体" w:cs="宋体"/>
                <w:sz w:val="21"/>
                <w:szCs w:val="21"/>
                <w:highlight w:val="none"/>
                <w:rtl/>
              </w:rPr>
              <w:bidi/>
            </w:pPr>
            <w:r>
              <w:rPr>
                <w:rFonts w:hint="eastAsia" w:ascii="宋体" w:hAnsi="宋体" w:eastAsia="宋体" w:cs="宋体"/>
                <w:b/>
                <w:bCs/>
                <w:color w:val="205060"/>
                <w:spacing w:val="-7"/>
                <w:sz w:val="21"/>
                <w:szCs w:val="21"/>
                <w:highlight w:val="none"/>
                <w:rtl/>
              </w:rPr>
              <w:t>استهلاك</w:t>
            </w:r>
            <w:r>
              <w:rPr>
                <w:rFonts w:hint="eastAsia" w:ascii="宋体" w:hAnsi="宋体" w:eastAsia="宋体" w:cs="宋体"/>
                <w:color w:val="205060"/>
                <w:spacing w:val="89"/>
                <w:sz w:val="21"/>
                <w:szCs w:val="21"/>
                <w:highlight w:val="none"/>
                <w:rtl/>
              </w:rPr>
              <w:t xml:space="preserve">(L/d)</w:t>
            </w:r>
          </w:p>
        </w:tc>
        <w:tc>
          <w:tcPr>
            <w:tcW w:w="1813" w:type="dxa"/>
            <w:vAlign w:val="top"/>
          </w:tcPr>
          <w:p w14:paraId="2867ADC7">
            <w:pPr>
              <w:pStyle w:val="57"/>
              <w:spacing w:before="43" w:line="214" w:lineRule="auto"/>
              <w:ind w:left="321"/>
              <w:rPr>
                <w:rFonts w:hint="eastAsia" w:ascii="宋体" w:hAnsi="宋体" w:eastAsia="宋体" w:cs="宋体"/>
                <w:sz w:val="21"/>
                <w:szCs w:val="21"/>
                <w:highlight w:val="none"/>
                <w:rtl/>
              </w:rPr>
              <w:bidi/>
            </w:pPr>
            <w:r>
              <w:rPr>
                <w:rFonts w:hint="eastAsia" w:ascii="宋体" w:hAnsi="宋体" w:eastAsia="宋体" w:cs="宋体"/>
                <w:b/>
                <w:bCs/>
                <w:color w:val="204050"/>
                <w:spacing w:val="-3"/>
                <w:sz w:val="21"/>
                <w:szCs w:val="21"/>
                <w:highlight w:val="none"/>
                <w:rtl/>
              </w:rPr>
              <w:t>الجرعة (جزء في المليون)</w:t>
            </w:r>
          </w:p>
        </w:tc>
      </w:tr>
      <w:tr w14:paraId="50971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1313" w:type="dxa"/>
            <w:vAlign w:val="top"/>
          </w:tcPr>
          <w:p w14:paraId="20DB4325">
            <w:pPr>
              <w:pStyle w:val="57"/>
              <w:spacing w:before="71" w:line="190" w:lineRule="auto"/>
              <w:ind w:left="125"/>
              <w:rPr>
                <w:rFonts w:hint="eastAsia" w:ascii="宋体" w:hAnsi="宋体" w:eastAsia="宋体" w:cs="宋体"/>
                <w:sz w:val="21"/>
                <w:szCs w:val="21"/>
                <w:highlight w:val="none"/>
                <w:rtl/>
              </w:rPr>
              <w:bidi/>
            </w:pPr>
            <w:r>
              <w:rPr>
                <w:rFonts w:hint="eastAsia" w:ascii="宋体" w:hAnsi="宋体" w:eastAsia="宋体" w:cs="宋体"/>
                <w:spacing w:val="-2"/>
                <w:sz w:val="21"/>
                <w:szCs w:val="21"/>
                <w:highlight w:val="none"/>
                <w:rtl/>
              </w:rPr>
              <w:t>29-05-2024</w:t>
            </w:r>
          </w:p>
        </w:tc>
        <w:tc>
          <w:tcPr>
            <w:tcW w:w="1867" w:type="dxa"/>
            <w:vAlign w:val="top"/>
          </w:tcPr>
          <w:p w14:paraId="28C64BEF">
            <w:pPr>
              <w:pStyle w:val="57"/>
              <w:spacing w:before="46" w:line="212" w:lineRule="auto"/>
              <w:ind w:left="551"/>
              <w:rPr>
                <w:rFonts w:hint="eastAsia" w:ascii="宋体" w:hAnsi="宋体" w:eastAsia="宋体" w:cs="宋体"/>
                <w:sz w:val="21"/>
                <w:szCs w:val="21"/>
                <w:highlight w:val="none"/>
                <w:rtl/>
              </w:rPr>
              <w:bidi/>
            </w:pPr>
            <w:r>
              <w:rPr>
                <w:rFonts w:hint="eastAsia" w:ascii="宋体" w:hAnsi="宋体" w:eastAsia="宋体" w:cs="宋体"/>
                <w:spacing w:val="-2"/>
                <w:sz w:val="21"/>
                <w:szCs w:val="21"/>
                <w:highlight w:val="none"/>
                <w:rtl/>
              </w:rPr>
              <w:t>301,367</w:t>
            </w:r>
          </w:p>
        </w:tc>
        <w:tc>
          <w:tcPr>
            <w:tcW w:w="1827" w:type="dxa"/>
            <w:vAlign w:val="top"/>
          </w:tcPr>
          <w:p w14:paraId="071B37F7">
            <w:pPr>
              <w:pStyle w:val="57"/>
              <w:spacing w:before="46" w:line="212" w:lineRule="auto"/>
              <w:ind w:left="594"/>
              <w:rPr>
                <w:rFonts w:hint="eastAsia" w:ascii="宋体" w:hAnsi="宋体" w:eastAsia="宋体" w:cs="宋体"/>
                <w:sz w:val="21"/>
                <w:szCs w:val="21"/>
                <w:highlight w:val="none"/>
                <w:rtl/>
              </w:rPr>
              <w:bidi/>
            </w:pPr>
            <w:r>
              <w:rPr>
                <w:rFonts w:hint="eastAsia" w:ascii="宋体" w:hAnsi="宋体" w:eastAsia="宋体" w:cs="宋体"/>
                <w:spacing w:val="-4"/>
                <w:sz w:val="21"/>
                <w:szCs w:val="21"/>
                <w:highlight w:val="none"/>
                <w:rtl/>
              </w:rPr>
              <w:t>12,062</w:t>
            </w:r>
          </w:p>
        </w:tc>
        <w:tc>
          <w:tcPr>
            <w:tcW w:w="1813" w:type="dxa"/>
            <w:vAlign w:val="top"/>
          </w:tcPr>
          <w:p w14:paraId="2CC3F416">
            <w:pPr>
              <w:pStyle w:val="57"/>
              <w:spacing w:before="71" w:line="190" w:lineRule="auto"/>
              <w:ind w:left="738"/>
              <w:rPr>
                <w:rFonts w:hint="eastAsia" w:ascii="宋体" w:hAnsi="宋体" w:eastAsia="宋体" w:cs="宋体"/>
                <w:sz w:val="21"/>
                <w:szCs w:val="21"/>
                <w:highlight w:val="none"/>
                <w:rtl/>
              </w:rPr>
              <w:bidi/>
            </w:pPr>
            <w:r>
              <w:rPr>
                <w:rFonts w:hint="eastAsia" w:ascii="宋体" w:hAnsi="宋体" w:eastAsia="宋体" w:cs="宋体"/>
                <w:spacing w:val="-3"/>
                <w:sz w:val="21"/>
                <w:szCs w:val="21"/>
                <w:highlight w:val="none"/>
                <w:rtl/>
              </w:rPr>
              <w:t>252</w:t>
            </w:r>
          </w:p>
        </w:tc>
      </w:tr>
      <w:tr w14:paraId="1052C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trPr>
        <w:tc>
          <w:tcPr>
            <w:tcW w:w="1313" w:type="dxa"/>
            <w:vAlign w:val="top"/>
          </w:tcPr>
          <w:p w14:paraId="2F1FCBF8">
            <w:pPr>
              <w:pStyle w:val="57"/>
              <w:spacing w:before="64" w:line="188" w:lineRule="auto"/>
              <w:ind w:left="125"/>
              <w:rPr>
                <w:rFonts w:hint="eastAsia" w:ascii="宋体" w:hAnsi="宋体" w:eastAsia="宋体" w:cs="宋体"/>
                <w:sz w:val="21"/>
                <w:szCs w:val="21"/>
                <w:highlight w:val="none"/>
                <w:rtl/>
              </w:rPr>
              <w:bidi/>
            </w:pPr>
            <w:r>
              <w:rPr>
                <w:rFonts w:hint="eastAsia" w:ascii="宋体" w:hAnsi="宋体" w:eastAsia="宋体" w:cs="宋体"/>
                <w:spacing w:val="-2"/>
                <w:sz w:val="21"/>
                <w:szCs w:val="21"/>
                <w:highlight w:val="none"/>
                <w:rtl/>
              </w:rPr>
              <w:t>30-05-2024</w:t>
            </w:r>
          </w:p>
        </w:tc>
        <w:tc>
          <w:tcPr>
            <w:tcW w:w="1867" w:type="dxa"/>
            <w:vAlign w:val="top"/>
          </w:tcPr>
          <w:p w14:paraId="38F3F637">
            <w:pPr>
              <w:pStyle w:val="57"/>
              <w:spacing w:before="39" w:line="210" w:lineRule="auto"/>
              <w:ind w:left="551"/>
              <w:rPr>
                <w:rFonts w:hint="eastAsia" w:ascii="宋体" w:hAnsi="宋体" w:eastAsia="宋体" w:cs="宋体"/>
                <w:sz w:val="21"/>
                <w:szCs w:val="21"/>
                <w:highlight w:val="none"/>
                <w:rtl/>
              </w:rPr>
              <w:bidi/>
            </w:pPr>
            <w:r>
              <w:rPr>
                <w:rFonts w:hint="eastAsia" w:ascii="宋体" w:hAnsi="宋体" w:eastAsia="宋体" w:cs="宋体"/>
                <w:spacing w:val="-2"/>
                <w:sz w:val="21"/>
                <w:szCs w:val="21"/>
                <w:highlight w:val="none"/>
                <w:rtl/>
              </w:rPr>
              <w:t>297,627</w:t>
            </w:r>
          </w:p>
        </w:tc>
        <w:tc>
          <w:tcPr>
            <w:tcW w:w="1827" w:type="dxa"/>
            <w:vAlign w:val="top"/>
          </w:tcPr>
          <w:p w14:paraId="66C47702">
            <w:pPr>
              <w:pStyle w:val="57"/>
              <w:spacing w:before="39" w:line="210" w:lineRule="auto"/>
              <w:ind w:left="594"/>
              <w:rPr>
                <w:rFonts w:hint="eastAsia" w:ascii="宋体" w:hAnsi="宋体" w:eastAsia="宋体" w:cs="宋体"/>
                <w:sz w:val="21"/>
                <w:szCs w:val="21"/>
                <w:highlight w:val="none"/>
                <w:rtl/>
              </w:rPr>
              <w:bidi/>
            </w:pPr>
            <w:r>
              <w:rPr>
                <w:rFonts w:hint="eastAsia" w:ascii="宋体" w:hAnsi="宋体" w:eastAsia="宋体" w:cs="宋体"/>
                <w:spacing w:val="-4"/>
                <w:sz w:val="21"/>
                <w:szCs w:val="21"/>
                <w:highlight w:val="none"/>
                <w:rtl/>
              </w:rPr>
              <w:t>12,062</w:t>
            </w:r>
          </w:p>
        </w:tc>
        <w:tc>
          <w:tcPr>
            <w:tcW w:w="1813" w:type="dxa"/>
            <w:vAlign w:val="top"/>
          </w:tcPr>
          <w:p w14:paraId="4AFDAA7E">
            <w:pPr>
              <w:pStyle w:val="57"/>
              <w:spacing w:before="64" w:line="188" w:lineRule="auto"/>
              <w:ind w:left="738"/>
              <w:rPr>
                <w:rFonts w:hint="eastAsia" w:ascii="宋体" w:hAnsi="宋体" w:eastAsia="宋体" w:cs="宋体"/>
                <w:sz w:val="21"/>
                <w:szCs w:val="21"/>
                <w:highlight w:val="none"/>
                <w:rtl/>
              </w:rPr>
              <w:bidi/>
            </w:pPr>
            <w:r>
              <w:rPr>
                <w:rFonts w:hint="eastAsia" w:ascii="宋体" w:hAnsi="宋体" w:eastAsia="宋体" w:cs="宋体"/>
                <w:spacing w:val="-3"/>
                <w:sz w:val="21"/>
                <w:szCs w:val="21"/>
                <w:highlight w:val="none"/>
                <w:rtl/>
              </w:rPr>
              <w:t>255</w:t>
            </w:r>
          </w:p>
        </w:tc>
      </w:tr>
      <w:tr w14:paraId="618A9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1313" w:type="dxa"/>
            <w:vAlign w:val="top"/>
          </w:tcPr>
          <w:p w14:paraId="484C3E97">
            <w:pPr>
              <w:pStyle w:val="57"/>
              <w:spacing w:before="75" w:line="187" w:lineRule="auto"/>
              <w:ind w:left="125"/>
              <w:rPr>
                <w:rFonts w:hint="eastAsia" w:ascii="宋体" w:hAnsi="宋体" w:eastAsia="宋体" w:cs="宋体"/>
                <w:sz w:val="21"/>
                <w:szCs w:val="21"/>
                <w:highlight w:val="none"/>
                <w:rtl/>
              </w:rPr>
              <w:bidi/>
            </w:pPr>
            <w:r>
              <w:rPr>
                <w:rFonts w:hint="eastAsia" w:ascii="宋体" w:hAnsi="宋体" w:eastAsia="宋体" w:cs="宋体"/>
                <w:spacing w:val="-2"/>
                <w:sz w:val="21"/>
                <w:szCs w:val="21"/>
                <w:highlight w:val="none"/>
                <w:rtl/>
              </w:rPr>
              <w:t>31-05-2024</w:t>
            </w:r>
          </w:p>
        </w:tc>
        <w:tc>
          <w:tcPr>
            <w:tcW w:w="1867" w:type="dxa"/>
            <w:vAlign w:val="top"/>
          </w:tcPr>
          <w:p w14:paraId="23105832">
            <w:pPr>
              <w:pStyle w:val="57"/>
              <w:spacing w:before="51" w:line="208" w:lineRule="auto"/>
              <w:ind w:left="551"/>
              <w:rPr>
                <w:rFonts w:hint="eastAsia" w:ascii="宋体" w:hAnsi="宋体" w:eastAsia="宋体" w:cs="宋体"/>
                <w:sz w:val="21"/>
                <w:szCs w:val="21"/>
                <w:highlight w:val="none"/>
                <w:rtl/>
              </w:rPr>
              <w:bidi/>
            </w:pPr>
            <w:r>
              <w:rPr>
                <w:rFonts w:hint="eastAsia" w:ascii="宋体" w:hAnsi="宋体" w:eastAsia="宋体" w:cs="宋体"/>
                <w:spacing w:val="-2"/>
                <w:sz w:val="21"/>
                <w:szCs w:val="21"/>
                <w:highlight w:val="none"/>
                <w:rtl/>
              </w:rPr>
              <w:t>299,545</w:t>
            </w:r>
          </w:p>
        </w:tc>
        <w:tc>
          <w:tcPr>
            <w:tcW w:w="1827" w:type="dxa"/>
            <w:vAlign w:val="top"/>
          </w:tcPr>
          <w:p w14:paraId="29724219">
            <w:pPr>
              <w:pStyle w:val="57"/>
              <w:spacing w:before="51" w:line="208" w:lineRule="auto"/>
              <w:ind w:left="594"/>
              <w:rPr>
                <w:rFonts w:hint="eastAsia" w:ascii="宋体" w:hAnsi="宋体" w:eastAsia="宋体" w:cs="宋体"/>
                <w:sz w:val="21"/>
                <w:szCs w:val="21"/>
                <w:highlight w:val="none"/>
                <w:rtl/>
              </w:rPr>
              <w:bidi/>
            </w:pPr>
            <w:r>
              <w:rPr>
                <w:rFonts w:hint="eastAsia" w:ascii="宋体" w:hAnsi="宋体" w:eastAsia="宋体" w:cs="宋体"/>
                <w:spacing w:val="-4"/>
                <w:sz w:val="21"/>
                <w:szCs w:val="21"/>
                <w:highlight w:val="none"/>
                <w:rtl/>
              </w:rPr>
              <w:t>12203</w:t>
            </w:r>
          </w:p>
        </w:tc>
        <w:tc>
          <w:tcPr>
            <w:tcW w:w="1813" w:type="dxa"/>
            <w:vAlign w:val="top"/>
          </w:tcPr>
          <w:p w14:paraId="72B86376">
            <w:pPr>
              <w:pStyle w:val="57"/>
              <w:spacing w:before="75" w:line="187" w:lineRule="auto"/>
              <w:ind w:left="738"/>
              <w:rPr>
                <w:rFonts w:hint="eastAsia" w:ascii="宋体" w:hAnsi="宋体" w:eastAsia="宋体" w:cs="宋体"/>
                <w:sz w:val="21"/>
                <w:szCs w:val="21"/>
                <w:highlight w:val="none"/>
                <w:rtl/>
              </w:rPr>
              <w:bidi/>
            </w:pPr>
            <w:r>
              <w:rPr>
                <w:rFonts w:hint="eastAsia" w:ascii="宋体" w:hAnsi="宋体" w:eastAsia="宋体" w:cs="宋体"/>
                <w:spacing w:val="-3"/>
                <w:sz w:val="21"/>
                <w:szCs w:val="21"/>
                <w:highlight w:val="none"/>
                <w:rtl/>
              </w:rPr>
              <w:t>256</w:t>
            </w:r>
          </w:p>
        </w:tc>
      </w:tr>
      <w:tr w14:paraId="3A49F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rPr>
        <w:tc>
          <w:tcPr>
            <w:tcW w:w="5007" w:type="dxa"/>
            <w:gridSpan w:val="3"/>
            <w:vAlign w:val="top"/>
          </w:tcPr>
          <w:p w14:paraId="186B6F3C">
            <w:pPr>
              <w:pStyle w:val="57"/>
              <w:spacing w:before="46" w:line="214" w:lineRule="auto"/>
              <w:ind w:left="1308"/>
              <w:rPr>
                <w:rFonts w:hint="eastAsia" w:ascii="宋体" w:hAnsi="宋体" w:eastAsia="宋体" w:cs="宋体"/>
                <w:sz w:val="21"/>
                <w:szCs w:val="21"/>
                <w:highlight w:val="none"/>
                <w:rtl/>
              </w:rPr>
              <w:bidi/>
            </w:pPr>
            <w:r>
              <w:rPr>
                <w:rFonts w:hint="eastAsia" w:ascii="宋体" w:hAnsi="宋体" w:eastAsia="宋体" w:cs="宋体"/>
                <w:b/>
                <w:bCs/>
                <w:color w:val="D03030"/>
                <w:spacing w:val="-3"/>
                <w:sz w:val="21"/>
                <w:szCs w:val="21"/>
                <w:highlight w:val="none"/>
                <w:rtl/>
              </w:rPr>
              <w:t>متوسط</w:t>
            </w:r>
            <w:r>
              <w:rPr>
                <w:rFonts w:hint="eastAsia" w:ascii="宋体" w:hAnsi="宋体" w:eastAsia="宋体" w:cs="宋体"/>
                <w:color w:val="D03030"/>
                <w:spacing w:val="29"/>
                <w:sz w:val="21"/>
                <w:szCs w:val="21"/>
                <w:highlight w:val="none"/>
                <w:rtl/>
              </w:rPr>
              <w:t xml:space="preserve">معدل الجرعة (جزء في المليون)</w:t>
            </w:r>
          </w:p>
        </w:tc>
        <w:tc>
          <w:tcPr>
            <w:tcW w:w="1813" w:type="dxa"/>
            <w:vAlign w:val="top"/>
          </w:tcPr>
          <w:p w14:paraId="014EFB22">
            <w:pPr>
              <w:pStyle w:val="57"/>
              <w:spacing w:before="75" w:line="191" w:lineRule="auto"/>
              <w:ind w:left="741"/>
              <w:rPr>
                <w:rFonts w:hint="eastAsia" w:ascii="宋体" w:hAnsi="宋体" w:eastAsia="宋体" w:cs="宋体"/>
                <w:sz w:val="21"/>
                <w:szCs w:val="21"/>
                <w:highlight w:val="none"/>
                <w:rtl/>
              </w:rPr>
              <w:bidi/>
            </w:pPr>
            <w:r>
              <w:rPr>
                <w:rFonts w:hint="eastAsia" w:ascii="宋体" w:hAnsi="宋体" w:eastAsia="宋体" w:cs="宋体"/>
                <w:b/>
                <w:bCs/>
                <w:color w:val="E02030"/>
                <w:spacing w:val="-5"/>
                <w:sz w:val="21"/>
                <w:szCs w:val="21"/>
                <w:highlight w:val="none"/>
                <w:rtl/>
              </w:rPr>
              <w:t>254</w:t>
            </w:r>
          </w:p>
        </w:tc>
      </w:tr>
    </w:tbl>
    <w:p w14:paraId="5107BA6B">
      <w:pPr>
        <w:pStyle w:val="9"/>
        <w:keepNext w:val="0"/>
        <w:keepLines w:val="0"/>
        <w:pageBreakBefore w:val="0"/>
        <w:widowControl w:val="0"/>
        <w:kinsoku/>
        <w:wordWrap/>
        <w:overflowPunct/>
        <w:topLinePunct w:val="0"/>
        <w:autoSpaceDE/>
        <w:autoSpaceDN/>
        <w:adjustRightInd/>
        <w:snapToGrid/>
        <w:spacing w:line="260" w:lineRule="exact"/>
        <w:ind w:left="0" w:leftChars="0" w:firstLine="0" w:firstLineChars="0"/>
        <w:jc w:val="center"/>
        <w:textAlignment w:val="auto"/>
        <w:rPr>
          <w:rFonts w:hint="eastAsia" w:ascii="宋体" w:hAnsi="宋体" w:eastAsia="宋体" w:cs="宋体"/>
          <w:b w:val="0"/>
          <w:bCs w:val="0"/>
          <w:color w:val="auto"/>
          <w:kern w:val="0"/>
          <w:sz w:val="21"/>
          <w:szCs w:val="21"/>
          <w:highlight w:val="none"/>
          <w:lang w:val="en-US" w:eastAsia="zh-CN" w:bidi="ar-SA"/>
          <w:rtl/>
        </w:rPr>
      </w:pPr>
    </w:p>
    <w:p w14:paraId="55F6548D">
      <w:pPr>
        <w:pStyle w:val="49"/>
        <w:snapToGrid w:val="0"/>
        <w:rPr>
          <w:rFonts w:hint="eastAsia" w:ascii="宋体" w:hAnsi="宋体" w:eastAsia="宋体" w:cs="宋体"/>
          <w:color w:val="auto"/>
          <w:highlight w:val="none"/>
          <w:lang w:val="en-US" w:eastAsia="zh-CN"/>
          <w:rtl/>
        </w:rPr>
        <w:bidi/>
      </w:pPr>
      <w:r>
        <w:rPr>
          <w:rFonts w:hint="eastAsia" w:ascii="宋体" w:hAnsi="宋体" w:eastAsia="宋体" w:cs="宋体"/>
          <w:color w:val="auto"/>
          <w:sz w:val="21"/>
          <w:szCs w:val="20"/>
          <w:highlight w:val="none"/>
          <w:rtl/>
        </w:rPr>
        <w:t>الإعداد بواسطة: Liu Xiaoguang التاريخ: 3 يونيو 2024 تمت المراجعة بواسطة: Li Peizhuo</w:t>
      </w:r>
    </w:p>
    <w:p w14:paraId="271C8339">
      <w:pPr>
        <w:pStyle w:val="9"/>
        <w:jc w:val="left"/>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تحليل البيانات:</w:t>
      </w:r>
    </w:p>
    <w:p w14:paraId="4E291F33">
      <w:pPr>
        <w:pStyle w:val="9"/>
        <w:jc w:val="left"/>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كما يتضح من الجدولين 4-1 و4-2، عندما يكون متوسط ​​تركيز حقن مزيل الاستحلاب A هو 254 جزءًا في المليون، فإن المؤشرات الرئيسية مثل محتوى الملح، ومحتوى الماء، ونسبة الحطام والماء المتبقي (BS&amp;W) جميعها تستوفي متطلبات التصدير، مما يدل على نتائج معالجة جيدة. وهذا يشير إلى إمكانية تحقيق مواصفات العملية عند تركيز يقارب 250 جزءًا في المليون.</w:t>
      </w:r>
    </w:p>
    <w:p w14:paraId="6243BC1B">
      <w:pPr>
        <w:pStyle w:val="4"/>
        <w:rPr>
          <w:rFonts w:hint="eastAsia" w:ascii="宋体" w:hAnsi="宋体" w:eastAsia="宋体" w:cs="宋体"/>
          <w:lang w:val="en-US" w:eastAsia="zh-CN"/>
          <w:rtl/>
        </w:rPr>
      </w:pPr>
      <w:bookmarkStart w:id="21" w:name="_Toc22829"/>
      <w:r>
        <w:rPr>
          <w:rFonts w:hint="eastAsia" w:ascii="宋体" w:hAnsi="宋体" w:eastAsia="宋体" w:cs="宋体"/>
          <w:rtl/>
        </w:rPr>
        <w:t>4.2 نتائج اختبار مزيل الاستحلاب B</w:t>
      </w:r>
      <w:bookmarkEnd w:id="21"/>
    </w:p>
    <w:p w14:paraId="78FB3575">
      <w:pPr>
        <w:pStyle w:val="9"/>
        <w:keepNext w:val="0"/>
        <w:keepLines w:val="0"/>
        <w:pageBreakBefore w:val="0"/>
        <w:widowControl w:val="0"/>
        <w:tabs>
          <w:tab w:val="left" w:pos="3206"/>
          <w:tab w:val="left" w:pos="4418"/>
        </w:tabs>
        <w:kinsoku w:val="0"/>
        <w:wordWrap/>
        <w:overflowPunct w:val="0"/>
        <w:topLinePunct w:val="0"/>
        <w:autoSpaceDE/>
        <w:autoSpaceDN/>
        <w:adjustRightInd/>
        <w:snapToGrid/>
        <w:spacing w:before="102" w:beforeLines="0" w:afterLines="0" w:line="240" w:lineRule="exact"/>
        <w:ind w:right="0"/>
        <w:jc w:val="center"/>
        <w:textAlignment w:val="auto"/>
        <w:rPr>
          <w:rFonts w:hint="eastAsia" w:ascii="宋体" w:hAnsi="宋体" w:eastAsia="宋体" w:cs="宋体"/>
          <w:b w:val="0"/>
          <w:bCs w:val="0"/>
          <w:color w:val="auto"/>
          <w:sz w:val="21"/>
          <w:szCs w:val="21"/>
          <w:highlight w:val="none"/>
          <w:lang w:val="en-US" w:eastAsia="en-US"/>
          <w:rtl/>
        </w:rPr>
      </w:pPr>
      <w:r>
        <w:rPr>
          <w:rFonts w:hint="eastAsia" w:ascii="宋体" w:hAnsi="宋体" w:eastAsia="宋体" w:cs="宋体"/>
          <w:b w:val="0"/>
          <w:bCs w:val="0"/>
          <w:color w:val="auto"/>
          <w:sz w:val="21"/>
          <w:szCs w:val="21"/>
          <w:highlight w:val="none"/>
          <w:lang w:eastAsia="zh-CN"/>
          <w:rtl/>
        </w:rPr>
        <w:t>الجدول 4-3 بيانات الاختبار الميداني لمزيل الاستحلاب B</w:t>
      </w:r>
    </w:p>
    <w:p w14:paraId="4974C084">
      <w:pPr>
        <w:pStyle w:val="9"/>
        <w:keepNext w:val="0"/>
        <w:keepLines w:val="0"/>
        <w:pageBreakBefore w:val="0"/>
        <w:widowControl w:val="0"/>
        <w:tabs>
          <w:tab w:val="left" w:pos="3206"/>
          <w:tab w:val="left" w:pos="4418"/>
        </w:tabs>
        <w:kinsoku w:val="0"/>
        <w:wordWrap/>
        <w:overflowPunct w:val="0"/>
        <w:topLinePunct w:val="0"/>
        <w:autoSpaceDE/>
        <w:autoSpaceDN/>
        <w:adjustRightInd/>
        <w:snapToGrid/>
        <w:spacing w:before="102" w:beforeLines="0" w:afterLines="0" w:line="240" w:lineRule="exact"/>
        <w:ind w:right="0"/>
        <w:jc w:val="center"/>
        <w:textAlignment w:val="auto"/>
        <w:rPr>
          <w:rFonts w:hint="eastAsia" w:ascii="宋体" w:hAnsi="宋体" w:eastAsia="宋体" w:cs="宋体"/>
          <w:color w:val="auto"/>
          <w:sz w:val="21"/>
          <w:szCs w:val="24"/>
          <w:highlight w:val="none"/>
          <w:lang w:val="en-US" w:eastAsia="zh-CN"/>
          <w:rtl/>
        </w:rPr>
      </w:pPr>
      <w:r>
        <w:rPr>
          <w:rFonts w:hint="eastAsia" w:ascii="宋体" w:hAnsi="宋体" w:eastAsia="宋体" w:cs="宋体"/>
          <w:color w:val="auto"/>
          <w:sz w:val="21"/>
          <w:szCs w:val="21"/>
          <w:highlight w:val="none"/>
          <w:lang w:val="en-US" w:eastAsia="zh-CN"/>
          <w:rtl/>
        </w:rPr>
        <w:t xml:space="preserve">     التركيز: من 0 جزء في المليون إلى 1000 جزء في المليون</w:t>
      </w:r>
    </w:p>
    <w:tbl>
      <w:tblPr>
        <w:tblStyle w:val="19"/>
        <w:tblW w:w="76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13"/>
        <w:gridCol w:w="1041"/>
        <w:gridCol w:w="913"/>
        <w:gridCol w:w="914"/>
        <w:gridCol w:w="914"/>
        <w:gridCol w:w="914"/>
        <w:gridCol w:w="1253"/>
      </w:tblGrid>
      <w:tr w14:paraId="0853B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9" w:hRule="atLeast"/>
          <w:jc w:val="center"/>
        </w:trPr>
        <w:tc>
          <w:tcPr>
            <w:tcW w:w="518" w:type="dxa"/>
            <w:vMerge w:val="restart"/>
            <w:shd w:val="clear" w:color="000000" w:fill="FFFFFF"/>
            <w:noWrap w:val="0"/>
            <w:vAlign w:val="center"/>
          </w:tcPr>
          <w:p w14:paraId="116CB869">
            <w:pPr>
              <w:widowControl/>
              <w:jc w:val="center"/>
              <w:rPr>
                <w:rFonts w:hint="eastAsia" w:ascii="宋体" w:hAnsi="宋体" w:eastAsia="宋体" w:cs="宋体"/>
                <w:bCs/>
                <w:color w:val="000000"/>
                <w:kern w:val="0"/>
                <w:szCs w:val="21"/>
                <w:highlight w:val="none"/>
                <w:rtl/>
              </w:rPr>
              <w:bidi/>
            </w:pPr>
            <w:r>
              <w:rPr>
                <w:rFonts w:hint="eastAsia" w:ascii="宋体" w:hAnsi="宋体" w:eastAsia="宋体" w:cs="宋体"/>
                <w:bCs/>
                <w:color w:val="000000"/>
                <w:kern w:val="0"/>
                <w:szCs w:val="21"/>
                <w:highlight w:val="none"/>
                <w:rtl/>
              </w:rPr>
              <w:t>رقم سري</w:t>
            </w:r>
          </w:p>
        </w:tc>
        <w:tc>
          <w:tcPr>
            <w:tcW w:w="1213" w:type="dxa"/>
            <w:vMerge w:val="restart"/>
            <w:shd w:val="clear" w:color="000000" w:fill="FFFFFF"/>
            <w:noWrap w:val="0"/>
            <w:vAlign w:val="center"/>
          </w:tcPr>
          <w:p w14:paraId="33CA1A73">
            <w:pPr>
              <w:widowControl/>
              <w:jc w:val="center"/>
              <w:rPr>
                <w:rFonts w:hint="eastAsia" w:ascii="宋体" w:hAnsi="宋体" w:eastAsia="宋体" w:cs="宋体"/>
                <w:bCs/>
                <w:color w:val="000000"/>
                <w:kern w:val="0"/>
                <w:szCs w:val="21"/>
                <w:highlight w:val="none"/>
                <w:rtl/>
              </w:rPr>
              <w:bidi/>
            </w:pPr>
            <w:r>
              <w:rPr>
                <w:rFonts w:hint="eastAsia" w:ascii="宋体" w:hAnsi="宋体" w:eastAsia="宋体" w:cs="宋体"/>
                <w:bCs/>
                <w:color w:val="000000"/>
                <w:kern w:val="0"/>
                <w:szCs w:val="21"/>
                <w:highlight w:val="none"/>
                <w:rtl/>
              </w:rPr>
              <w:t>اسم الدواء</w:t>
            </w:r>
          </w:p>
        </w:tc>
        <w:tc>
          <w:tcPr>
            <w:tcW w:w="1041" w:type="dxa"/>
            <w:vMerge w:val="restart"/>
            <w:shd w:val="clear" w:color="000000" w:fill="FFFFFF"/>
            <w:noWrap w:val="0"/>
            <w:vAlign w:val="center"/>
          </w:tcPr>
          <w:p w14:paraId="74F386AC">
            <w:pPr>
              <w:widowControl/>
              <w:jc w:val="center"/>
              <w:rPr>
                <w:rFonts w:hint="eastAsia" w:ascii="宋体" w:hAnsi="宋体" w:eastAsia="宋体" w:cs="宋体"/>
                <w:bCs/>
                <w:color w:val="000000"/>
                <w:kern w:val="0"/>
                <w:szCs w:val="21"/>
                <w:highlight w:val="none"/>
                <w:rtl/>
              </w:rPr>
              <w:bidi/>
            </w:pPr>
            <w:r>
              <w:rPr>
                <w:rFonts w:hint="eastAsia" w:ascii="宋体" w:hAnsi="宋体" w:eastAsia="宋体" w:cs="宋体"/>
                <w:bCs/>
                <w:color w:val="000000"/>
                <w:kern w:val="0"/>
                <w:szCs w:val="21"/>
                <w:highlight w:val="none"/>
                <w:rtl/>
              </w:rPr>
              <w:t>التركيز (جزء في المليون)</w:t>
            </w:r>
          </w:p>
        </w:tc>
        <w:tc>
          <w:tcPr>
            <w:tcW w:w="3655" w:type="dxa"/>
            <w:gridSpan w:val="4"/>
            <w:shd w:val="clear" w:color="000000" w:fill="FFFFFF"/>
            <w:noWrap w:val="0"/>
            <w:vAlign w:val="center"/>
          </w:tcPr>
          <w:p w14:paraId="12D58E00">
            <w:pPr>
              <w:widowControl/>
              <w:jc w:val="center"/>
              <w:rPr>
                <w:rFonts w:hint="eastAsia" w:ascii="宋体" w:hAnsi="宋体" w:eastAsia="宋体" w:cs="宋体"/>
                <w:bCs/>
                <w:color w:val="000000"/>
                <w:kern w:val="0"/>
                <w:szCs w:val="21"/>
                <w:highlight w:val="none"/>
                <w:rtl/>
              </w:rPr>
              <w:bidi/>
            </w:pPr>
            <w:r>
              <w:rPr>
                <w:rFonts w:hint="eastAsia" w:ascii="宋体" w:hAnsi="宋体" w:eastAsia="宋体" w:cs="宋体"/>
                <w:bCs/>
                <w:color w:val="000000"/>
                <w:kern w:val="0"/>
                <w:szCs w:val="21"/>
                <w:highlight w:val="none"/>
                <w:rtl/>
              </w:rPr>
              <w:t>مدة الجفاف وحجم الجفاف (مل)</w:t>
            </w:r>
          </w:p>
        </w:tc>
        <w:tc>
          <w:tcPr>
            <w:tcW w:w="1253" w:type="dxa"/>
            <w:vMerge w:val="restart"/>
            <w:shd w:val="clear" w:color="000000" w:fill="FFFFFF"/>
            <w:noWrap w:val="0"/>
            <w:vAlign w:val="center"/>
          </w:tcPr>
          <w:p w14:paraId="34D5BB25">
            <w:pPr>
              <w:widowControl/>
              <w:jc w:val="center"/>
              <w:rPr>
                <w:rFonts w:hint="eastAsia" w:ascii="宋体" w:hAnsi="宋体" w:eastAsia="宋体" w:cs="宋体"/>
                <w:bCs/>
                <w:color w:val="000000"/>
                <w:kern w:val="0"/>
                <w:szCs w:val="21"/>
                <w:highlight w:val="none"/>
                <w:lang w:val="en-US" w:eastAsia="zh-CN"/>
                <w:rtl/>
              </w:rPr>
              <w:bidi/>
            </w:pPr>
            <w:r>
              <w:rPr>
                <w:rFonts w:hint="eastAsia" w:ascii="宋体" w:hAnsi="宋体" w:eastAsia="宋体" w:cs="宋体"/>
                <w:bCs/>
                <w:color w:val="000000"/>
                <w:kern w:val="0"/>
                <w:szCs w:val="21"/>
                <w:highlight w:val="none"/>
                <w:lang w:val="en-US" w:eastAsia="zh-CN"/>
                <w:rtl/>
              </w:rPr>
              <w:t>معدل الجفاف النهائي</w:t>
            </w:r>
          </w:p>
          <w:p w14:paraId="1D4914B2">
            <w:pPr>
              <w:widowControl/>
              <w:jc w:val="center"/>
              <w:rPr>
                <w:rFonts w:hint="eastAsia" w:ascii="宋体" w:hAnsi="宋体" w:eastAsia="宋体" w:cs="宋体"/>
                <w:bCs/>
                <w:color w:val="000000"/>
                <w:kern w:val="0"/>
                <w:szCs w:val="21"/>
                <w:highlight w:val="none"/>
                <w:lang w:val="en-US" w:eastAsia="zh-CN"/>
                <w:rtl/>
              </w:rPr>
              <w:bidi/>
            </w:pPr>
            <w:r>
              <w:rPr>
                <w:rFonts w:hint="eastAsia" w:ascii="宋体" w:hAnsi="宋体" w:eastAsia="宋体" w:cs="宋体"/>
                <w:bCs/>
                <w:color w:val="000000"/>
                <w:kern w:val="0"/>
                <w:szCs w:val="21"/>
                <w:highlight w:val="none"/>
                <w:lang w:val="en-US" w:eastAsia="zh-CN"/>
                <w:rtl/>
              </w:rPr>
              <w:t>%</w:t>
            </w:r>
          </w:p>
        </w:tc>
      </w:tr>
      <w:tr w14:paraId="00EF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518" w:type="dxa"/>
            <w:vMerge w:val="continue"/>
            <w:shd w:val="clear" w:color="auto" w:fill="auto"/>
            <w:noWrap w:val="0"/>
            <w:vAlign w:val="center"/>
          </w:tcPr>
          <w:p w14:paraId="06EEF093">
            <w:pPr>
              <w:widowControl/>
              <w:jc w:val="center"/>
              <w:rPr>
                <w:rFonts w:hint="eastAsia" w:ascii="宋体" w:hAnsi="宋体" w:eastAsia="宋体" w:cs="宋体"/>
                <w:bCs/>
                <w:color w:val="000000"/>
                <w:kern w:val="0"/>
                <w:szCs w:val="21"/>
                <w:highlight w:val="none"/>
                <w:rtl/>
              </w:rPr>
              <w:bidi/>
            </w:pPr>
          </w:p>
        </w:tc>
        <w:tc>
          <w:tcPr>
            <w:tcW w:w="1213" w:type="dxa"/>
            <w:vMerge w:val="continue"/>
            <w:shd w:val="clear" w:color="auto" w:fill="auto"/>
            <w:noWrap w:val="0"/>
            <w:vAlign w:val="center"/>
          </w:tcPr>
          <w:p w14:paraId="355DDDD8">
            <w:pPr>
              <w:widowControl/>
              <w:jc w:val="center"/>
              <w:rPr>
                <w:rFonts w:hint="eastAsia" w:ascii="宋体" w:hAnsi="宋体" w:eastAsia="宋体" w:cs="宋体"/>
                <w:bCs/>
                <w:color w:val="000000"/>
                <w:kern w:val="0"/>
                <w:szCs w:val="21"/>
                <w:highlight w:val="none"/>
                <w:rtl/>
              </w:rPr>
              <w:bidi/>
            </w:pPr>
          </w:p>
        </w:tc>
        <w:tc>
          <w:tcPr>
            <w:tcW w:w="1041" w:type="dxa"/>
            <w:vMerge w:val="continue"/>
            <w:shd w:val="clear" w:color="auto" w:fill="auto"/>
            <w:noWrap w:val="0"/>
            <w:vAlign w:val="center"/>
          </w:tcPr>
          <w:p w14:paraId="0EE2EEF6">
            <w:pPr>
              <w:widowControl/>
              <w:jc w:val="center"/>
              <w:rPr>
                <w:rFonts w:hint="eastAsia" w:ascii="宋体" w:hAnsi="宋体" w:eastAsia="宋体" w:cs="宋体"/>
                <w:bCs/>
                <w:color w:val="000000"/>
                <w:kern w:val="0"/>
                <w:szCs w:val="21"/>
                <w:highlight w:val="none"/>
                <w:rtl/>
              </w:rPr>
              <w:bidi/>
            </w:pPr>
          </w:p>
        </w:tc>
        <w:tc>
          <w:tcPr>
            <w:tcW w:w="913" w:type="dxa"/>
            <w:shd w:val="clear" w:color="000000" w:fill="FFFFFF"/>
            <w:noWrap w:val="0"/>
            <w:vAlign w:val="center"/>
          </w:tcPr>
          <w:p w14:paraId="2CD8E05E">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30 دقيقة</w:t>
            </w:r>
          </w:p>
        </w:tc>
        <w:tc>
          <w:tcPr>
            <w:tcW w:w="914" w:type="dxa"/>
            <w:shd w:val="clear" w:color="000000" w:fill="FFFFFF"/>
            <w:noWrap w:val="0"/>
            <w:vAlign w:val="center"/>
          </w:tcPr>
          <w:p w14:paraId="4CBCEF1F">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ساعة ونصف</w:t>
            </w:r>
          </w:p>
        </w:tc>
        <w:tc>
          <w:tcPr>
            <w:tcW w:w="914" w:type="dxa"/>
            <w:shd w:val="clear" w:color="000000" w:fill="FFFFFF"/>
            <w:noWrap w:val="0"/>
            <w:vAlign w:val="center"/>
          </w:tcPr>
          <w:p w14:paraId="14B8B981">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3 ساعات</w:t>
            </w:r>
          </w:p>
        </w:tc>
        <w:tc>
          <w:tcPr>
            <w:tcW w:w="914" w:type="dxa"/>
            <w:shd w:val="clear" w:color="000000" w:fill="FFFFFF"/>
            <w:noWrap w:val="0"/>
            <w:vAlign w:val="center"/>
          </w:tcPr>
          <w:p w14:paraId="0BDFD0AD">
            <w:pPr>
              <w:widowControl/>
              <w:jc w:val="center"/>
              <w:rPr>
                <w:rFonts w:hint="eastAsia" w:ascii="宋体" w:hAnsi="宋体" w:eastAsia="宋体" w:cs="宋体"/>
                <w:bCs/>
                <w:color w:val="000000"/>
                <w:kern w:val="0"/>
                <w:szCs w:val="21"/>
                <w:highlight w:val="none"/>
                <w:rtl/>
              </w:rPr>
              <w:bidi/>
            </w:pPr>
            <w:r>
              <w:rPr>
                <w:rFonts w:hint="eastAsia" w:ascii="宋体" w:hAnsi="宋体" w:eastAsia="宋体" w:cs="宋体"/>
                <w:color w:val="000000"/>
                <w:kern w:val="0"/>
                <w:szCs w:val="21"/>
                <w:highlight w:val="none"/>
                <w:lang w:val="en-US" w:eastAsia="zh-CN"/>
                <w:rtl/>
              </w:rPr>
              <w:t>15 ساعة</w:t>
            </w:r>
          </w:p>
        </w:tc>
        <w:tc>
          <w:tcPr>
            <w:tcW w:w="1253" w:type="dxa"/>
            <w:vMerge w:val="continue"/>
            <w:noWrap w:val="0"/>
            <w:vAlign w:val="center"/>
          </w:tcPr>
          <w:p w14:paraId="755004F9">
            <w:pPr>
              <w:widowControl/>
              <w:jc w:val="center"/>
              <w:rPr>
                <w:rFonts w:hint="eastAsia" w:ascii="宋体" w:hAnsi="宋体" w:eastAsia="宋体" w:cs="宋体"/>
                <w:bCs/>
                <w:color w:val="000000"/>
                <w:kern w:val="0"/>
                <w:szCs w:val="21"/>
                <w:highlight w:val="none"/>
                <w:rtl/>
              </w:rPr>
              <w:bidi/>
            </w:pPr>
          </w:p>
        </w:tc>
      </w:tr>
      <w:tr w14:paraId="7DE05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34E8DC29">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1</w:t>
            </w:r>
          </w:p>
        </w:tc>
        <w:tc>
          <w:tcPr>
            <w:tcW w:w="1213" w:type="dxa"/>
            <w:shd w:val="clear" w:color="000000" w:fill="FFFFFF"/>
            <w:noWrap w:val="0"/>
            <w:vAlign w:val="center"/>
          </w:tcPr>
          <w:p w14:paraId="22F193C0">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فارغ</w:t>
            </w:r>
          </w:p>
        </w:tc>
        <w:tc>
          <w:tcPr>
            <w:tcW w:w="1041" w:type="dxa"/>
            <w:shd w:val="clear" w:color="000000" w:fill="FFFFFF"/>
            <w:noWrap w:val="0"/>
            <w:vAlign w:val="center"/>
          </w:tcPr>
          <w:p w14:paraId="01F27B6C">
            <w:pPr>
              <w:widowControl/>
              <w:jc w:val="center"/>
              <w:rPr>
                <w:rFonts w:hint="eastAsia" w:ascii="宋体" w:hAnsi="宋体" w:eastAsia="宋体" w:cs="宋体"/>
                <w:color w:val="000000"/>
                <w:kern w:val="0"/>
                <w:szCs w:val="21"/>
                <w:highlight w:val="none"/>
                <w:lang w:eastAsia="zh-CN"/>
                <w:rtl/>
              </w:rPr>
              <w:bidi/>
            </w:pPr>
            <w:r>
              <w:rPr>
                <w:rFonts w:hint="eastAsia" w:ascii="宋体" w:hAnsi="宋体" w:eastAsia="宋体" w:cs="宋体"/>
                <w:color w:val="000000"/>
                <w:kern w:val="0"/>
                <w:szCs w:val="21"/>
                <w:highlight w:val="none"/>
                <w:lang w:val="en-US" w:eastAsia="zh-CN"/>
                <w:rtl/>
              </w:rPr>
              <w:t>0</w:t>
            </w:r>
          </w:p>
        </w:tc>
        <w:tc>
          <w:tcPr>
            <w:tcW w:w="913" w:type="dxa"/>
            <w:shd w:val="clear" w:color="000000" w:fill="FFFFFF"/>
            <w:noWrap w:val="0"/>
            <w:vAlign w:val="center"/>
          </w:tcPr>
          <w:p w14:paraId="57829E9D">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0</w:t>
            </w:r>
          </w:p>
        </w:tc>
        <w:tc>
          <w:tcPr>
            <w:tcW w:w="914" w:type="dxa"/>
            <w:shd w:val="clear" w:color="000000" w:fill="FFFFFF"/>
            <w:noWrap w:val="0"/>
            <w:vAlign w:val="center"/>
          </w:tcPr>
          <w:p w14:paraId="53D22BA2">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0</w:t>
            </w:r>
          </w:p>
        </w:tc>
        <w:tc>
          <w:tcPr>
            <w:tcW w:w="914" w:type="dxa"/>
            <w:shd w:val="clear" w:color="000000" w:fill="FFFFFF"/>
            <w:noWrap w:val="0"/>
            <w:vAlign w:val="center"/>
          </w:tcPr>
          <w:p w14:paraId="613D2B7F">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0</w:t>
            </w:r>
          </w:p>
        </w:tc>
        <w:tc>
          <w:tcPr>
            <w:tcW w:w="914" w:type="dxa"/>
            <w:shd w:val="clear" w:color="000000" w:fill="FFFFFF"/>
            <w:noWrap w:val="0"/>
            <w:vAlign w:val="center"/>
          </w:tcPr>
          <w:p w14:paraId="01E2F762">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0</w:t>
            </w:r>
          </w:p>
        </w:tc>
        <w:tc>
          <w:tcPr>
            <w:tcW w:w="1253" w:type="dxa"/>
            <w:shd w:val="clear" w:color="000000" w:fill="FFFFFF"/>
            <w:noWrap w:val="0"/>
            <w:vAlign w:val="center"/>
          </w:tcPr>
          <w:p w14:paraId="0A775072">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0</w:t>
            </w:r>
          </w:p>
        </w:tc>
      </w:tr>
      <w:tr w14:paraId="56AA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1AFEE8FC">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2</w:t>
            </w:r>
          </w:p>
        </w:tc>
        <w:tc>
          <w:tcPr>
            <w:tcW w:w="1213" w:type="dxa"/>
            <w:shd w:val="clear" w:color="000000" w:fill="FFFFFF"/>
            <w:noWrap w:val="0"/>
            <w:vAlign w:val="center"/>
          </w:tcPr>
          <w:p w14:paraId="78548BC2">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38BCB010">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50</w:t>
            </w:r>
          </w:p>
        </w:tc>
        <w:tc>
          <w:tcPr>
            <w:tcW w:w="913" w:type="dxa"/>
            <w:shd w:val="clear" w:color="auto" w:fill="auto"/>
            <w:noWrap w:val="0"/>
            <w:vAlign w:val="center"/>
          </w:tcPr>
          <w:p w14:paraId="544D2824">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w:t>
            </w:r>
          </w:p>
        </w:tc>
        <w:tc>
          <w:tcPr>
            <w:tcW w:w="914" w:type="dxa"/>
            <w:shd w:val="clear" w:color="auto" w:fill="auto"/>
            <w:noWrap w:val="0"/>
            <w:vAlign w:val="center"/>
          </w:tcPr>
          <w:p w14:paraId="0B7B473E">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1.2</w:t>
            </w:r>
          </w:p>
        </w:tc>
        <w:tc>
          <w:tcPr>
            <w:tcW w:w="914" w:type="dxa"/>
            <w:shd w:val="clear" w:color="auto" w:fill="auto"/>
            <w:noWrap w:val="0"/>
            <w:vAlign w:val="center"/>
          </w:tcPr>
          <w:p w14:paraId="5C6D4B07">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1.5</w:t>
            </w:r>
          </w:p>
        </w:tc>
        <w:tc>
          <w:tcPr>
            <w:tcW w:w="914" w:type="dxa"/>
            <w:shd w:val="clear" w:color="auto" w:fill="auto"/>
            <w:noWrap w:val="0"/>
            <w:vAlign w:val="center"/>
          </w:tcPr>
          <w:p w14:paraId="39598281">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1.7</w:t>
            </w:r>
          </w:p>
        </w:tc>
        <w:tc>
          <w:tcPr>
            <w:tcW w:w="1253" w:type="dxa"/>
            <w:shd w:val="clear" w:color="000000" w:fill="FFFFFF"/>
            <w:noWrap w:val="0"/>
            <w:vAlign w:val="center"/>
          </w:tcPr>
          <w:p w14:paraId="29514FB6">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7.59</w:t>
            </w:r>
          </w:p>
        </w:tc>
      </w:tr>
      <w:tr w14:paraId="2812B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38669601">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3</w:t>
            </w:r>
          </w:p>
        </w:tc>
        <w:tc>
          <w:tcPr>
            <w:tcW w:w="1213" w:type="dxa"/>
            <w:shd w:val="clear" w:color="000000" w:fill="FFFFFF"/>
            <w:noWrap w:val="0"/>
            <w:vAlign w:val="center"/>
          </w:tcPr>
          <w:p w14:paraId="1A232267">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2EFBD752">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100</w:t>
            </w:r>
          </w:p>
        </w:tc>
        <w:tc>
          <w:tcPr>
            <w:tcW w:w="913" w:type="dxa"/>
            <w:shd w:val="clear" w:color="auto" w:fill="auto"/>
            <w:noWrap w:val="0"/>
            <w:vAlign w:val="center"/>
          </w:tcPr>
          <w:p w14:paraId="7A6AD12B">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2</w:t>
            </w:r>
          </w:p>
        </w:tc>
        <w:tc>
          <w:tcPr>
            <w:tcW w:w="914" w:type="dxa"/>
            <w:shd w:val="clear" w:color="auto" w:fill="auto"/>
            <w:noWrap w:val="0"/>
            <w:vAlign w:val="center"/>
          </w:tcPr>
          <w:p w14:paraId="492A0270">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2.8</w:t>
            </w:r>
          </w:p>
        </w:tc>
        <w:tc>
          <w:tcPr>
            <w:tcW w:w="914" w:type="dxa"/>
            <w:shd w:val="clear" w:color="auto" w:fill="auto"/>
            <w:noWrap w:val="0"/>
            <w:vAlign w:val="center"/>
          </w:tcPr>
          <w:p w14:paraId="543E2317">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3</w:t>
            </w:r>
          </w:p>
        </w:tc>
        <w:tc>
          <w:tcPr>
            <w:tcW w:w="914" w:type="dxa"/>
            <w:shd w:val="clear" w:color="auto" w:fill="auto"/>
            <w:noWrap w:val="0"/>
            <w:vAlign w:val="center"/>
          </w:tcPr>
          <w:p w14:paraId="12490CFF">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3.5</w:t>
            </w:r>
          </w:p>
        </w:tc>
        <w:tc>
          <w:tcPr>
            <w:tcW w:w="1253" w:type="dxa"/>
            <w:shd w:val="clear" w:color="000000" w:fill="FFFFFF"/>
            <w:noWrap w:val="0"/>
            <w:vAlign w:val="center"/>
          </w:tcPr>
          <w:p w14:paraId="060F0372">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15.63</w:t>
            </w:r>
          </w:p>
        </w:tc>
      </w:tr>
      <w:tr w14:paraId="3B67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73938EA4">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4</w:t>
            </w:r>
          </w:p>
        </w:tc>
        <w:tc>
          <w:tcPr>
            <w:tcW w:w="1213" w:type="dxa"/>
            <w:shd w:val="clear" w:color="000000" w:fill="FFFFFF"/>
            <w:noWrap w:val="0"/>
            <w:vAlign w:val="center"/>
          </w:tcPr>
          <w:p w14:paraId="6CB2F7B4">
            <w:pPr>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603B47A9">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150</w:t>
            </w:r>
          </w:p>
        </w:tc>
        <w:tc>
          <w:tcPr>
            <w:tcW w:w="913" w:type="dxa"/>
            <w:shd w:val="clear" w:color="auto" w:fill="auto"/>
            <w:noWrap w:val="0"/>
            <w:vAlign w:val="center"/>
          </w:tcPr>
          <w:p w14:paraId="4F280DB2">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3</w:t>
            </w:r>
          </w:p>
        </w:tc>
        <w:tc>
          <w:tcPr>
            <w:tcW w:w="914" w:type="dxa"/>
            <w:shd w:val="clear" w:color="auto" w:fill="auto"/>
            <w:noWrap w:val="0"/>
            <w:vAlign w:val="center"/>
          </w:tcPr>
          <w:p w14:paraId="6421CB8F">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5</w:t>
            </w:r>
          </w:p>
        </w:tc>
        <w:tc>
          <w:tcPr>
            <w:tcW w:w="914" w:type="dxa"/>
            <w:shd w:val="clear" w:color="auto" w:fill="auto"/>
            <w:noWrap w:val="0"/>
            <w:vAlign w:val="center"/>
          </w:tcPr>
          <w:p w14:paraId="15FFDC92">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6</w:t>
            </w:r>
          </w:p>
        </w:tc>
        <w:tc>
          <w:tcPr>
            <w:tcW w:w="914" w:type="dxa"/>
            <w:shd w:val="clear" w:color="auto" w:fill="auto"/>
            <w:noWrap w:val="0"/>
            <w:vAlign w:val="center"/>
          </w:tcPr>
          <w:p w14:paraId="36F015F7">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6</w:t>
            </w:r>
          </w:p>
        </w:tc>
        <w:tc>
          <w:tcPr>
            <w:tcW w:w="1253" w:type="dxa"/>
            <w:shd w:val="clear" w:color="000000" w:fill="FFFFFF"/>
            <w:noWrap w:val="0"/>
            <w:vAlign w:val="center"/>
          </w:tcPr>
          <w:p w14:paraId="78FD132E">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26.79</w:t>
            </w:r>
          </w:p>
        </w:tc>
      </w:tr>
      <w:tr w14:paraId="57E6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3FACE095">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5</w:t>
            </w:r>
          </w:p>
        </w:tc>
        <w:tc>
          <w:tcPr>
            <w:tcW w:w="1213" w:type="dxa"/>
            <w:shd w:val="clear" w:color="000000" w:fill="FFFFFF"/>
            <w:noWrap w:val="0"/>
            <w:vAlign w:val="center"/>
          </w:tcPr>
          <w:p w14:paraId="653B4B35">
            <w:pPr>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3DD55E5A">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200</w:t>
            </w:r>
          </w:p>
        </w:tc>
        <w:tc>
          <w:tcPr>
            <w:tcW w:w="913" w:type="dxa"/>
            <w:shd w:val="clear" w:color="auto" w:fill="auto"/>
            <w:noWrap w:val="0"/>
            <w:vAlign w:val="center"/>
          </w:tcPr>
          <w:p w14:paraId="47CF5A32">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5</w:t>
            </w:r>
          </w:p>
        </w:tc>
        <w:tc>
          <w:tcPr>
            <w:tcW w:w="914" w:type="dxa"/>
            <w:shd w:val="clear" w:color="auto" w:fill="auto"/>
            <w:noWrap w:val="0"/>
            <w:vAlign w:val="center"/>
          </w:tcPr>
          <w:p w14:paraId="416A876A">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w:t>
            </w:r>
          </w:p>
        </w:tc>
        <w:tc>
          <w:tcPr>
            <w:tcW w:w="914" w:type="dxa"/>
            <w:shd w:val="clear" w:color="auto" w:fill="auto"/>
            <w:noWrap w:val="0"/>
            <w:vAlign w:val="center"/>
          </w:tcPr>
          <w:p w14:paraId="563F9368">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10</w:t>
            </w:r>
          </w:p>
        </w:tc>
        <w:tc>
          <w:tcPr>
            <w:tcW w:w="914" w:type="dxa"/>
            <w:shd w:val="clear" w:color="auto" w:fill="auto"/>
            <w:noWrap w:val="0"/>
            <w:vAlign w:val="center"/>
          </w:tcPr>
          <w:p w14:paraId="0A7F28C4">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12</w:t>
            </w:r>
          </w:p>
        </w:tc>
        <w:tc>
          <w:tcPr>
            <w:tcW w:w="1253" w:type="dxa"/>
            <w:shd w:val="clear" w:color="000000" w:fill="FFFFFF"/>
            <w:noWrap w:val="0"/>
            <w:vAlign w:val="center"/>
          </w:tcPr>
          <w:p w14:paraId="7EB04D99">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53.57</w:t>
            </w:r>
          </w:p>
        </w:tc>
      </w:tr>
      <w:tr w14:paraId="713A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4B5B1889">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6</w:t>
            </w:r>
          </w:p>
        </w:tc>
        <w:tc>
          <w:tcPr>
            <w:tcW w:w="1213" w:type="dxa"/>
            <w:shd w:val="clear" w:color="000000" w:fill="FFFFFF"/>
            <w:noWrap w:val="0"/>
            <w:vAlign w:val="center"/>
          </w:tcPr>
          <w:p w14:paraId="392A040E">
            <w:pPr>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7B8EE430">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250</w:t>
            </w:r>
          </w:p>
        </w:tc>
        <w:tc>
          <w:tcPr>
            <w:tcW w:w="913" w:type="dxa"/>
            <w:shd w:val="clear" w:color="auto" w:fill="auto"/>
            <w:noWrap w:val="0"/>
            <w:vAlign w:val="center"/>
          </w:tcPr>
          <w:p w14:paraId="136BD103">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w:t>
            </w:r>
          </w:p>
        </w:tc>
        <w:tc>
          <w:tcPr>
            <w:tcW w:w="914" w:type="dxa"/>
            <w:shd w:val="clear" w:color="auto" w:fill="auto"/>
            <w:noWrap w:val="0"/>
            <w:vAlign w:val="center"/>
          </w:tcPr>
          <w:p w14:paraId="1B8D2F93">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13</w:t>
            </w:r>
          </w:p>
        </w:tc>
        <w:tc>
          <w:tcPr>
            <w:tcW w:w="914" w:type="dxa"/>
            <w:shd w:val="clear" w:color="auto" w:fill="auto"/>
            <w:noWrap w:val="0"/>
            <w:vAlign w:val="center"/>
          </w:tcPr>
          <w:p w14:paraId="44446455">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15</w:t>
            </w:r>
          </w:p>
        </w:tc>
        <w:tc>
          <w:tcPr>
            <w:tcW w:w="914" w:type="dxa"/>
            <w:shd w:val="clear" w:color="auto" w:fill="auto"/>
            <w:noWrap w:val="0"/>
            <w:vAlign w:val="center"/>
          </w:tcPr>
          <w:p w14:paraId="4E171ADD">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16</w:t>
            </w:r>
          </w:p>
        </w:tc>
        <w:tc>
          <w:tcPr>
            <w:tcW w:w="1253" w:type="dxa"/>
            <w:shd w:val="clear" w:color="000000" w:fill="FFFFFF"/>
            <w:noWrap w:val="0"/>
            <w:vAlign w:val="center"/>
          </w:tcPr>
          <w:p w14:paraId="48E02F4A">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71.43</w:t>
            </w:r>
          </w:p>
        </w:tc>
      </w:tr>
      <w:tr w14:paraId="6CD08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77C59817">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7</w:t>
            </w:r>
          </w:p>
        </w:tc>
        <w:tc>
          <w:tcPr>
            <w:tcW w:w="1213" w:type="dxa"/>
            <w:shd w:val="clear" w:color="000000" w:fill="FFFFFF"/>
            <w:noWrap w:val="0"/>
            <w:vAlign w:val="center"/>
          </w:tcPr>
          <w:p w14:paraId="5FE4EFD9">
            <w:pPr>
              <w:widowControl/>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2B310E45">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300</w:t>
            </w:r>
          </w:p>
        </w:tc>
        <w:tc>
          <w:tcPr>
            <w:tcW w:w="913" w:type="dxa"/>
            <w:shd w:val="clear" w:color="auto" w:fill="auto"/>
            <w:noWrap w:val="0"/>
            <w:vAlign w:val="center"/>
          </w:tcPr>
          <w:p w14:paraId="2C3589C7">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w:t>
            </w:r>
          </w:p>
        </w:tc>
        <w:tc>
          <w:tcPr>
            <w:tcW w:w="914" w:type="dxa"/>
            <w:shd w:val="clear" w:color="auto" w:fill="auto"/>
            <w:noWrap w:val="0"/>
            <w:vAlign w:val="center"/>
          </w:tcPr>
          <w:p w14:paraId="46C7638E">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13</w:t>
            </w:r>
          </w:p>
        </w:tc>
        <w:tc>
          <w:tcPr>
            <w:tcW w:w="914" w:type="dxa"/>
            <w:shd w:val="clear" w:color="auto" w:fill="auto"/>
            <w:noWrap w:val="0"/>
            <w:vAlign w:val="center"/>
          </w:tcPr>
          <w:p w14:paraId="59A6D52B">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15</w:t>
            </w:r>
          </w:p>
        </w:tc>
        <w:tc>
          <w:tcPr>
            <w:tcW w:w="914" w:type="dxa"/>
            <w:shd w:val="clear" w:color="auto" w:fill="auto"/>
            <w:noWrap w:val="0"/>
            <w:vAlign w:val="center"/>
          </w:tcPr>
          <w:p w14:paraId="3D972326">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17</w:t>
            </w:r>
          </w:p>
        </w:tc>
        <w:tc>
          <w:tcPr>
            <w:tcW w:w="1253" w:type="dxa"/>
            <w:shd w:val="clear" w:color="000000" w:fill="FFFFFF"/>
            <w:noWrap w:val="0"/>
            <w:vAlign w:val="center"/>
          </w:tcPr>
          <w:p w14:paraId="22CF7D04">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75.89</w:t>
            </w:r>
          </w:p>
        </w:tc>
      </w:tr>
      <w:tr w14:paraId="000C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1959F9DE">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8</w:t>
            </w:r>
          </w:p>
        </w:tc>
        <w:tc>
          <w:tcPr>
            <w:tcW w:w="1213" w:type="dxa"/>
            <w:shd w:val="clear" w:color="000000" w:fill="FFFFFF"/>
            <w:noWrap w:val="0"/>
            <w:vAlign w:val="center"/>
          </w:tcPr>
          <w:p w14:paraId="74FD8984">
            <w:pPr>
              <w:widowControl/>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149D4488">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350</w:t>
            </w:r>
          </w:p>
        </w:tc>
        <w:tc>
          <w:tcPr>
            <w:tcW w:w="913" w:type="dxa"/>
            <w:shd w:val="clear" w:color="auto" w:fill="auto"/>
            <w:noWrap w:val="0"/>
            <w:vAlign w:val="center"/>
          </w:tcPr>
          <w:p w14:paraId="0F8430A5">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9</w:t>
            </w:r>
          </w:p>
        </w:tc>
        <w:tc>
          <w:tcPr>
            <w:tcW w:w="914" w:type="dxa"/>
            <w:shd w:val="clear" w:color="auto" w:fill="auto"/>
            <w:noWrap w:val="0"/>
            <w:vAlign w:val="center"/>
          </w:tcPr>
          <w:p w14:paraId="03659BD1">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15</w:t>
            </w:r>
          </w:p>
        </w:tc>
        <w:tc>
          <w:tcPr>
            <w:tcW w:w="914" w:type="dxa"/>
            <w:shd w:val="clear" w:color="auto" w:fill="auto"/>
            <w:noWrap/>
            <w:vAlign w:val="center"/>
          </w:tcPr>
          <w:p w14:paraId="4E27E479">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16</w:t>
            </w:r>
          </w:p>
        </w:tc>
        <w:tc>
          <w:tcPr>
            <w:tcW w:w="914" w:type="dxa"/>
            <w:shd w:val="clear" w:color="auto" w:fill="auto"/>
            <w:noWrap/>
            <w:vAlign w:val="center"/>
          </w:tcPr>
          <w:p w14:paraId="7AF1DFDF">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17</w:t>
            </w:r>
          </w:p>
        </w:tc>
        <w:tc>
          <w:tcPr>
            <w:tcW w:w="1253" w:type="dxa"/>
            <w:shd w:val="clear" w:color="000000" w:fill="FFFFFF"/>
            <w:noWrap w:val="0"/>
            <w:vAlign w:val="center"/>
          </w:tcPr>
          <w:p w14:paraId="40760CE8">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75.89</w:t>
            </w:r>
          </w:p>
        </w:tc>
      </w:tr>
      <w:tr w14:paraId="2F221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8" w:type="dxa"/>
            <w:shd w:val="clear" w:color="000000" w:fill="FFFFFF"/>
            <w:noWrap w:val="0"/>
            <w:vAlign w:val="center"/>
          </w:tcPr>
          <w:p w14:paraId="4EF356D0">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9</w:t>
            </w:r>
          </w:p>
        </w:tc>
        <w:tc>
          <w:tcPr>
            <w:tcW w:w="1213" w:type="dxa"/>
            <w:shd w:val="clear" w:color="000000" w:fill="FFFFFF"/>
            <w:noWrap w:val="0"/>
            <w:vAlign w:val="center"/>
          </w:tcPr>
          <w:p w14:paraId="5D8C734F">
            <w:pPr>
              <w:widowControl/>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5C4C29FA">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400</w:t>
            </w:r>
          </w:p>
        </w:tc>
        <w:tc>
          <w:tcPr>
            <w:tcW w:w="913" w:type="dxa"/>
            <w:shd w:val="clear" w:color="auto" w:fill="auto"/>
            <w:noWrap w:val="0"/>
            <w:vAlign w:val="center"/>
          </w:tcPr>
          <w:p w14:paraId="367DC30A">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10</w:t>
            </w:r>
          </w:p>
        </w:tc>
        <w:tc>
          <w:tcPr>
            <w:tcW w:w="914" w:type="dxa"/>
            <w:shd w:val="clear" w:color="auto" w:fill="auto"/>
            <w:noWrap w:val="0"/>
            <w:vAlign w:val="center"/>
          </w:tcPr>
          <w:p w14:paraId="2058D7E7">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16</w:t>
            </w:r>
          </w:p>
        </w:tc>
        <w:tc>
          <w:tcPr>
            <w:tcW w:w="914" w:type="dxa"/>
            <w:shd w:val="clear" w:color="auto" w:fill="auto"/>
            <w:noWrap/>
            <w:vAlign w:val="center"/>
          </w:tcPr>
          <w:p w14:paraId="403D050E">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17</w:t>
            </w:r>
          </w:p>
        </w:tc>
        <w:tc>
          <w:tcPr>
            <w:tcW w:w="914" w:type="dxa"/>
            <w:shd w:val="clear" w:color="auto" w:fill="auto"/>
            <w:noWrap/>
            <w:vAlign w:val="center"/>
          </w:tcPr>
          <w:p w14:paraId="55483AD4">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18</w:t>
            </w:r>
          </w:p>
        </w:tc>
        <w:tc>
          <w:tcPr>
            <w:tcW w:w="1253" w:type="dxa"/>
            <w:shd w:val="clear" w:color="000000" w:fill="FFFFFF"/>
            <w:noWrap w:val="0"/>
            <w:vAlign w:val="center"/>
          </w:tcPr>
          <w:p w14:paraId="120F5831">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80.36</w:t>
            </w:r>
          </w:p>
        </w:tc>
      </w:tr>
      <w:tr w14:paraId="7AD0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6B01E75F">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10</w:t>
            </w:r>
          </w:p>
        </w:tc>
        <w:tc>
          <w:tcPr>
            <w:tcW w:w="1213" w:type="dxa"/>
            <w:shd w:val="clear" w:color="000000" w:fill="FFFFFF"/>
            <w:noWrap w:val="0"/>
            <w:vAlign w:val="center"/>
          </w:tcPr>
          <w:p w14:paraId="1FA4F8DF">
            <w:pPr>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000000" w:fill="FFFFFF"/>
            <w:noWrap w:val="0"/>
            <w:vAlign w:val="center"/>
          </w:tcPr>
          <w:p w14:paraId="0E32D6C7">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450</w:t>
            </w:r>
          </w:p>
        </w:tc>
        <w:tc>
          <w:tcPr>
            <w:tcW w:w="913" w:type="dxa"/>
            <w:shd w:val="clear" w:color="auto" w:fill="auto"/>
            <w:noWrap/>
            <w:vAlign w:val="center"/>
          </w:tcPr>
          <w:p w14:paraId="717CA7F1">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10</w:t>
            </w:r>
          </w:p>
        </w:tc>
        <w:tc>
          <w:tcPr>
            <w:tcW w:w="914" w:type="dxa"/>
            <w:shd w:val="clear" w:color="auto" w:fill="auto"/>
            <w:noWrap/>
            <w:vAlign w:val="center"/>
          </w:tcPr>
          <w:p w14:paraId="1740C5EC">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16</w:t>
            </w:r>
          </w:p>
        </w:tc>
        <w:tc>
          <w:tcPr>
            <w:tcW w:w="914" w:type="dxa"/>
            <w:shd w:val="clear" w:color="auto" w:fill="auto"/>
            <w:noWrap/>
            <w:vAlign w:val="center"/>
          </w:tcPr>
          <w:p w14:paraId="4B12E61F">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17</w:t>
            </w:r>
          </w:p>
        </w:tc>
        <w:tc>
          <w:tcPr>
            <w:tcW w:w="914" w:type="dxa"/>
            <w:shd w:val="clear" w:color="auto" w:fill="auto"/>
            <w:noWrap/>
            <w:vAlign w:val="center"/>
          </w:tcPr>
          <w:p w14:paraId="4219C7BC">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18</w:t>
            </w:r>
          </w:p>
        </w:tc>
        <w:tc>
          <w:tcPr>
            <w:tcW w:w="1253" w:type="dxa"/>
            <w:shd w:val="clear" w:color="000000" w:fill="FFFFFF"/>
            <w:noWrap w:val="0"/>
            <w:vAlign w:val="center"/>
          </w:tcPr>
          <w:p w14:paraId="2708BADD">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80.36</w:t>
            </w:r>
          </w:p>
        </w:tc>
      </w:tr>
      <w:tr w14:paraId="194B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4A15E815">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11</w:t>
            </w:r>
          </w:p>
        </w:tc>
        <w:tc>
          <w:tcPr>
            <w:tcW w:w="1213" w:type="dxa"/>
            <w:shd w:val="clear" w:color="000000" w:fill="FFFFFF"/>
            <w:noWrap w:val="0"/>
            <w:vAlign w:val="center"/>
          </w:tcPr>
          <w:p w14:paraId="646B919F">
            <w:pPr>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0DEE54A1">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500</w:t>
            </w:r>
          </w:p>
        </w:tc>
        <w:tc>
          <w:tcPr>
            <w:tcW w:w="913" w:type="dxa"/>
            <w:shd w:val="clear" w:color="auto" w:fill="auto"/>
            <w:noWrap w:val="0"/>
            <w:vAlign w:val="center"/>
          </w:tcPr>
          <w:p w14:paraId="1066B0F6">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11</w:t>
            </w:r>
          </w:p>
        </w:tc>
        <w:tc>
          <w:tcPr>
            <w:tcW w:w="914" w:type="dxa"/>
            <w:shd w:val="clear" w:color="auto" w:fill="auto"/>
            <w:noWrap w:val="0"/>
            <w:vAlign w:val="center"/>
          </w:tcPr>
          <w:p w14:paraId="7981D7D7">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17</w:t>
            </w:r>
          </w:p>
        </w:tc>
        <w:tc>
          <w:tcPr>
            <w:tcW w:w="914" w:type="dxa"/>
            <w:shd w:val="clear" w:color="auto" w:fill="auto"/>
            <w:noWrap w:val="0"/>
            <w:vAlign w:val="center"/>
          </w:tcPr>
          <w:p w14:paraId="77BB6D85">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18</w:t>
            </w:r>
          </w:p>
        </w:tc>
        <w:tc>
          <w:tcPr>
            <w:tcW w:w="914" w:type="dxa"/>
            <w:shd w:val="clear" w:color="auto" w:fill="auto"/>
            <w:noWrap w:val="0"/>
            <w:vAlign w:val="center"/>
          </w:tcPr>
          <w:p w14:paraId="06E9F2F6">
            <w:pPr>
              <w:widowControl/>
              <w:jc w:val="center"/>
              <w:rPr>
                <w:rFonts w:hint="eastAsia" w:ascii="宋体" w:hAnsi="宋体" w:eastAsia="宋体" w:cs="宋体"/>
                <w:color w:val="000000"/>
                <w:kern w:val="0"/>
                <w:sz w:val="22"/>
                <w:highlight w:val="none"/>
                <w:lang w:val="en-US" w:eastAsia="zh-CN"/>
                <w:rtl/>
              </w:rPr>
              <w:bidi/>
            </w:pPr>
            <w:r>
              <w:rPr>
                <w:rFonts w:hint="eastAsia" w:ascii="宋体" w:hAnsi="宋体" w:eastAsia="宋体" w:cs="宋体"/>
                <w:color w:val="000000"/>
                <w:kern w:val="0"/>
                <w:sz w:val="22"/>
                <w:highlight w:val="none"/>
                <w:lang w:val="en-US" w:eastAsia="zh-CN"/>
                <w:rtl/>
              </w:rPr>
              <w:t>19</w:t>
            </w:r>
          </w:p>
        </w:tc>
        <w:tc>
          <w:tcPr>
            <w:tcW w:w="1253" w:type="dxa"/>
            <w:shd w:val="clear" w:color="000000" w:fill="FFFFFF"/>
            <w:noWrap w:val="0"/>
            <w:vAlign w:val="center"/>
          </w:tcPr>
          <w:p w14:paraId="345B450D">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84.82</w:t>
            </w:r>
          </w:p>
        </w:tc>
      </w:tr>
      <w:tr w14:paraId="4987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7F9A0902">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12</w:t>
            </w:r>
          </w:p>
        </w:tc>
        <w:tc>
          <w:tcPr>
            <w:tcW w:w="1213" w:type="dxa"/>
            <w:shd w:val="clear" w:color="000000" w:fill="FFFFFF"/>
            <w:noWrap w:val="0"/>
            <w:vAlign w:val="center"/>
          </w:tcPr>
          <w:p w14:paraId="55E4F582">
            <w:pPr>
              <w:jc w:val="center"/>
              <w:rPr>
                <w:rFonts w:hint="eastAsia" w:ascii="宋体" w:hAnsi="宋体" w:eastAsia="宋体" w:cs="宋体"/>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25F26610">
            <w:pPr>
              <w:jc w:val="center"/>
              <w:rPr>
                <w:rFonts w:hint="eastAsia" w:ascii="宋体" w:hAnsi="宋体" w:eastAsia="宋体" w:cs="宋体"/>
                <w:highlight w:val="none"/>
                <w:lang w:val="en-US" w:eastAsia="zh-CN"/>
                <w:rtl/>
              </w:rPr>
              <w:bidi/>
            </w:pPr>
            <w:r>
              <w:rPr>
                <w:rFonts w:hint="eastAsia" w:ascii="宋体" w:hAnsi="宋体" w:eastAsia="宋体" w:cs="宋体"/>
                <w:highlight w:val="none"/>
                <w:lang w:val="en-US" w:eastAsia="zh-CN"/>
                <w:rtl/>
              </w:rPr>
              <w:t>550</w:t>
            </w:r>
          </w:p>
        </w:tc>
        <w:tc>
          <w:tcPr>
            <w:tcW w:w="913" w:type="dxa"/>
            <w:shd w:val="clear" w:color="auto" w:fill="auto"/>
            <w:noWrap w:val="0"/>
            <w:vAlign w:val="center"/>
          </w:tcPr>
          <w:p w14:paraId="6D1CB09C">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11</w:t>
            </w:r>
          </w:p>
        </w:tc>
        <w:tc>
          <w:tcPr>
            <w:tcW w:w="914" w:type="dxa"/>
            <w:shd w:val="clear" w:color="auto" w:fill="auto"/>
            <w:noWrap w:val="0"/>
            <w:vAlign w:val="center"/>
          </w:tcPr>
          <w:p w14:paraId="12EF6324">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17</w:t>
            </w:r>
          </w:p>
        </w:tc>
        <w:tc>
          <w:tcPr>
            <w:tcW w:w="914" w:type="dxa"/>
            <w:shd w:val="clear" w:color="auto" w:fill="auto"/>
            <w:noWrap w:val="0"/>
            <w:vAlign w:val="center"/>
          </w:tcPr>
          <w:p w14:paraId="0E6035EC">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18</w:t>
            </w:r>
          </w:p>
        </w:tc>
        <w:tc>
          <w:tcPr>
            <w:tcW w:w="914" w:type="dxa"/>
            <w:shd w:val="clear" w:color="auto" w:fill="auto"/>
            <w:noWrap w:val="0"/>
            <w:vAlign w:val="center"/>
          </w:tcPr>
          <w:p w14:paraId="56FC6470">
            <w:pPr>
              <w:widowControl/>
              <w:jc w:val="center"/>
              <w:rPr>
                <w:rFonts w:hint="eastAsia" w:ascii="宋体" w:hAnsi="宋体" w:eastAsia="宋体" w:cs="宋体"/>
                <w:color w:val="000000"/>
                <w:kern w:val="0"/>
                <w:sz w:val="22"/>
                <w:szCs w:val="24"/>
                <w:highlight w:val="none"/>
                <w:lang w:val="en-US" w:eastAsia="zh-CN" w:bidi="ar-SA"/>
                <w:rtl/>
              </w:rPr>
              <w:bidi/>
            </w:pPr>
            <w:r>
              <w:rPr>
                <w:rFonts w:hint="eastAsia" w:ascii="宋体" w:hAnsi="宋体" w:eastAsia="宋体" w:cs="宋体"/>
                <w:color w:val="000000"/>
                <w:kern w:val="0"/>
                <w:sz w:val="22"/>
                <w:highlight w:val="none"/>
                <w:lang w:val="en-US" w:eastAsia="zh-CN"/>
                <w:rtl/>
              </w:rPr>
              <w:t>19</w:t>
            </w:r>
          </w:p>
        </w:tc>
        <w:tc>
          <w:tcPr>
            <w:tcW w:w="1253" w:type="dxa"/>
            <w:shd w:val="clear" w:color="000000" w:fill="FFFFFF"/>
            <w:noWrap w:val="0"/>
            <w:vAlign w:val="center"/>
          </w:tcPr>
          <w:p w14:paraId="2562C061">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84.82</w:t>
            </w:r>
          </w:p>
        </w:tc>
      </w:tr>
      <w:tr w14:paraId="06AFA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6BB160FA">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13</w:t>
            </w:r>
          </w:p>
        </w:tc>
        <w:tc>
          <w:tcPr>
            <w:tcW w:w="1213" w:type="dxa"/>
            <w:shd w:val="clear" w:color="000000" w:fill="FFFFFF"/>
            <w:noWrap w:val="0"/>
            <w:vAlign w:val="center"/>
          </w:tcPr>
          <w:p w14:paraId="43F575EB">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75BEBC00">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600</w:t>
            </w:r>
          </w:p>
        </w:tc>
        <w:tc>
          <w:tcPr>
            <w:tcW w:w="913" w:type="dxa"/>
            <w:shd w:val="clear" w:color="auto" w:fill="auto"/>
            <w:noWrap w:val="0"/>
            <w:vAlign w:val="center"/>
          </w:tcPr>
          <w:p w14:paraId="10F3737A">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12</w:t>
            </w:r>
          </w:p>
        </w:tc>
        <w:tc>
          <w:tcPr>
            <w:tcW w:w="914" w:type="dxa"/>
            <w:shd w:val="clear" w:color="auto" w:fill="auto"/>
            <w:noWrap w:val="0"/>
            <w:vAlign w:val="center"/>
          </w:tcPr>
          <w:p w14:paraId="48017B7E">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18</w:t>
            </w:r>
          </w:p>
        </w:tc>
        <w:tc>
          <w:tcPr>
            <w:tcW w:w="914" w:type="dxa"/>
            <w:shd w:val="clear" w:color="auto" w:fill="auto"/>
            <w:noWrap w:val="0"/>
            <w:vAlign w:val="center"/>
          </w:tcPr>
          <w:p w14:paraId="46972791">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7CD0D5D3">
            <w:pPr>
              <w:widowControl/>
              <w:jc w:val="center"/>
              <w:rPr>
                <w:rFonts w:hint="eastAsia" w:ascii="宋体" w:hAnsi="宋体" w:eastAsia="宋体" w:cs="宋体"/>
                <w:color w:val="000000"/>
                <w:kern w:val="0"/>
                <w:sz w:val="22"/>
                <w:highlight w:val="none"/>
                <w:lang w:val="en-US" w:eastAsia="zh-CN"/>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3B1B8D41">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89.29</w:t>
            </w:r>
          </w:p>
        </w:tc>
      </w:tr>
      <w:tr w14:paraId="1F139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33D47E38">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14</w:t>
            </w:r>
          </w:p>
        </w:tc>
        <w:tc>
          <w:tcPr>
            <w:tcW w:w="1213" w:type="dxa"/>
            <w:shd w:val="clear" w:color="000000" w:fill="FFFFFF"/>
            <w:noWrap w:val="0"/>
            <w:vAlign w:val="center"/>
          </w:tcPr>
          <w:p w14:paraId="6BAE6A07">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48F7084B">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650</w:t>
            </w:r>
          </w:p>
        </w:tc>
        <w:tc>
          <w:tcPr>
            <w:tcW w:w="913" w:type="dxa"/>
            <w:shd w:val="clear" w:color="auto" w:fill="auto"/>
            <w:noWrap w:val="0"/>
            <w:vAlign w:val="center"/>
          </w:tcPr>
          <w:p w14:paraId="3D5BF3F7">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12</w:t>
            </w:r>
          </w:p>
        </w:tc>
        <w:tc>
          <w:tcPr>
            <w:tcW w:w="914" w:type="dxa"/>
            <w:shd w:val="clear" w:color="auto" w:fill="auto"/>
            <w:noWrap w:val="0"/>
            <w:vAlign w:val="center"/>
          </w:tcPr>
          <w:p w14:paraId="0BA24684">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18</w:t>
            </w:r>
          </w:p>
        </w:tc>
        <w:tc>
          <w:tcPr>
            <w:tcW w:w="914" w:type="dxa"/>
            <w:shd w:val="clear" w:color="auto" w:fill="auto"/>
            <w:noWrap w:val="0"/>
            <w:vAlign w:val="center"/>
          </w:tcPr>
          <w:p w14:paraId="336B18FA">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3C1C7E1A">
            <w:pPr>
              <w:widowControl/>
              <w:jc w:val="center"/>
              <w:rPr>
                <w:rFonts w:hint="eastAsia" w:ascii="宋体" w:hAnsi="宋体" w:eastAsia="宋体" w:cs="宋体"/>
                <w:color w:val="000000"/>
                <w:kern w:val="0"/>
                <w:sz w:val="22"/>
                <w:szCs w:val="24"/>
                <w:highlight w:val="none"/>
                <w:lang w:val="en-US" w:eastAsia="zh-CN" w:bidi="ar-SA"/>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7A874E97">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r w14:paraId="56EB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5FF69A50">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15</w:t>
            </w:r>
          </w:p>
        </w:tc>
        <w:tc>
          <w:tcPr>
            <w:tcW w:w="1213" w:type="dxa"/>
            <w:shd w:val="clear" w:color="000000" w:fill="FFFFFF"/>
            <w:noWrap w:val="0"/>
            <w:vAlign w:val="center"/>
          </w:tcPr>
          <w:p w14:paraId="0305CFC0">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14BD3585">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700</w:t>
            </w:r>
          </w:p>
        </w:tc>
        <w:tc>
          <w:tcPr>
            <w:tcW w:w="913" w:type="dxa"/>
            <w:shd w:val="clear" w:color="auto" w:fill="auto"/>
            <w:noWrap w:val="0"/>
            <w:vAlign w:val="center"/>
          </w:tcPr>
          <w:p w14:paraId="6D044E7B">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12</w:t>
            </w:r>
          </w:p>
        </w:tc>
        <w:tc>
          <w:tcPr>
            <w:tcW w:w="914" w:type="dxa"/>
            <w:shd w:val="clear" w:color="auto" w:fill="auto"/>
            <w:noWrap w:val="0"/>
            <w:vAlign w:val="center"/>
          </w:tcPr>
          <w:p w14:paraId="2C1435DA">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18</w:t>
            </w:r>
          </w:p>
        </w:tc>
        <w:tc>
          <w:tcPr>
            <w:tcW w:w="914" w:type="dxa"/>
            <w:shd w:val="clear" w:color="auto" w:fill="auto"/>
            <w:noWrap w:val="0"/>
            <w:vAlign w:val="center"/>
          </w:tcPr>
          <w:p w14:paraId="1D484EA6">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1A37A8A0">
            <w:pPr>
              <w:widowControl/>
              <w:jc w:val="center"/>
              <w:rPr>
                <w:rFonts w:hint="eastAsia" w:ascii="宋体" w:hAnsi="宋体" w:eastAsia="宋体" w:cs="宋体"/>
                <w:color w:val="000000"/>
                <w:kern w:val="0"/>
                <w:sz w:val="22"/>
                <w:szCs w:val="24"/>
                <w:highlight w:val="none"/>
                <w:lang w:val="en-US" w:eastAsia="zh-CN" w:bidi="ar-SA"/>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7CCE0EC9">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r w14:paraId="393A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6409DE58">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16</w:t>
            </w:r>
          </w:p>
        </w:tc>
        <w:tc>
          <w:tcPr>
            <w:tcW w:w="1213" w:type="dxa"/>
            <w:shd w:val="clear" w:color="000000" w:fill="FFFFFF"/>
            <w:noWrap w:val="0"/>
            <w:vAlign w:val="center"/>
          </w:tcPr>
          <w:p w14:paraId="6D0405F4">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7F3FC1A2">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750</w:t>
            </w:r>
          </w:p>
        </w:tc>
        <w:tc>
          <w:tcPr>
            <w:tcW w:w="913" w:type="dxa"/>
            <w:shd w:val="clear" w:color="auto" w:fill="auto"/>
            <w:noWrap w:val="0"/>
            <w:vAlign w:val="center"/>
          </w:tcPr>
          <w:p w14:paraId="0E58431E">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12</w:t>
            </w:r>
          </w:p>
        </w:tc>
        <w:tc>
          <w:tcPr>
            <w:tcW w:w="914" w:type="dxa"/>
            <w:shd w:val="clear" w:color="auto" w:fill="auto"/>
            <w:noWrap w:val="0"/>
            <w:vAlign w:val="center"/>
          </w:tcPr>
          <w:p w14:paraId="298028D0">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18</w:t>
            </w:r>
          </w:p>
        </w:tc>
        <w:tc>
          <w:tcPr>
            <w:tcW w:w="914" w:type="dxa"/>
            <w:shd w:val="clear" w:color="auto" w:fill="auto"/>
            <w:noWrap w:val="0"/>
            <w:vAlign w:val="center"/>
          </w:tcPr>
          <w:p w14:paraId="30C87EEB">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120845E3">
            <w:pPr>
              <w:widowControl/>
              <w:jc w:val="center"/>
              <w:rPr>
                <w:rFonts w:hint="eastAsia" w:ascii="宋体" w:hAnsi="宋体" w:eastAsia="宋体" w:cs="宋体"/>
                <w:color w:val="000000"/>
                <w:kern w:val="0"/>
                <w:sz w:val="22"/>
                <w:szCs w:val="24"/>
                <w:highlight w:val="none"/>
                <w:lang w:val="en-US" w:eastAsia="zh-CN" w:bidi="ar-SA"/>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2B686821">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r w14:paraId="52DD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53491407">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17</w:t>
            </w:r>
          </w:p>
        </w:tc>
        <w:tc>
          <w:tcPr>
            <w:tcW w:w="1213" w:type="dxa"/>
            <w:shd w:val="clear" w:color="000000" w:fill="FFFFFF"/>
            <w:noWrap w:val="0"/>
            <w:vAlign w:val="center"/>
          </w:tcPr>
          <w:p w14:paraId="16DC840F">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76BBF043">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800</w:t>
            </w:r>
          </w:p>
        </w:tc>
        <w:tc>
          <w:tcPr>
            <w:tcW w:w="913" w:type="dxa"/>
            <w:shd w:val="clear" w:color="auto" w:fill="auto"/>
            <w:noWrap w:val="0"/>
            <w:vAlign w:val="center"/>
          </w:tcPr>
          <w:p w14:paraId="1A758275">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11</w:t>
            </w:r>
          </w:p>
        </w:tc>
        <w:tc>
          <w:tcPr>
            <w:tcW w:w="914" w:type="dxa"/>
            <w:shd w:val="clear" w:color="auto" w:fill="auto"/>
            <w:noWrap w:val="0"/>
            <w:vAlign w:val="center"/>
          </w:tcPr>
          <w:p w14:paraId="56244759">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18</w:t>
            </w:r>
          </w:p>
        </w:tc>
        <w:tc>
          <w:tcPr>
            <w:tcW w:w="914" w:type="dxa"/>
            <w:shd w:val="clear" w:color="auto" w:fill="auto"/>
            <w:noWrap w:val="0"/>
            <w:vAlign w:val="center"/>
          </w:tcPr>
          <w:p w14:paraId="58275358">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534A39E7">
            <w:pPr>
              <w:widowControl/>
              <w:jc w:val="center"/>
              <w:rPr>
                <w:rFonts w:hint="eastAsia" w:ascii="宋体" w:hAnsi="宋体" w:eastAsia="宋体" w:cs="宋体"/>
                <w:color w:val="000000"/>
                <w:kern w:val="0"/>
                <w:sz w:val="22"/>
                <w:szCs w:val="24"/>
                <w:highlight w:val="none"/>
                <w:lang w:val="en-US" w:eastAsia="zh-CN" w:bidi="ar-SA"/>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4A4E4D79">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r w14:paraId="1C792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519736F9">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18</w:t>
            </w:r>
          </w:p>
        </w:tc>
        <w:tc>
          <w:tcPr>
            <w:tcW w:w="1213" w:type="dxa"/>
            <w:shd w:val="clear" w:color="000000" w:fill="FFFFFF"/>
            <w:noWrap w:val="0"/>
            <w:vAlign w:val="center"/>
          </w:tcPr>
          <w:p w14:paraId="516F8B2C">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76AEE34B">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850</w:t>
            </w:r>
          </w:p>
        </w:tc>
        <w:tc>
          <w:tcPr>
            <w:tcW w:w="913" w:type="dxa"/>
            <w:shd w:val="clear" w:color="auto" w:fill="auto"/>
            <w:noWrap w:val="0"/>
            <w:vAlign w:val="center"/>
          </w:tcPr>
          <w:p w14:paraId="4B47E6D4">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13</w:t>
            </w:r>
          </w:p>
        </w:tc>
        <w:tc>
          <w:tcPr>
            <w:tcW w:w="914" w:type="dxa"/>
            <w:shd w:val="clear" w:color="auto" w:fill="auto"/>
            <w:noWrap w:val="0"/>
            <w:vAlign w:val="center"/>
          </w:tcPr>
          <w:p w14:paraId="26CA312C">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1DFA9BAC">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20</w:t>
            </w:r>
          </w:p>
        </w:tc>
        <w:tc>
          <w:tcPr>
            <w:tcW w:w="914" w:type="dxa"/>
            <w:shd w:val="clear" w:color="auto" w:fill="auto"/>
            <w:noWrap w:val="0"/>
            <w:vAlign w:val="center"/>
          </w:tcPr>
          <w:p w14:paraId="5696F5DA">
            <w:pPr>
              <w:widowControl/>
              <w:jc w:val="center"/>
              <w:rPr>
                <w:rFonts w:hint="eastAsia" w:ascii="宋体" w:hAnsi="宋体" w:eastAsia="宋体" w:cs="宋体"/>
                <w:color w:val="000000"/>
                <w:kern w:val="0"/>
                <w:sz w:val="22"/>
                <w:highlight w:val="none"/>
                <w:lang w:val="en-US" w:eastAsia="zh-CN"/>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311808B7">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r w14:paraId="1C4B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2527C6BF">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19</w:t>
            </w:r>
          </w:p>
        </w:tc>
        <w:tc>
          <w:tcPr>
            <w:tcW w:w="1213" w:type="dxa"/>
            <w:shd w:val="clear" w:color="000000" w:fill="FFFFFF"/>
            <w:noWrap w:val="0"/>
            <w:vAlign w:val="center"/>
          </w:tcPr>
          <w:p w14:paraId="62CA43D7">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4B1C07D6">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900</w:t>
            </w:r>
          </w:p>
        </w:tc>
        <w:tc>
          <w:tcPr>
            <w:tcW w:w="913" w:type="dxa"/>
            <w:shd w:val="clear" w:color="auto" w:fill="auto"/>
            <w:noWrap w:val="0"/>
            <w:vAlign w:val="center"/>
          </w:tcPr>
          <w:p w14:paraId="0B239E95">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12</w:t>
            </w:r>
          </w:p>
        </w:tc>
        <w:tc>
          <w:tcPr>
            <w:tcW w:w="914" w:type="dxa"/>
            <w:shd w:val="clear" w:color="auto" w:fill="auto"/>
            <w:noWrap w:val="0"/>
            <w:vAlign w:val="center"/>
          </w:tcPr>
          <w:p w14:paraId="3D3EDA8C">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0ACD8B66">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20</w:t>
            </w:r>
          </w:p>
        </w:tc>
        <w:tc>
          <w:tcPr>
            <w:tcW w:w="914" w:type="dxa"/>
            <w:shd w:val="clear" w:color="auto" w:fill="auto"/>
            <w:noWrap w:val="0"/>
            <w:vAlign w:val="center"/>
          </w:tcPr>
          <w:p w14:paraId="6C26CB17">
            <w:pPr>
              <w:widowControl/>
              <w:jc w:val="center"/>
              <w:rPr>
                <w:rFonts w:hint="eastAsia" w:ascii="宋体" w:hAnsi="宋体" w:eastAsia="宋体" w:cs="宋体"/>
                <w:color w:val="000000"/>
                <w:kern w:val="0"/>
                <w:sz w:val="22"/>
                <w:highlight w:val="none"/>
                <w:lang w:val="en-US" w:eastAsia="zh-CN"/>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48931315">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r w14:paraId="50EC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2903547D">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20</w:t>
            </w:r>
          </w:p>
        </w:tc>
        <w:tc>
          <w:tcPr>
            <w:tcW w:w="1213" w:type="dxa"/>
            <w:shd w:val="clear" w:color="000000" w:fill="FFFFFF"/>
            <w:noWrap w:val="0"/>
            <w:vAlign w:val="center"/>
          </w:tcPr>
          <w:p w14:paraId="7451A687">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4CF4A376">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950</w:t>
            </w:r>
          </w:p>
        </w:tc>
        <w:tc>
          <w:tcPr>
            <w:tcW w:w="913" w:type="dxa"/>
            <w:shd w:val="clear" w:color="auto" w:fill="auto"/>
            <w:noWrap w:val="0"/>
            <w:vAlign w:val="center"/>
          </w:tcPr>
          <w:p w14:paraId="3EB3716F">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13</w:t>
            </w:r>
          </w:p>
        </w:tc>
        <w:tc>
          <w:tcPr>
            <w:tcW w:w="914" w:type="dxa"/>
            <w:shd w:val="clear" w:color="auto" w:fill="auto"/>
            <w:noWrap w:val="0"/>
            <w:vAlign w:val="center"/>
          </w:tcPr>
          <w:p w14:paraId="53F7F700">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0948F67D">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20</w:t>
            </w:r>
          </w:p>
        </w:tc>
        <w:tc>
          <w:tcPr>
            <w:tcW w:w="914" w:type="dxa"/>
            <w:shd w:val="clear" w:color="auto" w:fill="auto"/>
            <w:noWrap w:val="0"/>
            <w:vAlign w:val="center"/>
          </w:tcPr>
          <w:p w14:paraId="1AD1EE8E">
            <w:pPr>
              <w:widowControl/>
              <w:jc w:val="center"/>
              <w:rPr>
                <w:rFonts w:hint="eastAsia" w:ascii="宋体" w:hAnsi="宋体" w:eastAsia="宋体" w:cs="宋体"/>
                <w:color w:val="000000"/>
                <w:kern w:val="0"/>
                <w:sz w:val="22"/>
                <w:szCs w:val="24"/>
                <w:highlight w:val="none"/>
                <w:lang w:val="en-US" w:eastAsia="zh-CN" w:bidi="ar-SA"/>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3885D5DD">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r w14:paraId="3ADB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518" w:type="dxa"/>
            <w:shd w:val="clear" w:color="000000" w:fill="FFFFFF"/>
            <w:noWrap w:val="0"/>
            <w:vAlign w:val="center"/>
          </w:tcPr>
          <w:p w14:paraId="4E3DDC4F">
            <w:pPr>
              <w:widowControl/>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واحد وعشرون</w:t>
            </w:r>
          </w:p>
        </w:tc>
        <w:tc>
          <w:tcPr>
            <w:tcW w:w="1213" w:type="dxa"/>
            <w:shd w:val="clear" w:color="000000" w:fill="FFFFFF"/>
            <w:noWrap w:val="0"/>
            <w:vAlign w:val="center"/>
          </w:tcPr>
          <w:p w14:paraId="1923CC64">
            <w:pPr>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rtl/>
              </w:rPr>
              <w:t>BH-1036</w:t>
            </w:r>
          </w:p>
        </w:tc>
        <w:tc>
          <w:tcPr>
            <w:tcW w:w="1041" w:type="dxa"/>
            <w:shd w:val="clear" w:color="auto" w:fill="auto"/>
            <w:noWrap/>
            <w:vAlign w:val="center"/>
          </w:tcPr>
          <w:p w14:paraId="4962DE6B">
            <w:pPr>
              <w:jc w:val="center"/>
              <w:rPr>
                <w:rFonts w:hint="eastAsia" w:ascii="宋体" w:hAnsi="宋体" w:eastAsia="宋体" w:cs="宋体"/>
                <w:color w:val="000000"/>
                <w:kern w:val="0"/>
                <w:szCs w:val="21"/>
                <w:highlight w:val="none"/>
                <w:lang w:val="en-US" w:eastAsia="zh-CN"/>
                <w:rtl/>
              </w:rPr>
              <w:bidi/>
            </w:pPr>
            <w:r>
              <w:rPr>
                <w:rFonts w:hint="eastAsia" w:ascii="宋体" w:hAnsi="宋体" w:eastAsia="宋体" w:cs="宋体"/>
                <w:color w:val="000000"/>
                <w:kern w:val="0"/>
                <w:szCs w:val="21"/>
                <w:highlight w:val="none"/>
                <w:lang w:val="en-US" w:eastAsia="zh-CN"/>
                <w:rtl/>
              </w:rPr>
              <w:t>1000</w:t>
            </w:r>
          </w:p>
        </w:tc>
        <w:tc>
          <w:tcPr>
            <w:tcW w:w="913" w:type="dxa"/>
            <w:shd w:val="clear" w:color="auto" w:fill="auto"/>
            <w:noWrap w:val="0"/>
            <w:vAlign w:val="center"/>
          </w:tcPr>
          <w:p w14:paraId="6513355F">
            <w:pPr>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13</w:t>
            </w:r>
          </w:p>
        </w:tc>
        <w:tc>
          <w:tcPr>
            <w:tcW w:w="914" w:type="dxa"/>
            <w:shd w:val="clear" w:color="auto" w:fill="auto"/>
            <w:noWrap w:val="0"/>
            <w:vAlign w:val="center"/>
          </w:tcPr>
          <w:p w14:paraId="2AC8A73E">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19</w:t>
            </w:r>
          </w:p>
        </w:tc>
        <w:tc>
          <w:tcPr>
            <w:tcW w:w="914" w:type="dxa"/>
            <w:shd w:val="clear" w:color="auto" w:fill="auto"/>
            <w:noWrap w:val="0"/>
            <w:vAlign w:val="center"/>
          </w:tcPr>
          <w:p w14:paraId="76C93045">
            <w:pPr>
              <w:widowControl/>
              <w:jc w:val="center"/>
              <w:rPr>
                <w:rFonts w:hint="eastAsia" w:ascii="宋体" w:hAnsi="宋体" w:eastAsia="宋体" w:cs="宋体"/>
                <w:color w:val="000000"/>
                <w:kern w:val="0"/>
                <w:sz w:val="21"/>
                <w:szCs w:val="21"/>
                <w:highlight w:val="none"/>
                <w:lang w:val="en-US" w:eastAsia="zh-CN" w:bidi="ar-SA"/>
                <w:rtl/>
              </w:rPr>
              <w:bidi/>
            </w:pPr>
            <w:r>
              <w:rPr>
                <w:rFonts w:hint="eastAsia" w:ascii="宋体" w:hAnsi="宋体" w:eastAsia="宋体" w:cs="宋体"/>
                <w:color w:val="000000"/>
                <w:kern w:val="0"/>
                <w:szCs w:val="21"/>
                <w:highlight w:val="none"/>
                <w:lang w:val="en-US" w:eastAsia="zh-CN"/>
                <w:rtl/>
              </w:rPr>
              <w:t>20</w:t>
            </w:r>
          </w:p>
        </w:tc>
        <w:tc>
          <w:tcPr>
            <w:tcW w:w="914" w:type="dxa"/>
            <w:shd w:val="clear" w:color="auto" w:fill="auto"/>
            <w:noWrap w:val="0"/>
            <w:vAlign w:val="center"/>
          </w:tcPr>
          <w:p w14:paraId="01184F93">
            <w:pPr>
              <w:widowControl/>
              <w:jc w:val="center"/>
              <w:rPr>
                <w:rFonts w:hint="eastAsia" w:ascii="宋体" w:hAnsi="宋体" w:eastAsia="宋体" w:cs="宋体"/>
                <w:color w:val="000000"/>
                <w:kern w:val="0"/>
                <w:sz w:val="22"/>
                <w:szCs w:val="24"/>
                <w:highlight w:val="none"/>
                <w:lang w:val="en-US" w:eastAsia="zh-CN" w:bidi="ar-SA"/>
                <w:rtl/>
              </w:rPr>
              <w:bidi/>
            </w:pPr>
            <w:r>
              <w:rPr>
                <w:rFonts w:hint="eastAsia" w:ascii="宋体" w:hAnsi="宋体" w:eastAsia="宋体" w:cs="宋体"/>
                <w:color w:val="000000"/>
                <w:kern w:val="0"/>
                <w:sz w:val="22"/>
                <w:highlight w:val="none"/>
                <w:lang w:val="en-US" w:eastAsia="zh-CN"/>
                <w:rtl/>
              </w:rPr>
              <w:t>20</w:t>
            </w:r>
          </w:p>
        </w:tc>
        <w:tc>
          <w:tcPr>
            <w:tcW w:w="1253" w:type="dxa"/>
            <w:shd w:val="clear" w:color="000000" w:fill="FFFFFF"/>
            <w:noWrap w:val="0"/>
            <w:vAlign w:val="center"/>
          </w:tcPr>
          <w:p w14:paraId="58EE1AAC">
            <w:pPr>
              <w:widowControl/>
              <w:jc w:val="center"/>
              <w:rPr>
                <w:rFonts w:hint="eastAsia" w:ascii="宋体" w:hAnsi="宋体" w:eastAsia="宋体" w:cs="宋体"/>
                <w:color w:val="000000"/>
                <w:kern w:val="0"/>
                <w:szCs w:val="21"/>
                <w:highlight w:val="none"/>
                <w:rtl/>
              </w:rPr>
              <w:bidi/>
            </w:pPr>
            <w:r>
              <w:rPr>
                <w:rFonts w:hint="eastAsia" w:ascii="宋体" w:hAnsi="宋体" w:eastAsia="宋体" w:cs="宋体"/>
                <w:color w:val="000000"/>
                <w:kern w:val="0"/>
                <w:szCs w:val="21"/>
                <w:highlight w:val="none"/>
                <w:lang w:val="en-US" w:eastAsia="zh-CN"/>
                <w:rtl/>
              </w:rPr>
              <w:t>89.29</w:t>
            </w:r>
          </w:p>
        </w:tc>
      </w:tr>
    </w:tbl>
    <w:p w14:paraId="36720D8C">
      <w:pPr>
        <w:pStyle w:val="9"/>
        <w:rPr>
          <w:rFonts w:hint="eastAsia" w:ascii="宋体" w:hAnsi="宋体" w:eastAsia="宋体" w:cs="宋体"/>
          <w:color w:val="auto"/>
          <w:highlight w:val="none"/>
          <w:rtl/>
        </w:rPr>
        <w:bidi/>
      </w:pPr>
    </w:p>
    <w:p w14:paraId="6F8A86DA">
      <w:pPr>
        <w:pStyle w:val="49"/>
        <w:snapToGrid w:val="0"/>
        <w:rPr>
          <w:rFonts w:hint="eastAsia" w:ascii="宋体" w:hAnsi="宋体" w:eastAsia="宋体" w:cs="宋体"/>
          <w:color w:val="auto"/>
          <w:sz w:val="21"/>
          <w:szCs w:val="20"/>
          <w:highlight w:val="none"/>
          <w:lang w:val="en-US" w:eastAsia="zh-CN"/>
          <w:rtl/>
        </w:rPr>
        <w:bidi/>
      </w:pPr>
      <w:r>
        <w:rPr>
          <w:rFonts w:hint="eastAsia" w:ascii="宋体" w:hAnsi="宋体" w:eastAsia="宋体" w:cs="宋体"/>
          <w:color w:val="auto"/>
          <w:sz w:val="21"/>
          <w:szCs w:val="20"/>
          <w:highlight w:val="none"/>
          <w:rtl/>
        </w:rPr>
        <w:t>إعداد: ليو شياو غوانغ، تاريخ: ١٣ مارس ٢٠٢٥، مراجعة: لي بي تشو</w:t>
      </w:r>
    </w:p>
    <w:p w14:paraId="21861A54">
      <w:pPr>
        <w:pStyle w:val="9"/>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تحليل البيانات:</w:t>
      </w:r>
    </w:p>
    <w:p w14:paraId="2B1303D8">
      <w:pPr>
        <w:pStyle w:val="9"/>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أظهرت نتائج اختبار الزجاجة أنه عند تركيز حقن مزيل الاستحلاب B بمقدار 250 جزءًا في المليون، بلغ معدل التجفيف النهائي 71.43%، ثم ارتفع إلى 75-80% عند تركيز 300-400 جزء في المليون. يتضح أن تركيز 250 جزءًا في المليون يضمن التأثير الأساسي للتجفيف. مع أن زيادة التركيز قد تُحسّن بعض المؤشرات، إلا أن إمكانية توفير الدواء تبقى محدودة.</w:t>
      </w:r>
    </w:p>
    <w:p w14:paraId="61B6A337">
      <w:pPr>
        <w:pStyle w:val="4"/>
        <w:rPr>
          <w:rFonts w:hint="default" w:ascii="宋体" w:hAnsi="宋体" w:eastAsia="宋体" w:cs="宋体"/>
          <w:lang w:val="en-US" w:eastAsia="zh-CN"/>
          <w:rtl/>
        </w:rPr>
      </w:pPr>
      <w:bookmarkStart w:id="22" w:name="_Toc15691"/>
      <w:r>
        <w:rPr>
          <w:rFonts w:hint="eastAsia" w:ascii="宋体" w:hAnsi="宋体" w:eastAsia="宋体" w:cs="宋体"/>
          <w:rtl/>
        </w:rPr>
        <w:t xml:space="preserve">4.3 إحصائيات الإنتاج اليومي من النفط الخام</w:t>
      </w:r>
      <w:bookmarkEnd w:id="22"/>
      <w:bookmarkStart w:id="51" w:name="_GoBack"/>
      <w:bookmarkEnd w:id="51"/>
    </w:p>
    <w:p w14:paraId="030CE33C">
      <w:pPr>
        <w:pStyle w:val="9"/>
        <w:rPr>
          <w:rFonts w:hint="eastAsia" w:cs="宋体"/>
          <w:color w:val="auto"/>
          <w:highlight w:val="none"/>
          <w:lang w:val="en-US" w:eastAsia="zh-CN"/>
          <w:rtl/>
        </w:rPr>
        <w:bidi/>
      </w:pPr>
      <w:r>
        <w:rPr>
          <w:rFonts w:hint="eastAsia" w:ascii="宋体" w:hAnsi="宋体" w:eastAsia="宋体" w:cs="宋体"/>
          <w:color w:val="auto"/>
          <w:highlight w:val="none"/>
          <w:lang w:val="en-US" w:eastAsia="zh-CN"/>
          <w:rtl/>
        </w:rPr>
        <w:t>جمعت المجموعة إحصاءات حول متوسط ​​الإنتاج اليومي للنفط الخام من محطات المعالجة الطرفية خلال الفترة من يونيو 2024 إلى مارس 2025. وبلغ متوسط ​​إنتاج النفط الخام على مدى الأشهر العشرة ما يقارب...</w:t>
      </w:r>
      <w:r>
        <w:rPr>
          <w:rFonts w:hint="eastAsia" w:cs="宋体"/>
          <w:color w:val="auto"/>
          <w:highlight w:val="none"/>
          <w:lang w:val="en-US" w:eastAsia="zh-CN"/>
          <w:rtl/>
        </w:rPr>
        <w:t>3033912</w:t>
      </w:r>
      <w:r>
        <w:rPr>
          <w:rFonts w:hint="eastAsia" w:ascii="宋体" w:hAnsi="宋体" w:eastAsia="宋体" w:cs="宋体"/>
          <w:color w:val="auto"/>
          <w:highlight w:val="none"/>
          <w:lang w:val="en-US" w:eastAsia="zh-CN"/>
          <w:rtl/>
        </w:rPr>
        <w:t>خلال اختبار مزيلات الاستحلاب A و B، ظل متوسط ​​إنتاج النفط الخام اليومي مستقرًا بشكل أساسي.</w:t>
      </w:r>
      <w:r>
        <w:rPr>
          <w:rFonts w:hint="eastAsia" w:cs="宋体"/>
          <w:color w:val="auto"/>
          <w:highlight w:val="none"/>
          <w:lang w:val="en-US" w:eastAsia="zh-CN"/>
          <w:rtl/>
        </w:rPr>
        <w:t>.</w:t>
      </w:r>
    </w:p>
    <w:tbl>
      <w:tblPr>
        <w:tblStyle w:val="20"/>
        <w:tblW w:w="0" w:type="auto"/>
        <w:tblInd w:w="1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79"/>
        <w:gridCol w:w="4643"/>
      </w:tblGrid>
      <w:tr w14:paraId="4D38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68FAE447">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b/>
                <w:bCs/>
                <w:i w:val="0"/>
                <w:iCs w:val="0"/>
                <w:color w:val="000000"/>
                <w:kern w:val="0"/>
                <w:sz w:val="24"/>
                <w:szCs w:val="24"/>
                <w:u w:val="none"/>
                <w:lang w:val="en-US" w:eastAsia="zh-CN" w:bidi="ar"/>
                <w:rtl/>
              </w:rPr>
              <w:t>تاريخ</w:t>
            </w:r>
          </w:p>
        </w:tc>
        <w:tc>
          <w:tcPr>
            <w:tcW w:w="4643" w:type="dxa"/>
            <w:vAlign w:val="center"/>
          </w:tcPr>
          <w:p w14:paraId="0661C108">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b/>
                <w:bCs/>
                <w:i w:val="0"/>
                <w:iCs w:val="0"/>
                <w:color w:val="000000"/>
                <w:kern w:val="0"/>
                <w:sz w:val="24"/>
                <w:szCs w:val="24"/>
                <w:u w:val="none"/>
                <w:lang w:val="en-US" w:eastAsia="zh-CN" w:bidi="ar"/>
                <w:rtl/>
              </w:rPr>
              <w:t>متوسط ​​الإنتاج اليومي/برميل</w:t>
            </w:r>
          </w:p>
        </w:tc>
      </w:tr>
      <w:tr w14:paraId="6271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79" w:type="dxa"/>
            <w:vAlign w:val="center"/>
          </w:tcPr>
          <w:p w14:paraId="45B3DA45">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يونيو 2024</w:t>
            </w:r>
          </w:p>
        </w:tc>
        <w:tc>
          <w:tcPr>
            <w:tcW w:w="4643" w:type="dxa"/>
            <w:vAlign w:val="center"/>
          </w:tcPr>
          <w:p w14:paraId="3642DAE5">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293602</w:t>
            </w:r>
          </w:p>
        </w:tc>
      </w:tr>
      <w:tr w14:paraId="3765C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385CDD0D">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يوليو 2024</w:t>
            </w:r>
          </w:p>
        </w:tc>
        <w:tc>
          <w:tcPr>
            <w:tcW w:w="4643" w:type="dxa"/>
            <w:vAlign w:val="center"/>
          </w:tcPr>
          <w:p w14:paraId="77C03169">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301447</w:t>
            </w:r>
          </w:p>
        </w:tc>
      </w:tr>
      <w:tr w14:paraId="37F0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7B223DCB">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أغسطس 2024</w:t>
            </w:r>
          </w:p>
        </w:tc>
        <w:tc>
          <w:tcPr>
            <w:tcW w:w="4643" w:type="dxa"/>
            <w:vAlign w:val="center"/>
          </w:tcPr>
          <w:p w14:paraId="04814E6D">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295833</w:t>
            </w:r>
          </w:p>
        </w:tc>
      </w:tr>
      <w:tr w14:paraId="427A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681A9734">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سبتمبر 2024</w:t>
            </w:r>
          </w:p>
        </w:tc>
        <w:tc>
          <w:tcPr>
            <w:tcW w:w="4643" w:type="dxa"/>
            <w:vAlign w:val="center"/>
          </w:tcPr>
          <w:p w14:paraId="39677B5F">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297609</w:t>
            </w:r>
          </w:p>
        </w:tc>
      </w:tr>
      <w:tr w14:paraId="05E87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02103BDD">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أكتوبر 2024</w:t>
            </w:r>
          </w:p>
        </w:tc>
        <w:tc>
          <w:tcPr>
            <w:tcW w:w="4643" w:type="dxa"/>
            <w:vAlign w:val="center"/>
          </w:tcPr>
          <w:p w14:paraId="3FC13E6C">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295606</w:t>
            </w:r>
          </w:p>
        </w:tc>
      </w:tr>
      <w:tr w14:paraId="191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79" w:type="dxa"/>
            <w:vAlign w:val="center"/>
          </w:tcPr>
          <w:p w14:paraId="0A0DF3AE">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نوفمبر 2024</w:t>
            </w:r>
          </w:p>
        </w:tc>
        <w:tc>
          <w:tcPr>
            <w:tcW w:w="4643" w:type="dxa"/>
            <w:vAlign w:val="center"/>
          </w:tcPr>
          <w:p w14:paraId="514FD6A3">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298631</w:t>
            </w:r>
          </w:p>
        </w:tc>
      </w:tr>
      <w:tr w14:paraId="277B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5E6957A8">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ديسمبر 2024</w:t>
            </w:r>
          </w:p>
        </w:tc>
        <w:tc>
          <w:tcPr>
            <w:tcW w:w="4643" w:type="dxa"/>
            <w:vAlign w:val="center"/>
          </w:tcPr>
          <w:p w14:paraId="003E0F84">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297715</w:t>
            </w:r>
          </w:p>
        </w:tc>
      </w:tr>
      <w:tr w14:paraId="79F3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7A0DF243">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يناير 2025</w:t>
            </w:r>
          </w:p>
        </w:tc>
        <w:tc>
          <w:tcPr>
            <w:tcW w:w="4643" w:type="dxa"/>
            <w:vAlign w:val="center"/>
          </w:tcPr>
          <w:p w14:paraId="2764D3B0">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300995</w:t>
            </w:r>
          </w:p>
        </w:tc>
      </w:tr>
      <w:tr w14:paraId="37B43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2635C68A">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فبراير 2025</w:t>
            </w:r>
          </w:p>
        </w:tc>
        <w:tc>
          <w:tcPr>
            <w:tcW w:w="4643" w:type="dxa"/>
            <w:vAlign w:val="center"/>
          </w:tcPr>
          <w:p w14:paraId="5D63EB38">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304107</w:t>
            </w:r>
          </w:p>
        </w:tc>
      </w:tr>
      <w:tr w14:paraId="306A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79" w:type="dxa"/>
            <w:vAlign w:val="center"/>
          </w:tcPr>
          <w:p w14:paraId="6E29DC0B">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مارس 2025</w:t>
            </w:r>
          </w:p>
        </w:tc>
        <w:tc>
          <w:tcPr>
            <w:tcW w:w="4643" w:type="dxa"/>
            <w:vAlign w:val="center"/>
          </w:tcPr>
          <w:p w14:paraId="49E106BF">
            <w:pPr>
              <w:keepNext w:val="0"/>
              <w:keepLines w:val="0"/>
              <w:widowControl/>
              <w:suppressLineNumbers w:val="0"/>
              <w:jc w:val="center"/>
              <w:textAlignment w:val="center"/>
              <w:rPr>
                <w:rFonts w:hint="eastAsia" w:cs="宋体"/>
                <w:color w:val="auto"/>
                <w:sz w:val="24"/>
                <w:szCs w:val="24"/>
                <w:highlight w:val="none"/>
                <w:vertAlign w:val="baseline"/>
                <w:lang w:val="en-US" w:eastAsia="zh-CN"/>
                <w:rtl/>
              </w:rPr>
              <w:bidi/>
            </w:pPr>
            <w:r>
              <w:rPr>
                <w:rFonts w:hint="eastAsia" w:ascii="宋体" w:hAnsi="宋体" w:eastAsia="宋体" w:cs="宋体"/>
                <w:i w:val="0"/>
                <w:iCs w:val="0"/>
                <w:color w:val="000000"/>
                <w:kern w:val="0"/>
                <w:sz w:val="24"/>
                <w:szCs w:val="24"/>
                <w:u w:val="none"/>
                <w:lang w:val="en-US" w:eastAsia="zh-CN" w:bidi="ar"/>
                <w:rtl/>
              </w:rPr>
              <w:t>303073</w:t>
            </w:r>
          </w:p>
        </w:tc>
      </w:tr>
    </w:tbl>
    <w:p w14:paraId="372B99DB">
      <w:pPr>
        <w:pStyle w:val="4"/>
        <w:rPr>
          <w:rFonts w:hint="eastAsia" w:ascii="宋体" w:hAnsi="宋体" w:eastAsia="宋体" w:cs="宋体"/>
          <w:lang w:val="en-US" w:eastAsia="zh-CN"/>
          <w:rtl/>
        </w:rPr>
      </w:pPr>
      <w:r>
        <w:rPr>
          <w:rFonts w:hint="eastAsia" w:ascii="宋体" w:hAnsi="宋体" w:eastAsia="宋体" w:cs="宋体"/>
          <w:rtl/>
        </w:rPr>
        <w:t>4.4 استنتاج جدوى الهدف</w:t>
      </w:r>
    </w:p>
    <w:p w14:paraId="28283E38">
      <w:pPr>
        <w:pStyle w:val="9"/>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من خلال تصنيف ومقارنة بيانات الاختبار الميداني لمزيل الاستحلاب A ونتائج اختبار الزجاجة لمزيل الاستحلاب B، يمكن ملاحظة ما يلي:</w:t>
      </w:r>
    </w:p>
    <w:p w14:paraId="1DCE7357">
      <w:pPr>
        <w:pStyle w:val="9"/>
        <w:numPr>
          <w:ilvl w:val="1"/>
          <w:numId w:val="3"/>
        </w:numPr>
        <w:ind w:left="840" w:leftChars="0" w:hanging="420" w:firstLineChars="0"/>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عندما يكون التركيز حوالي 250 جزءًا في المليون، يمكن لكلا مزيلي المستحلب تلبية متطلبات فصل الزيت عن الماء والنقل الخارجي.</w:t>
      </w:r>
    </w:p>
    <w:p w14:paraId="3461E22F">
      <w:pPr>
        <w:pStyle w:val="9"/>
        <w:numPr>
          <w:ilvl w:val="1"/>
          <w:numId w:val="3"/>
        </w:numPr>
        <w:ind w:left="840" w:leftChars="0" w:hanging="420" w:firstLineChars="0"/>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تشير البيانات التجريبية الحالية إلى أن خفض التركيز إلى 250 جزءًا في المليون لا يؤثر على جودة معالجة النفط الخام؛</w:t>
      </w:r>
    </w:p>
    <w:p w14:paraId="21E0132C">
      <w:pPr>
        <w:pStyle w:val="9"/>
        <w:numPr>
          <w:ilvl w:val="1"/>
          <w:numId w:val="3"/>
        </w:numPr>
        <w:ind w:left="840" w:leftChars="0" w:hanging="420" w:firstLineChars="0"/>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يبلغ الإنتاج اليومي الحالي من النفط الخام في منطقة المعالجة المركزية حوالي 300 ألف برميل، وهو ما يتوافق بشكل أساسي مع الإنتاج خلال المرحلة التجريبية لمزيل الاستحلاب.</w:t>
      </w:r>
    </w:p>
    <w:p w14:paraId="39411E82">
      <w:pPr>
        <w:pStyle w:val="9"/>
        <w:numPr>
          <w:ilvl w:val="1"/>
          <w:numId w:val="3"/>
        </w:numPr>
        <w:ind w:left="840" w:leftChars="0" w:hanging="420" w:firstLineChars="0"/>
        <w:rPr>
          <w:rFonts w:hint="eastAsia" w:ascii="宋体" w:hAnsi="宋体" w:eastAsia="宋体" w:cs="宋体"/>
          <w:color w:val="auto"/>
          <w:highlight w:val="none"/>
          <w:lang w:val="en-US" w:eastAsia="zh-CN"/>
          <w:rtl/>
        </w:rPr>
        <w:bidi/>
      </w:pPr>
      <w:r>
        <w:rPr>
          <w:rFonts w:hint="eastAsia" w:ascii="宋体" w:hAnsi="宋体" w:eastAsia="宋体" w:cs="宋体"/>
          <w:sz w:val="24"/>
          <w:szCs w:val="24"/>
          <w:rtl/>
        </w:rPr>
        <w:t>لا يزال هناك مجال لتحسين تركيز المواد المزيلة للاستحلاب المستخدمة. ومع التحسين المستمر لإجراءات معالجة النفط الخام وخصائص السوائل الواردة، قد تصبح الجرعة الحالية غير ضرورية.</w:t>
      </w:r>
    </w:p>
    <w:p w14:paraId="1CD17C02">
      <w:pPr>
        <w:pStyle w:val="9"/>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استنادًا إلى التحليل الشامل للبيانات التجريبية والتشغيل الميداني، فإن خفض تركيز مزيل الاستحلاب إلى 250 جزءًا في المليون لن يؤثر على كفاءة معالجة النفط الخام، وهو أمر ممكن تقنيًا لضمان استقرار التشغيل. لذا، يُعدّ تحديد تركيز حقن مزيل الاستحلاب المستهدف في منطقة المعالجة المركزية عند 250 جزءًا في المليون أو أقل أمرًا ممكنًا.</w:t>
      </w:r>
    </w:p>
    <w:p w14:paraId="16441C45">
      <w:pPr>
        <w:pStyle w:val="3"/>
        <w:numPr>
          <w:ilvl w:val="0"/>
          <w:numId w:val="1"/>
        </w:numPr>
        <w:ind w:left="210" w:leftChars="0" w:firstLine="420" w:firstLineChars="0"/>
        <w:rPr>
          <w:rFonts w:hint="eastAsia" w:ascii="宋体" w:hAnsi="宋体" w:eastAsia="宋体" w:cs="宋体"/>
          <w:color w:val="auto"/>
          <w:highlight w:val="none"/>
          <w:lang w:eastAsia="zh-CN"/>
          <w:rtl/>
        </w:rPr>
      </w:pPr>
      <w:bookmarkStart w:id="23" w:name="_Toc32289"/>
      <w:r>
        <w:rPr>
          <w:rFonts w:hint="eastAsia" w:ascii="宋体" w:hAnsi="宋体" w:eastAsia="宋体" w:cs="宋体"/>
          <w:color w:val="auto"/>
          <w:highlight w:val="none"/>
          <w:rtl/>
        </w:rPr>
        <w:t>تحليل الأسباب</w:t>
      </w:r>
      <w:bookmarkEnd w:id="23"/>
    </w:p>
    <w:p w14:paraId="050E44BC">
      <w:pPr>
        <w:pStyle w:val="9"/>
        <w:rPr>
          <w:rFonts w:hint="eastAsia" w:ascii="宋体" w:hAnsi="宋体" w:eastAsia="宋体" w:cs="宋体"/>
          <w:color w:val="auto"/>
          <w:highlight w:val="none"/>
          <w:rtl/>
        </w:rPr>
        <w:bidi/>
      </w:pPr>
      <w:r>
        <w:rPr>
          <w:rFonts w:hint="eastAsia" w:ascii="宋体" w:hAnsi="宋体" w:eastAsia="宋体" w:cs="宋体"/>
          <w:color w:val="auto"/>
          <w:highlight w:val="none"/>
          <w:lang w:val="en-US" w:eastAsia="zh-CN"/>
          <w:rtl/>
        </w:rPr>
        <w:t>ناقشت المجموعة العوامل التي تؤثر على فعالية علاج مزيل الاستحلاب، وقامت بتحليل العوامل التي قد تؤثر على فعالية علاج مزيل الاستحلاب في منطقة العلاج المركزية.</w:t>
      </w:r>
    </w:p>
    <w:p w14:paraId="0DB8F8AB">
      <w:pPr>
        <w:pStyle w:val="9"/>
        <w:jc w:val="center"/>
        <w:rPr>
          <w:rFonts w:hint="eastAsia" w:ascii="宋体" w:hAnsi="宋体" w:eastAsia="宋体" w:cs="宋体"/>
          <w:color w:val="auto"/>
          <w:sz w:val="21"/>
          <w:szCs w:val="21"/>
          <w:highlight w:val="none"/>
          <w:rtl/>
        </w:rPr>
        <w:bidi/>
      </w:pPr>
    </w:p>
    <w:p w14:paraId="0F7B6975">
      <w:pPr>
        <w:pStyle w:val="9"/>
        <w:jc w:val="center"/>
        <w:rPr>
          <w:rFonts w:hint="eastAsia" w:ascii="宋体" w:hAnsi="宋体" w:eastAsia="宋体" w:cs="宋体"/>
          <w:color w:val="auto"/>
          <w:sz w:val="21"/>
          <w:szCs w:val="21"/>
          <w:highlight w:val="none"/>
          <w:rtl/>
        </w:rPr>
        <w:bidi/>
      </w:pPr>
    </w:p>
    <w:p w14:paraId="55E23128">
      <w:pPr>
        <w:pStyle w:val="9"/>
        <w:ind w:left="0" w:leftChars="0" w:firstLine="0" w:firstLineChars="0"/>
        <w:jc w:val="both"/>
        <w:rPr>
          <w:rFonts w:hint="eastAsia" w:ascii="宋体" w:hAnsi="宋体" w:eastAsia="宋体" w:cs="宋体"/>
          <w:color w:val="auto"/>
          <w:sz w:val="21"/>
          <w:szCs w:val="21"/>
          <w:highlight w:val="none"/>
          <w:lang w:eastAsia="zh-CN"/>
          <w:rtl/>
        </w:rPr>
        <w:bidi/>
      </w:pPr>
      <w:r>
        <w:rPr>
          <w:rFonts w:hint="eastAsia" w:ascii="宋体" w:hAnsi="宋体" w:eastAsia="宋体" w:cs="宋体"/>
          <w:color w:val="auto"/>
          <w:sz w:val="21"/>
          <w:szCs w:val="21"/>
          <w:highlight w:val="none"/>
          <w:lang w:eastAsia="zh-CN"/>
          <w:rtl/>
        </w:rPr>
        <w:drawing>
          <wp:inline distT="0" distB="0" distL="114300" distR="114300">
            <wp:extent cx="5754370" cy="2584450"/>
            <wp:effectExtent l="0" t="0" r="17780" b="6350"/>
            <wp:docPr id="19" name="图片 19"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1)"/>
                    <pic:cNvPicPr>
                      <a:picLocks noChangeAspect="1"/>
                    </pic:cNvPicPr>
                  </pic:nvPicPr>
                  <pic:blipFill>
                    <a:blip r:embed="rId18"/>
                    <a:stretch>
                      <a:fillRect/>
                    </a:stretch>
                  </pic:blipFill>
                  <pic:spPr>
                    <a:xfrm>
                      <a:off x="0" y="0"/>
                      <a:ext cx="5754370" cy="2584450"/>
                    </a:xfrm>
                    <a:prstGeom prst="rect">
                      <a:avLst/>
                    </a:prstGeom>
                  </pic:spPr>
                </pic:pic>
              </a:graphicData>
            </a:graphic>
          </wp:inline>
        </w:drawing>
      </w:r>
    </w:p>
    <w:p w14:paraId="16245EBA">
      <w:pPr>
        <w:pStyle w:val="9"/>
        <w:jc w:val="center"/>
        <w:rPr>
          <w:rFonts w:hint="eastAsia" w:ascii="宋体" w:hAnsi="宋体" w:eastAsia="宋体" w:cs="宋体"/>
          <w:rtl/>
        </w:rPr>
        <w:bidi/>
      </w:pPr>
      <w:r>
        <w:rPr>
          <w:rFonts w:hint="eastAsia" w:ascii="宋体" w:hAnsi="宋体" w:eastAsia="宋体" w:cs="宋体"/>
          <w:color w:val="auto"/>
          <w:sz w:val="21"/>
          <w:szCs w:val="21"/>
          <w:highlight w:val="none"/>
          <w:rtl/>
        </w:rPr>
        <w:t>الشكل 5-1: تحليل تأثير معالجة مزيل الاستحلاب</w:t>
      </w:r>
    </w:p>
    <w:p w14:paraId="7FFAF788">
      <w:pPr>
        <w:pStyle w:val="9"/>
        <w:ind w:left="0" w:leftChars="0" w:firstLine="0" w:firstLineChars="0"/>
        <w:jc w:val="both"/>
        <w:rPr>
          <w:rFonts w:hint="eastAsia" w:ascii="宋体" w:hAnsi="宋体" w:eastAsia="宋体" w:cs="宋体"/>
          <w:lang w:eastAsia="zh-CN"/>
          <w:rtl/>
        </w:rPr>
        <w:bidi/>
      </w:pPr>
    </w:p>
    <w:p w14:paraId="4183E7AA">
      <w:pPr>
        <w:pStyle w:val="49"/>
        <w:rPr>
          <w:rFonts w:hint="eastAsia" w:ascii="宋体" w:hAnsi="宋体" w:eastAsia="宋体" w:cs="宋体"/>
          <w:color w:val="auto"/>
          <w:sz w:val="21"/>
          <w:szCs w:val="20"/>
          <w:highlight w:val="none"/>
          <w:lang w:eastAsia="zh-CN"/>
          <w:rtl/>
        </w:rPr>
        <w:bidi/>
      </w:pPr>
      <w:r>
        <w:rPr>
          <w:rFonts w:hint="eastAsia" w:ascii="宋体" w:hAnsi="宋体" w:eastAsia="宋体" w:cs="宋体"/>
          <w:color w:val="auto"/>
          <w:sz w:val="21"/>
          <w:szCs w:val="20"/>
          <w:highlight w:val="none"/>
          <w:rtl/>
        </w:rPr>
        <w:t>رسام الخرائط: نيو يانمينغ التاريخ: 5 أبريل 2025 المراجع: لي بيتشو</w:t>
      </w:r>
    </w:p>
    <w:p w14:paraId="7ED7A9FF">
      <w:pPr>
        <w:pStyle w:val="9"/>
        <w:keepNext w:val="0"/>
        <w:keepLines w:val="0"/>
        <w:pageBreakBefore w:val="0"/>
        <w:widowControl w:val="0"/>
        <w:numPr>
          <w:ilvl w:val="0"/>
          <w:numId w:val="0"/>
        </w:numPr>
        <w:kinsoku/>
        <w:wordWrap/>
        <w:overflowPunct/>
        <w:topLinePunct w:val="0"/>
        <w:autoSpaceDE/>
        <w:autoSpaceDN/>
        <w:adjustRightInd/>
        <w:snapToGrid/>
        <w:ind w:firstLine="480" w:firstLineChars="200"/>
        <w:textAlignment w:val="auto"/>
        <w:rPr>
          <w:rFonts w:hint="eastAsia" w:ascii="宋体" w:hAnsi="宋体" w:eastAsia="宋体" w:cs="宋体"/>
          <w:color w:val="auto"/>
          <w:highlight w:val="none"/>
          <w:lang w:val="en-US" w:eastAsia="zh-CN"/>
          <w:rtl/>
        </w:rPr>
      </w:pPr>
      <w:r>
        <w:rPr>
          <w:rFonts w:hint="eastAsia" w:ascii="宋体" w:hAnsi="宋体" w:eastAsia="宋体" w:cs="宋体"/>
          <w:color w:val="auto"/>
          <w:highlight w:val="none"/>
          <w:lang w:val="en-US" w:eastAsia="zh-CN"/>
          <w:rtl/>
        </w:rPr>
        <w:t>بعد التحليل والمناقشة من قبل الفريق، تم تحديد العوامل الرئيسية الثلاثة التالية باعتبارها تؤثر على فعالية مزيل الاستحلاب في منطقة المعالجة المركزية:</w:t>
      </w:r>
    </w:p>
    <w:p w14:paraId="02B5D3DD">
      <w:pPr>
        <w:pStyle w:val="9"/>
        <w:numPr>
          <w:ilvl w:val="0"/>
          <w:numId w:val="4"/>
        </w:numPr>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درجة حرارة النفط الخام منخفضة؛</w:t>
      </w:r>
    </w:p>
    <w:p w14:paraId="378512B3">
      <w:pPr>
        <w:pStyle w:val="9"/>
        <w:numPr>
          <w:ilvl w:val="0"/>
          <w:numId w:val="4"/>
        </w:numPr>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يتميز النفط الخام بخصائص فيزيائية رديئة؛</w:t>
      </w:r>
    </w:p>
    <w:p w14:paraId="635AA997">
      <w:pPr>
        <w:pStyle w:val="9"/>
        <w:numPr>
          <w:ilvl w:val="0"/>
          <w:numId w:val="4"/>
        </w:numPr>
        <w:rPr>
          <w:rFonts w:hint="eastAsia" w:ascii="宋体" w:hAnsi="宋体" w:eastAsia="宋体" w:cs="宋体"/>
          <w:color w:val="auto"/>
          <w:highlight w:val="none"/>
          <w:lang w:val="en-US" w:eastAsia="zh-CN"/>
          <w:rtl/>
        </w:rPr>
        <w:bidi/>
      </w:pPr>
      <w:r>
        <w:rPr>
          <w:rFonts w:hint="eastAsia" w:ascii="宋体" w:hAnsi="宋体" w:eastAsia="宋体" w:cs="宋体"/>
          <w:color w:val="auto"/>
          <w:highlight w:val="none"/>
          <w:lang w:val="en-US" w:eastAsia="zh-CN"/>
          <w:rtl/>
        </w:rPr>
        <w:t>استراتيجية المراهنة غير معقولة.</w:t>
      </w:r>
    </w:p>
    <w:p w14:paraId="4FF57F9C">
      <w:pPr>
        <w:pStyle w:val="3"/>
        <w:numPr>
          <w:ilvl w:val="0"/>
          <w:numId w:val="1"/>
        </w:numPr>
        <w:ind w:left="210" w:leftChars="0" w:firstLine="420" w:firstLineChars="0"/>
        <w:rPr>
          <w:rFonts w:hint="eastAsia" w:ascii="宋体" w:hAnsi="宋体" w:eastAsia="宋体" w:cs="宋体"/>
          <w:color w:val="auto"/>
          <w:highlight w:val="none"/>
          <w:rtl/>
        </w:rPr>
      </w:pPr>
      <w:bookmarkStart w:id="24" w:name="_Toc22659"/>
      <w:r>
        <w:rPr>
          <w:rFonts w:hint="eastAsia" w:ascii="宋体" w:hAnsi="宋体" w:eastAsia="宋体" w:cs="宋体"/>
          <w:color w:val="auto"/>
          <w:highlight w:val="none"/>
          <w:rtl/>
        </w:rPr>
        <w:t>حدد السبب الرئيسي</w:t>
      </w:r>
      <w:bookmarkEnd w:id="24"/>
    </w:p>
    <w:p w14:paraId="7434A732">
      <w:pPr>
        <w:pStyle w:val="9"/>
        <w:keepNext w:val="0"/>
        <w:keepLines w:val="0"/>
        <w:pageBreakBefore w:val="0"/>
        <w:widowControl w:val="0"/>
        <w:kinsoku/>
        <w:wordWrap/>
        <w:overflowPunct/>
        <w:topLinePunct w:val="0"/>
        <w:autoSpaceDE/>
        <w:autoSpaceDN/>
        <w:adjustRightInd/>
        <w:snapToGrid/>
        <w:textAlignment w:val="auto"/>
        <w:rPr>
          <w:rFonts w:hint="eastAsia" w:ascii="宋体" w:hAnsi="宋体" w:eastAsia="宋体" w:cs="宋体"/>
          <w:color w:val="auto"/>
          <w:highlight w:val="none"/>
          <w:lang w:eastAsia="zh-CN"/>
          <w:rtl/>
        </w:rPr>
      </w:pPr>
      <w:r>
        <w:rPr>
          <w:rFonts w:hint="eastAsia" w:ascii="宋体" w:hAnsi="宋体" w:eastAsia="宋体" w:cs="宋体"/>
          <w:color w:val="auto"/>
          <w:highlight w:val="none"/>
          <w:lang w:eastAsia="zh-CN"/>
          <w:rtl/>
        </w:rPr>
        <w:t>قمنا بتصنيف العوامل المؤثرة على فعالية مزيل الاستحلاب في مناطق المعالجة المركزية الثلاث، ووضعنا خطة تأكيد. تم تكليف أعضاء الفريق بأدوار مختلفة، وأجروا التأكيد من خلال أخذ العينات والاختبار، ومقارنة البيانات، والتحقق التجريبي لتحديد الأسباب الجذرية في نهاية المطاف.</w:t>
      </w:r>
    </w:p>
    <w:p w14:paraId="0EF44E83">
      <w:pPr>
        <w:pStyle w:val="9"/>
        <w:keepNext w:val="0"/>
        <w:keepLines w:val="0"/>
        <w:pageBreakBefore w:val="0"/>
        <w:widowControl w:val="0"/>
        <w:kinsoku/>
        <w:wordWrap/>
        <w:overflowPunct/>
        <w:topLinePunct w:val="0"/>
        <w:autoSpaceDE/>
        <w:autoSpaceDN/>
        <w:adjustRightInd/>
        <w:snapToGrid/>
        <w:textAlignment w:val="auto"/>
        <w:rPr>
          <w:rFonts w:hint="eastAsia" w:ascii="宋体" w:hAnsi="宋体" w:eastAsia="宋体" w:cs="宋体"/>
          <w:color w:val="auto"/>
          <w:highlight w:val="none"/>
          <w:lang w:eastAsia="zh-CN"/>
          <w:rtl/>
        </w:rPr>
      </w:pPr>
      <w:r>
        <w:rPr>
          <w:rFonts w:hint="eastAsia" w:ascii="宋体" w:hAnsi="宋体" w:eastAsia="宋体" w:cs="宋体"/>
          <w:color w:val="auto"/>
          <w:highlight w:val="none"/>
          <w:lang w:val="en-US" w:eastAsia="zh-CN"/>
          <w:rtl/>
        </w:rPr>
        <w:t>لمعالجة العوامل المختلفة التي قد تؤثر على فعالية معالجة مزيل الاستحلاب، أجرى الفريق اختبارات متعددة على زجاجات مزيل الاستحلاب على عينات زيت مختلطة من محطات إزالة الغازات المختلفة، وقام بتحليل بيانات الاختبار لاستكشاف جدوى تقليل تركيز حقن مزيل الاستحلاب إلى 250 جزءًا في المليون.</w:t>
      </w:r>
    </w:p>
    <w:p w14:paraId="48DEC764">
      <w:pPr>
        <w:pStyle w:val="49"/>
        <w:snapToGrid w:val="0"/>
        <w:rPr>
          <w:rFonts w:hint="eastAsia" w:ascii="宋体" w:hAnsi="宋体" w:eastAsia="宋体" w:cs="宋体"/>
          <w:color w:val="auto"/>
          <w:sz w:val="21"/>
          <w:szCs w:val="20"/>
          <w:highlight w:val="none"/>
          <w:rtl/>
        </w:rPr>
        <w:bidi/>
      </w:pPr>
      <w:r>
        <w:rPr>
          <w:rFonts w:hint="eastAsia" w:ascii="宋体" w:hAnsi="宋体" w:eastAsia="宋体" w:cs="宋体"/>
          <w:color w:val="auto"/>
          <w:sz w:val="21"/>
          <w:szCs w:val="20"/>
          <w:highlight w:val="none"/>
          <w:rtl/>
        </w:rPr>
        <w:t>الجدول 6-1 خطة تأكيد السبب الجذري</w:t>
      </w:r>
    </w:p>
    <w:tbl>
      <w:tblPr>
        <w:tblStyle w:val="19"/>
        <w:tblW w:w="8856" w:type="dxa"/>
        <w:jc w:val="center"/>
        <w:tblLayout w:type="autofit"/>
        <w:tblCellMar>
          <w:top w:w="0" w:type="dxa"/>
          <w:left w:w="108" w:type="dxa"/>
          <w:bottom w:w="0" w:type="dxa"/>
          <w:right w:w="108" w:type="dxa"/>
        </w:tblCellMar>
      </w:tblPr>
      <w:tblGrid>
        <w:gridCol w:w="785"/>
        <w:gridCol w:w="977"/>
        <w:gridCol w:w="1431"/>
        <w:gridCol w:w="2158"/>
        <w:gridCol w:w="1232"/>
        <w:gridCol w:w="1158"/>
        <w:gridCol w:w="1115"/>
      </w:tblGrid>
      <w:tr w14:paraId="31B13445">
        <w:tblPrEx>
          <w:tblCellMar>
            <w:top w:w="0" w:type="dxa"/>
            <w:left w:w="108" w:type="dxa"/>
            <w:bottom w:w="0" w:type="dxa"/>
            <w:right w:w="108" w:type="dxa"/>
          </w:tblCellMar>
        </w:tblPrEx>
        <w:trPr>
          <w:trHeight w:val="854" w:hRule="atLeast"/>
          <w:jc w:val="center"/>
        </w:trPr>
        <w:tc>
          <w:tcPr>
            <w:tcW w:w="785" w:type="dxa"/>
            <w:tcBorders>
              <w:top w:val="single" w:color="auto" w:sz="8" w:space="0"/>
              <w:left w:val="single" w:color="auto" w:sz="8" w:space="0"/>
              <w:bottom w:val="single" w:color="auto" w:sz="8" w:space="0"/>
              <w:right w:val="single" w:color="auto" w:sz="8" w:space="0"/>
            </w:tcBorders>
            <w:shd w:val="clear" w:color="000000" w:fill="FFFFFF"/>
            <w:vAlign w:val="center"/>
          </w:tcPr>
          <w:p w14:paraId="310CDBC3">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رقم سري</w:t>
            </w:r>
          </w:p>
        </w:tc>
        <w:tc>
          <w:tcPr>
            <w:tcW w:w="977" w:type="dxa"/>
            <w:tcBorders>
              <w:top w:val="single" w:color="auto" w:sz="8" w:space="0"/>
              <w:left w:val="nil"/>
              <w:bottom w:val="single" w:color="auto" w:sz="8" w:space="0"/>
              <w:right w:val="single" w:color="auto" w:sz="8" w:space="0"/>
            </w:tcBorders>
            <w:shd w:val="clear" w:color="000000" w:fill="FFFFFF"/>
            <w:vAlign w:val="center"/>
          </w:tcPr>
          <w:p w14:paraId="1752F6E3">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العوامل المؤثرة</w:t>
            </w:r>
          </w:p>
        </w:tc>
        <w:tc>
          <w:tcPr>
            <w:tcW w:w="1431" w:type="dxa"/>
            <w:tcBorders>
              <w:top w:val="single" w:color="auto" w:sz="8" w:space="0"/>
              <w:left w:val="nil"/>
              <w:bottom w:val="single" w:color="auto" w:sz="8" w:space="0"/>
              <w:right w:val="single" w:color="auto" w:sz="8" w:space="0"/>
            </w:tcBorders>
            <w:shd w:val="clear" w:color="000000" w:fill="FFFFFF"/>
            <w:vAlign w:val="center"/>
          </w:tcPr>
          <w:p w14:paraId="729CABCE">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طريقة التأكيد</w:t>
            </w:r>
          </w:p>
        </w:tc>
        <w:tc>
          <w:tcPr>
            <w:tcW w:w="2158" w:type="dxa"/>
            <w:tcBorders>
              <w:top w:val="single" w:color="auto" w:sz="8" w:space="0"/>
              <w:left w:val="nil"/>
              <w:bottom w:val="single" w:color="auto" w:sz="8" w:space="0"/>
              <w:right w:val="single" w:color="auto" w:sz="8" w:space="0"/>
            </w:tcBorders>
            <w:shd w:val="clear" w:color="000000" w:fill="FFFFFF"/>
            <w:vAlign w:val="center"/>
          </w:tcPr>
          <w:p w14:paraId="08AD8AA6">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محتوى التأكيد</w:t>
            </w:r>
          </w:p>
        </w:tc>
        <w:tc>
          <w:tcPr>
            <w:tcW w:w="1232" w:type="dxa"/>
            <w:tcBorders>
              <w:top w:val="single" w:color="auto" w:sz="8" w:space="0"/>
              <w:left w:val="nil"/>
              <w:bottom w:val="single" w:color="auto" w:sz="8" w:space="0"/>
              <w:right w:val="single" w:color="auto" w:sz="8" w:space="0"/>
            </w:tcBorders>
            <w:shd w:val="clear" w:color="000000" w:fill="FFFFFF"/>
            <w:vAlign w:val="center"/>
          </w:tcPr>
          <w:p w14:paraId="4AF0820D">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تأكيد الموقع</w:t>
            </w:r>
          </w:p>
        </w:tc>
        <w:tc>
          <w:tcPr>
            <w:tcW w:w="1158" w:type="dxa"/>
            <w:tcBorders>
              <w:top w:val="single" w:color="auto" w:sz="8" w:space="0"/>
              <w:left w:val="nil"/>
              <w:bottom w:val="single" w:color="auto" w:sz="8" w:space="0"/>
              <w:right w:val="single" w:color="auto" w:sz="8" w:space="0"/>
            </w:tcBorders>
            <w:shd w:val="clear" w:color="000000" w:fill="FFFFFF"/>
            <w:vAlign w:val="center"/>
          </w:tcPr>
          <w:p w14:paraId="53D642C7">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وقت التأكيد</w:t>
            </w:r>
          </w:p>
        </w:tc>
        <w:tc>
          <w:tcPr>
            <w:tcW w:w="1115" w:type="dxa"/>
            <w:tcBorders>
              <w:top w:val="single" w:color="auto" w:sz="8" w:space="0"/>
              <w:left w:val="nil"/>
              <w:bottom w:val="single" w:color="auto" w:sz="8" w:space="0"/>
              <w:right w:val="single" w:color="auto" w:sz="8" w:space="0"/>
            </w:tcBorders>
            <w:shd w:val="clear" w:color="000000" w:fill="FFFFFF"/>
            <w:vAlign w:val="center"/>
          </w:tcPr>
          <w:p w14:paraId="6DB63479">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الشخص المسؤول</w:t>
            </w:r>
          </w:p>
        </w:tc>
      </w:tr>
      <w:tr w14:paraId="5DCC952C">
        <w:tblPrEx>
          <w:tblCellMar>
            <w:top w:w="0" w:type="dxa"/>
            <w:left w:w="108" w:type="dxa"/>
            <w:bottom w:w="0" w:type="dxa"/>
            <w:right w:w="108" w:type="dxa"/>
          </w:tblCellMar>
        </w:tblPrEx>
        <w:trPr>
          <w:trHeight w:val="1051" w:hRule="atLeast"/>
          <w:jc w:val="center"/>
        </w:trPr>
        <w:tc>
          <w:tcPr>
            <w:tcW w:w="785" w:type="dxa"/>
            <w:tcBorders>
              <w:top w:val="nil"/>
              <w:left w:val="single" w:color="auto" w:sz="8" w:space="0"/>
              <w:bottom w:val="single" w:color="auto" w:sz="8" w:space="0"/>
              <w:right w:val="single" w:color="auto" w:sz="8" w:space="0"/>
            </w:tcBorders>
            <w:shd w:val="clear" w:color="000000" w:fill="D9E2F3"/>
            <w:vAlign w:val="center"/>
          </w:tcPr>
          <w:p w14:paraId="2680EB73">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w:t>
            </w:r>
          </w:p>
        </w:tc>
        <w:tc>
          <w:tcPr>
            <w:tcW w:w="977" w:type="dxa"/>
            <w:tcBorders>
              <w:top w:val="nil"/>
              <w:left w:val="nil"/>
              <w:bottom w:val="single" w:color="auto" w:sz="8" w:space="0"/>
              <w:right w:val="single" w:color="auto" w:sz="8" w:space="0"/>
            </w:tcBorders>
            <w:shd w:val="clear" w:color="000000" w:fill="D9E2F3"/>
            <w:vAlign w:val="center"/>
          </w:tcPr>
          <w:p w14:paraId="6BB32619">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درجة حرارة النفط الخام منخفضة</w:t>
            </w:r>
          </w:p>
        </w:tc>
        <w:tc>
          <w:tcPr>
            <w:tcW w:w="1431" w:type="dxa"/>
            <w:tcBorders>
              <w:top w:val="nil"/>
              <w:left w:val="nil"/>
              <w:bottom w:val="single" w:color="auto" w:sz="8" w:space="0"/>
              <w:right w:val="single" w:color="auto" w:sz="8" w:space="0"/>
            </w:tcBorders>
            <w:shd w:val="clear" w:color="000000" w:fill="D9E2F3"/>
            <w:vAlign w:val="center"/>
          </w:tcPr>
          <w:p w14:paraId="3FB85460">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تم أخذ العينات وتسخينها في حمام مائي لزيادة درجة حرارة الاختبار.</w:t>
            </w:r>
          </w:p>
        </w:tc>
        <w:tc>
          <w:tcPr>
            <w:tcW w:w="2158" w:type="dxa"/>
            <w:tcBorders>
              <w:top w:val="nil"/>
              <w:left w:val="nil"/>
              <w:bottom w:val="single" w:color="auto" w:sz="8" w:space="0"/>
              <w:right w:val="single" w:color="auto" w:sz="8" w:space="0"/>
            </w:tcBorders>
            <w:shd w:val="clear" w:color="000000" w:fill="D9E2F3"/>
            <w:vAlign w:val="center"/>
          </w:tcPr>
          <w:p w14:paraId="483E7033">
            <w:pPr>
              <w:pStyle w:val="49"/>
              <w:rPr>
                <w:rFonts w:hint="eastAsia" w:ascii="宋体" w:hAnsi="宋体" w:eastAsia="宋体" w:cs="宋体"/>
                <w:color w:val="auto"/>
                <w:szCs w:val="24"/>
                <w:highlight w:val="none"/>
                <w:lang w:val="en-US"/>
                <w:rtl/>
              </w:rPr>
              <w:bidi/>
            </w:pPr>
            <w:bookmarkStart w:id="25" w:name="OLE_LINK13"/>
            <w:r>
              <w:rPr>
                <w:rFonts w:hint="eastAsia" w:ascii="宋体" w:hAnsi="宋体" w:eastAsia="宋体" w:cs="宋体"/>
                <w:color w:val="auto"/>
                <w:szCs w:val="24"/>
                <w:highlight w:val="none"/>
                <w:rtl/>
              </w:rPr>
              <w:t>هل يمكن أن تؤدي درجات الحرارة المرتفعة إلى زيادة معدل تجفيف النفط الخام؟</w:t>
            </w:r>
            <w:bookmarkEnd w:id="25"/>
          </w:p>
        </w:tc>
        <w:tc>
          <w:tcPr>
            <w:tcW w:w="1232" w:type="dxa"/>
            <w:tcBorders>
              <w:top w:val="nil"/>
              <w:left w:val="nil"/>
              <w:bottom w:val="single" w:color="auto" w:sz="8" w:space="0"/>
              <w:right w:val="single" w:color="auto" w:sz="8" w:space="0"/>
            </w:tcBorders>
            <w:shd w:val="clear" w:color="000000" w:fill="D9E2F3"/>
            <w:vAlign w:val="center"/>
          </w:tcPr>
          <w:p w14:paraId="6612D792">
            <w:pPr>
              <w:pStyle w:val="49"/>
              <w:rPr>
                <w:rFonts w:hint="eastAsia" w:ascii="宋体" w:hAnsi="宋体" w:eastAsia="宋体" w:cs="宋体"/>
                <w:color w:val="auto"/>
                <w:szCs w:val="24"/>
                <w:highlight w:val="none"/>
                <w:rtl/>
              </w:rPr>
              <w:bidi/>
            </w:pPr>
            <w:bookmarkStart w:id="26" w:name="OLE_LINK23"/>
            <w:r>
              <w:rPr>
                <w:rFonts w:hint="eastAsia" w:ascii="宋体" w:hAnsi="宋体" w:eastAsia="宋体" w:cs="宋体"/>
                <w:color w:val="auto"/>
                <w:szCs w:val="24"/>
                <w:highlight w:val="none"/>
                <w:lang w:val="en-US" w:eastAsia="zh-CN"/>
                <w:rtl/>
              </w:rPr>
              <w:t>مختبر، ميداني</w:t>
            </w:r>
            <w:bookmarkEnd w:id="26"/>
          </w:p>
        </w:tc>
        <w:tc>
          <w:tcPr>
            <w:tcW w:w="1158" w:type="dxa"/>
            <w:tcBorders>
              <w:top w:val="nil"/>
              <w:left w:val="nil"/>
              <w:bottom w:val="single" w:color="auto" w:sz="8" w:space="0"/>
              <w:right w:val="single" w:color="auto" w:sz="8" w:space="0"/>
            </w:tcBorders>
            <w:shd w:val="clear" w:color="000000" w:fill="D9E2F3"/>
            <w:vAlign w:val="center"/>
          </w:tcPr>
          <w:p w14:paraId="3D20EA68">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14 أبريل 2025</w:t>
            </w:r>
            <w:bookmarkStart w:id="27" w:name="OLE_LINK12"/>
            <w:bookmarkEnd w:id="27"/>
          </w:p>
        </w:tc>
        <w:tc>
          <w:tcPr>
            <w:tcW w:w="1115" w:type="dxa"/>
            <w:tcBorders>
              <w:top w:val="nil"/>
              <w:left w:val="nil"/>
              <w:bottom w:val="single" w:color="auto" w:sz="8" w:space="0"/>
              <w:right w:val="single" w:color="auto" w:sz="8" w:space="0"/>
            </w:tcBorders>
            <w:shd w:val="clear" w:color="000000" w:fill="D9E2F3"/>
            <w:vAlign w:val="center"/>
          </w:tcPr>
          <w:p w14:paraId="4C448B18">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لي بيتشو</w:t>
            </w:r>
          </w:p>
          <w:p w14:paraId="6CB4D1C5">
            <w:pPr>
              <w:pStyle w:val="49"/>
              <w:rPr>
                <w:rFonts w:hint="eastAsia" w:ascii="宋体" w:hAnsi="宋体" w:eastAsia="宋体" w:cs="宋体"/>
                <w:color w:val="auto"/>
                <w:sz w:val="24"/>
                <w:szCs w:val="24"/>
                <w:highlight w:val="none"/>
                <w:lang w:val="en-US" w:eastAsia="zh-CN"/>
                <w:rtl/>
              </w:rPr>
              <w:bidi/>
            </w:pPr>
            <w:r>
              <w:rPr>
                <w:rFonts w:hint="eastAsia" w:ascii="宋体" w:hAnsi="宋体" w:eastAsia="宋体" w:cs="宋体"/>
                <w:color w:val="auto"/>
                <w:szCs w:val="24"/>
                <w:highlight w:val="none"/>
                <w:lang w:val="en-US" w:eastAsia="zh-CN"/>
                <w:rtl/>
              </w:rPr>
              <w:t>ليو شياو قوانغ</w:t>
            </w:r>
          </w:p>
        </w:tc>
      </w:tr>
      <w:tr w14:paraId="333A02EA">
        <w:tblPrEx>
          <w:tblCellMar>
            <w:top w:w="0" w:type="dxa"/>
            <w:left w:w="108" w:type="dxa"/>
            <w:bottom w:w="0" w:type="dxa"/>
            <w:right w:w="108" w:type="dxa"/>
          </w:tblCellMar>
        </w:tblPrEx>
        <w:trPr>
          <w:trHeight w:val="1051" w:hRule="atLeast"/>
          <w:jc w:val="center"/>
        </w:trPr>
        <w:tc>
          <w:tcPr>
            <w:tcW w:w="785" w:type="dxa"/>
            <w:tcBorders>
              <w:top w:val="nil"/>
              <w:left w:val="single" w:color="auto" w:sz="8" w:space="0"/>
              <w:bottom w:val="single" w:color="auto" w:sz="8" w:space="0"/>
              <w:right w:val="single" w:color="auto" w:sz="8" w:space="0"/>
            </w:tcBorders>
            <w:shd w:val="clear" w:color="auto" w:fill="auto"/>
            <w:vAlign w:val="center"/>
          </w:tcPr>
          <w:p w14:paraId="3A4159B6">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2</w:t>
            </w:r>
          </w:p>
        </w:tc>
        <w:tc>
          <w:tcPr>
            <w:tcW w:w="977" w:type="dxa"/>
            <w:tcBorders>
              <w:top w:val="nil"/>
              <w:left w:val="nil"/>
              <w:bottom w:val="single" w:color="auto" w:sz="8" w:space="0"/>
              <w:right w:val="single" w:color="auto" w:sz="8" w:space="0"/>
            </w:tcBorders>
            <w:shd w:val="clear" w:color="auto" w:fill="auto"/>
            <w:vAlign w:val="center"/>
          </w:tcPr>
          <w:p w14:paraId="781862DA">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الخصائص الفيزيائية الضعيفة للنفط الخام</w:t>
            </w:r>
          </w:p>
        </w:tc>
        <w:tc>
          <w:tcPr>
            <w:tcW w:w="1431" w:type="dxa"/>
            <w:tcBorders>
              <w:top w:val="nil"/>
              <w:left w:val="nil"/>
              <w:bottom w:val="single" w:color="auto" w:sz="8" w:space="0"/>
              <w:right w:val="single" w:color="auto" w:sz="8" w:space="0"/>
            </w:tcBorders>
            <w:shd w:val="clear" w:color="auto" w:fill="auto"/>
            <w:vAlign w:val="center"/>
          </w:tcPr>
          <w:p w14:paraId="16B44BA7">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استعلام عن بيانات خصائص السوائل في المنبع</w:t>
            </w:r>
          </w:p>
        </w:tc>
        <w:tc>
          <w:tcPr>
            <w:tcW w:w="2158" w:type="dxa"/>
            <w:tcBorders>
              <w:top w:val="nil"/>
              <w:left w:val="nil"/>
              <w:bottom w:val="single" w:color="auto" w:sz="8" w:space="0"/>
              <w:right w:val="single" w:color="auto" w:sz="8" w:space="0"/>
            </w:tcBorders>
            <w:shd w:val="clear" w:color="auto" w:fill="auto"/>
            <w:vAlign w:val="center"/>
          </w:tcPr>
          <w:p w14:paraId="0C7C12AF">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rtl/>
              </w:rPr>
              <w:t>تأكد مما إذا كان السائل الموجود في المنبع يؤثر على فعالية مزيل الاستحلاب.</w:t>
            </w:r>
          </w:p>
        </w:tc>
        <w:tc>
          <w:tcPr>
            <w:tcW w:w="1232" w:type="dxa"/>
            <w:tcBorders>
              <w:top w:val="nil"/>
              <w:left w:val="nil"/>
              <w:bottom w:val="single" w:color="auto" w:sz="8" w:space="0"/>
              <w:right w:val="single" w:color="auto" w:sz="8" w:space="0"/>
            </w:tcBorders>
            <w:shd w:val="clear" w:color="auto" w:fill="auto"/>
            <w:vAlign w:val="center"/>
          </w:tcPr>
          <w:p w14:paraId="2980260F">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أرشيف</w:t>
            </w:r>
          </w:p>
        </w:tc>
        <w:tc>
          <w:tcPr>
            <w:tcW w:w="1158" w:type="dxa"/>
            <w:tcBorders>
              <w:top w:val="nil"/>
              <w:left w:val="nil"/>
              <w:bottom w:val="single" w:color="auto" w:sz="8" w:space="0"/>
              <w:right w:val="single" w:color="auto" w:sz="8" w:space="0"/>
            </w:tcBorders>
            <w:shd w:val="clear" w:color="auto" w:fill="auto"/>
            <w:vAlign w:val="center"/>
          </w:tcPr>
          <w:p w14:paraId="695D6470">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15 أبريل 2025</w:t>
            </w:r>
          </w:p>
        </w:tc>
        <w:tc>
          <w:tcPr>
            <w:tcW w:w="1115" w:type="dxa"/>
            <w:tcBorders>
              <w:top w:val="nil"/>
              <w:left w:val="nil"/>
              <w:bottom w:val="single" w:color="auto" w:sz="8" w:space="0"/>
              <w:right w:val="single" w:color="auto" w:sz="8" w:space="0"/>
            </w:tcBorders>
            <w:shd w:val="clear" w:color="auto" w:fill="auto"/>
            <w:vAlign w:val="center"/>
          </w:tcPr>
          <w:p w14:paraId="3A95A555">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لو شاوبو</w:t>
            </w:r>
          </w:p>
          <w:p w14:paraId="31CA9607">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تشانغ شيويه تشنغ</w:t>
            </w:r>
          </w:p>
        </w:tc>
      </w:tr>
      <w:tr w14:paraId="19408BD7">
        <w:tblPrEx>
          <w:tblCellMar>
            <w:top w:w="0" w:type="dxa"/>
            <w:left w:w="108" w:type="dxa"/>
            <w:bottom w:w="0" w:type="dxa"/>
            <w:right w:w="108" w:type="dxa"/>
          </w:tblCellMar>
        </w:tblPrEx>
        <w:trPr>
          <w:trHeight w:val="849" w:hRule="atLeast"/>
          <w:jc w:val="center"/>
        </w:trPr>
        <w:tc>
          <w:tcPr>
            <w:tcW w:w="785" w:type="dxa"/>
            <w:tcBorders>
              <w:top w:val="nil"/>
              <w:left w:val="single" w:color="auto" w:sz="8" w:space="0"/>
              <w:bottom w:val="single" w:color="auto" w:sz="8" w:space="0"/>
              <w:right w:val="single" w:color="auto" w:sz="8" w:space="0"/>
            </w:tcBorders>
            <w:shd w:val="clear" w:color="000000" w:fill="D9E2F3"/>
            <w:vAlign w:val="center"/>
          </w:tcPr>
          <w:p w14:paraId="6B0BBE7A">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3</w:t>
            </w:r>
          </w:p>
        </w:tc>
        <w:tc>
          <w:tcPr>
            <w:tcW w:w="977" w:type="dxa"/>
            <w:tcBorders>
              <w:top w:val="nil"/>
              <w:left w:val="nil"/>
              <w:bottom w:val="single" w:color="auto" w:sz="8" w:space="0"/>
              <w:right w:val="single" w:color="auto" w:sz="8" w:space="0"/>
            </w:tcBorders>
            <w:shd w:val="clear" w:color="000000" w:fill="D9E2F3"/>
            <w:vAlign w:val="center"/>
          </w:tcPr>
          <w:p w14:paraId="493559DC">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استراتيجية مراهنة غير مناسبة</w:t>
            </w:r>
          </w:p>
        </w:tc>
        <w:tc>
          <w:tcPr>
            <w:tcW w:w="1431" w:type="dxa"/>
            <w:tcBorders>
              <w:top w:val="nil"/>
              <w:left w:val="nil"/>
              <w:bottom w:val="single" w:color="auto" w:sz="8" w:space="0"/>
              <w:right w:val="single" w:color="auto" w:sz="8" w:space="0"/>
            </w:tcBorders>
            <w:shd w:val="clear" w:color="000000" w:fill="D9E2F3"/>
            <w:vAlign w:val="center"/>
          </w:tcPr>
          <w:p w14:paraId="08CD4F6B">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قم بإجراء تحليل اختبار الزجاجة مرة أخرى للتحقق من منطقية التركيز المضاف.</w:t>
            </w:r>
          </w:p>
        </w:tc>
        <w:tc>
          <w:tcPr>
            <w:tcW w:w="2158" w:type="dxa"/>
            <w:tcBorders>
              <w:top w:val="nil"/>
              <w:left w:val="nil"/>
              <w:bottom w:val="single" w:color="auto" w:sz="8" w:space="0"/>
              <w:right w:val="single" w:color="auto" w:sz="8" w:space="0"/>
            </w:tcBorders>
            <w:shd w:val="clear" w:color="000000" w:fill="D9E2F3"/>
            <w:vAlign w:val="center"/>
          </w:tcPr>
          <w:p w14:paraId="441ED1F7">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تأكد من منطقية تركيز الحقن الإجمالي في المنبع والمصب.</w:t>
            </w:r>
          </w:p>
        </w:tc>
        <w:tc>
          <w:tcPr>
            <w:tcW w:w="1232" w:type="dxa"/>
            <w:tcBorders>
              <w:top w:val="nil"/>
              <w:left w:val="nil"/>
              <w:bottom w:val="single" w:color="auto" w:sz="8" w:space="0"/>
              <w:right w:val="single" w:color="auto" w:sz="8" w:space="0"/>
            </w:tcBorders>
            <w:shd w:val="clear" w:color="000000" w:fill="D9E2F3"/>
            <w:vAlign w:val="center"/>
          </w:tcPr>
          <w:p w14:paraId="18834150">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مختبر، ميداني</w:t>
            </w:r>
          </w:p>
        </w:tc>
        <w:tc>
          <w:tcPr>
            <w:tcW w:w="1158" w:type="dxa"/>
            <w:tcBorders>
              <w:top w:val="nil"/>
              <w:left w:val="nil"/>
              <w:bottom w:val="single" w:color="auto" w:sz="8" w:space="0"/>
              <w:right w:val="single" w:color="auto" w:sz="8" w:space="0"/>
            </w:tcBorders>
            <w:shd w:val="clear" w:color="000000" w:fill="D9E2F3"/>
            <w:vAlign w:val="center"/>
          </w:tcPr>
          <w:p w14:paraId="6EBB651C">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14 أبريل 2025</w:t>
            </w:r>
          </w:p>
        </w:tc>
        <w:tc>
          <w:tcPr>
            <w:tcW w:w="1115" w:type="dxa"/>
            <w:tcBorders>
              <w:top w:val="nil"/>
              <w:left w:val="nil"/>
              <w:bottom w:val="single" w:color="auto" w:sz="8" w:space="0"/>
              <w:right w:val="single" w:color="auto" w:sz="8" w:space="0"/>
            </w:tcBorders>
            <w:shd w:val="clear" w:color="000000" w:fill="D9E2F3"/>
            <w:vAlign w:val="center"/>
          </w:tcPr>
          <w:p w14:paraId="106A31D0">
            <w:pPr>
              <w:pStyle w:val="49"/>
              <w:rPr>
                <w:rFonts w:hint="eastAsia" w:ascii="宋体" w:hAnsi="宋体" w:eastAsia="宋体" w:cs="宋体"/>
                <w:color w:val="auto"/>
                <w:sz w:val="24"/>
                <w:szCs w:val="24"/>
                <w:highlight w:val="none"/>
                <w:rtl/>
              </w:rPr>
              <w:bidi/>
            </w:pPr>
            <w:r>
              <w:rPr>
                <w:rFonts w:hint="eastAsia" w:ascii="宋体" w:hAnsi="宋体" w:eastAsia="宋体" w:cs="宋体"/>
                <w:color w:val="auto"/>
                <w:sz w:val="24"/>
                <w:szCs w:val="24"/>
                <w:highlight w:val="none"/>
                <w:rtl/>
              </w:rPr>
              <w:t>تشانغ هاو</w:t>
            </w:r>
          </w:p>
          <w:p w14:paraId="0997FB51">
            <w:pPr>
              <w:pStyle w:val="49"/>
              <w:rPr>
                <w:rFonts w:hint="eastAsia" w:ascii="宋体" w:hAnsi="宋体" w:eastAsia="宋体" w:cs="宋体"/>
                <w:color w:val="auto"/>
                <w:szCs w:val="24"/>
                <w:highlight w:val="none"/>
                <w:lang w:eastAsia="zh-CN"/>
                <w:rtl/>
              </w:rPr>
              <w:bidi/>
            </w:pPr>
            <w:r>
              <w:rPr>
                <w:rFonts w:hint="eastAsia" w:ascii="宋体" w:hAnsi="宋体" w:eastAsia="宋体" w:cs="宋体"/>
                <w:color w:val="auto"/>
                <w:sz w:val="24"/>
                <w:szCs w:val="24"/>
                <w:highlight w:val="none"/>
                <w:rtl/>
              </w:rPr>
              <w:t>تشن ليغوانغ</w:t>
            </w:r>
          </w:p>
        </w:tc>
      </w:tr>
    </w:tbl>
    <w:p w14:paraId="17A2D07B">
      <w:pPr>
        <w:pStyle w:val="9"/>
        <w:snapToGrid w:val="0"/>
        <w:spacing w:line="240" w:lineRule="auto"/>
        <w:jc w:val="center"/>
        <w:rPr>
          <w:rFonts w:hint="eastAsia" w:ascii="宋体" w:hAnsi="宋体" w:eastAsia="宋体" w:cs="宋体"/>
          <w:color w:val="auto"/>
          <w:sz w:val="21"/>
          <w:szCs w:val="21"/>
          <w:highlight w:val="none"/>
          <w:lang w:eastAsia="zh-CN"/>
          <w:rtl/>
        </w:rPr>
        <w:bidi/>
      </w:pPr>
      <w:r>
        <w:rPr>
          <w:rFonts w:hint="eastAsia" w:ascii="宋体" w:hAnsi="宋体" w:eastAsia="宋体" w:cs="宋体"/>
          <w:color w:val="auto"/>
          <w:sz w:val="21"/>
          <w:szCs w:val="21"/>
          <w:highlight w:val="none"/>
          <w:lang w:eastAsia="zh-CN"/>
          <w:rtl/>
        </w:rPr>
        <w:t>الإعداد: لو شاوبو التاريخ: 16 أبريل 2025 تمت المراجعة بواسطة: لي بيتشو</w:t>
      </w:r>
    </w:p>
    <w:p w14:paraId="2C3F5E71">
      <w:pPr>
        <w:pStyle w:val="48"/>
        <w:snapToGrid w:val="0"/>
        <w:ind w:firstLine="0" w:firstLineChars="0"/>
        <w:jc w:val="both"/>
        <w:rPr>
          <w:rFonts w:hint="eastAsia" w:ascii="宋体" w:hAnsi="宋体" w:eastAsia="宋体" w:cs="宋体"/>
          <w:color w:val="auto"/>
          <w:highlight w:val="none"/>
          <w:rtl/>
        </w:rPr>
        <w:bidi/>
      </w:pPr>
    </w:p>
    <w:p w14:paraId="3E4043C1">
      <w:pPr>
        <w:pStyle w:val="48"/>
        <w:snapToGrid w:val="0"/>
        <w:ind w:firstLine="0" w:firstLineChars="0"/>
        <w:jc w:val="both"/>
        <w:rPr>
          <w:rFonts w:hint="eastAsia" w:ascii="宋体" w:hAnsi="宋体" w:eastAsia="宋体" w:cs="宋体"/>
          <w:color w:val="auto"/>
          <w:highlight w:val="none"/>
          <w:rtl/>
        </w:rPr>
        <w:bidi/>
      </w:pPr>
      <w:r>
        <w:rPr>
          <w:rFonts w:hint="eastAsia" w:ascii="宋体" w:hAnsi="宋体" w:eastAsia="宋体" w:cs="宋体"/>
          <w:color w:val="auto"/>
          <w:highlight w:val="none"/>
          <w:rtl/>
        </w:rPr>
        <w:t>التأكيد 1: درجة حرارة النفط الخام منخفضة</w:t>
      </w:r>
    </w:p>
    <w:p w14:paraId="6CA3566A">
      <w:pPr>
        <w:pStyle w:val="49"/>
        <w:snapToGrid w:val="0"/>
        <w:rPr>
          <w:rFonts w:hint="eastAsia" w:ascii="宋体" w:hAnsi="宋体" w:eastAsia="宋体" w:cs="宋体"/>
          <w:color w:val="auto"/>
          <w:sz w:val="21"/>
          <w:szCs w:val="20"/>
          <w:highlight w:val="none"/>
          <w:rtl/>
        </w:rPr>
        <w:bidi/>
      </w:pPr>
      <w:bookmarkStart w:id="28" w:name="OLE_LINK43"/>
      <w:r>
        <w:rPr>
          <w:rFonts w:hint="eastAsia" w:ascii="宋体" w:hAnsi="宋体" w:eastAsia="宋体" w:cs="宋体"/>
          <w:color w:val="auto"/>
          <w:sz w:val="21"/>
          <w:szCs w:val="20"/>
          <w:highlight w:val="none"/>
          <w:rtl/>
        </w:rPr>
        <w:t>الجدول 6-2 تأكيد السبب الجدول 1</w:t>
      </w:r>
      <w:bookmarkEnd w:id="28"/>
    </w:p>
    <w:tbl>
      <w:tblPr>
        <w:tblStyle w:val="19"/>
        <w:tblW w:w="8699" w:type="dxa"/>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1181"/>
        <w:gridCol w:w="1375"/>
        <w:gridCol w:w="1449"/>
        <w:gridCol w:w="1617"/>
        <w:gridCol w:w="1449"/>
        <w:gridCol w:w="1628"/>
      </w:tblGrid>
      <w:tr w14:paraId="281E9095">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486" w:hRule="atLeast"/>
          <w:jc w:val="center"/>
        </w:trPr>
        <w:tc>
          <w:tcPr>
            <w:tcW w:w="1181" w:type="dxa"/>
            <w:tcBorders>
              <w:top w:val="single" w:color="4F81BD" w:sz="8" w:space="0"/>
              <w:left w:val="single" w:color="4F81BD" w:sz="8" w:space="0"/>
              <w:bottom w:val="single" w:color="4F81BD" w:sz="18" w:space="0"/>
              <w:right w:val="single" w:color="4F81BD" w:sz="8" w:space="0"/>
            </w:tcBorders>
            <w:vAlign w:val="center"/>
          </w:tcPr>
          <w:p w14:paraId="2E5860A6">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العوامل المؤثرة</w:t>
            </w:r>
          </w:p>
        </w:tc>
        <w:tc>
          <w:tcPr>
            <w:tcW w:w="7518" w:type="dxa"/>
            <w:gridSpan w:val="5"/>
            <w:tcBorders>
              <w:top w:val="single" w:color="4F81BD" w:sz="8" w:space="0"/>
              <w:left w:val="single" w:color="4F81BD" w:sz="8" w:space="0"/>
              <w:bottom w:val="single" w:color="4F81BD" w:sz="18" w:space="0"/>
              <w:right w:val="single" w:color="4F81BD" w:sz="8" w:space="0"/>
            </w:tcBorders>
            <w:vAlign w:val="center"/>
          </w:tcPr>
          <w:p w14:paraId="1DD19267">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درجة حرارة النفط الخام منخفضة</w:t>
            </w:r>
          </w:p>
        </w:tc>
      </w:tr>
      <w:tr w14:paraId="7997B46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546" w:hRule="atLeast"/>
          <w:jc w:val="center"/>
        </w:trPr>
        <w:tc>
          <w:tcPr>
            <w:tcW w:w="1181" w:type="dxa"/>
            <w:tcBorders>
              <w:top w:val="single" w:color="4F81BD" w:sz="8" w:space="0"/>
              <w:left w:val="single" w:color="4F81BD" w:sz="8" w:space="0"/>
              <w:bottom w:val="single" w:color="4F81BD" w:sz="8" w:space="0"/>
              <w:right w:val="single" w:color="4F81BD" w:sz="8" w:space="0"/>
            </w:tcBorders>
            <w:shd w:val="clear" w:color="auto" w:fill="D3DFEE"/>
            <w:vAlign w:val="center"/>
          </w:tcPr>
          <w:p w14:paraId="2D76C8CF">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طريقة التأكيد</w:t>
            </w:r>
          </w:p>
        </w:tc>
        <w:tc>
          <w:tcPr>
            <w:tcW w:w="7518" w:type="dxa"/>
            <w:gridSpan w:val="5"/>
            <w:tcBorders>
              <w:top w:val="single" w:color="4F81BD" w:sz="8" w:space="0"/>
              <w:left w:val="single" w:color="4F81BD" w:sz="8" w:space="0"/>
              <w:bottom w:val="single" w:color="4F81BD" w:sz="8" w:space="0"/>
              <w:right w:val="single" w:color="4F81BD" w:sz="8" w:space="0"/>
            </w:tcBorders>
            <w:shd w:val="clear" w:color="auto" w:fill="D3DFEE"/>
            <w:vAlign w:val="center"/>
          </w:tcPr>
          <w:p w14:paraId="218866C6">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تم أخذ العينات وتسخينها في حمام مائي لزيادة درجة حرارة الاختبار.</w:t>
            </w:r>
          </w:p>
        </w:tc>
      </w:tr>
      <w:tr w14:paraId="32AB2D89">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818" w:hRule="atLeast"/>
          <w:jc w:val="center"/>
        </w:trPr>
        <w:tc>
          <w:tcPr>
            <w:tcW w:w="1181" w:type="dxa"/>
            <w:tcBorders>
              <w:top w:val="single" w:color="4F81BD" w:sz="8" w:space="0"/>
              <w:left w:val="single" w:color="4F81BD" w:sz="8" w:space="0"/>
              <w:bottom w:val="single" w:color="4F81BD" w:sz="8" w:space="0"/>
              <w:right w:val="single" w:color="4F81BD" w:sz="8" w:space="0"/>
            </w:tcBorders>
            <w:vAlign w:val="center"/>
          </w:tcPr>
          <w:p w14:paraId="0BEB92C8">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الشخص المسؤول عن التأكيد</w:t>
            </w:r>
          </w:p>
        </w:tc>
        <w:tc>
          <w:tcPr>
            <w:tcW w:w="1375" w:type="dxa"/>
            <w:tcBorders>
              <w:top w:val="single" w:color="4F81BD" w:sz="8" w:space="0"/>
              <w:left w:val="single" w:color="4F81BD" w:sz="8" w:space="0"/>
              <w:bottom w:val="single" w:color="4F81BD" w:sz="8" w:space="0"/>
              <w:right w:val="single" w:color="4F81BD" w:sz="8" w:space="0"/>
            </w:tcBorders>
            <w:vAlign w:val="center"/>
          </w:tcPr>
          <w:p w14:paraId="3D9C7C50">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لي بيتشو</w:t>
            </w:r>
          </w:p>
          <w:p w14:paraId="7C2E6B49">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ليو شياو قوانغ</w:t>
            </w:r>
          </w:p>
        </w:tc>
        <w:tc>
          <w:tcPr>
            <w:tcW w:w="1449" w:type="dxa"/>
            <w:tcBorders>
              <w:top w:val="single" w:color="4F81BD" w:sz="8" w:space="0"/>
              <w:left w:val="single" w:color="4F81BD" w:sz="8" w:space="0"/>
              <w:bottom w:val="single" w:color="4F81BD" w:sz="8" w:space="0"/>
              <w:right w:val="single" w:color="4F81BD" w:sz="8" w:space="0"/>
            </w:tcBorders>
            <w:vAlign w:val="center"/>
          </w:tcPr>
          <w:p w14:paraId="035FBC36">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وقت التأكيد</w:t>
            </w:r>
          </w:p>
        </w:tc>
        <w:tc>
          <w:tcPr>
            <w:tcW w:w="1617" w:type="dxa"/>
            <w:tcBorders>
              <w:top w:val="single" w:color="4F81BD" w:sz="8" w:space="0"/>
              <w:left w:val="single" w:color="4F81BD" w:sz="8" w:space="0"/>
              <w:bottom w:val="single" w:color="4F81BD" w:sz="8" w:space="0"/>
              <w:right w:val="single" w:color="4F81BD" w:sz="8" w:space="0"/>
            </w:tcBorders>
            <w:vAlign w:val="center"/>
          </w:tcPr>
          <w:p w14:paraId="1F37DC45">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14 أبريل 2025</w:t>
            </w:r>
          </w:p>
        </w:tc>
        <w:tc>
          <w:tcPr>
            <w:tcW w:w="1449" w:type="dxa"/>
            <w:tcBorders>
              <w:top w:val="single" w:color="4F81BD" w:sz="8" w:space="0"/>
              <w:left w:val="single" w:color="4F81BD" w:sz="8" w:space="0"/>
              <w:bottom w:val="single" w:color="4F81BD" w:sz="8" w:space="0"/>
              <w:right w:val="single" w:color="4F81BD" w:sz="8" w:space="0"/>
            </w:tcBorders>
            <w:vAlign w:val="center"/>
          </w:tcPr>
          <w:p w14:paraId="291E6C90">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تأكيد الموقع</w:t>
            </w:r>
          </w:p>
        </w:tc>
        <w:tc>
          <w:tcPr>
            <w:tcW w:w="1628" w:type="dxa"/>
            <w:tcBorders>
              <w:top w:val="single" w:color="4F81BD" w:sz="8" w:space="0"/>
              <w:left w:val="single" w:color="4F81BD" w:sz="8" w:space="0"/>
              <w:bottom w:val="single" w:color="4F81BD" w:sz="8" w:space="0"/>
              <w:right w:val="single" w:color="4F81BD" w:sz="8" w:space="0"/>
            </w:tcBorders>
            <w:vAlign w:val="center"/>
          </w:tcPr>
          <w:p w14:paraId="2786D758">
            <w:pPr>
              <w:pStyle w:val="49"/>
              <w:jc w:val="left"/>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مختبر، ميداني</w:t>
            </w:r>
          </w:p>
        </w:tc>
      </w:tr>
      <w:tr w14:paraId="69956E30">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1123" w:hRule="atLeast"/>
          <w:jc w:val="center"/>
        </w:trPr>
        <w:tc>
          <w:tcPr>
            <w:tcW w:w="1181" w:type="dxa"/>
            <w:tcBorders>
              <w:top w:val="single" w:color="4F81BD" w:sz="8" w:space="0"/>
              <w:left w:val="single" w:color="4F81BD" w:sz="8" w:space="0"/>
              <w:bottom w:val="single" w:color="4F81BD" w:sz="8" w:space="0"/>
              <w:right w:val="single" w:color="4F81BD" w:sz="8" w:space="0"/>
            </w:tcBorders>
            <w:shd w:val="clear" w:color="auto" w:fill="D3DFEE"/>
            <w:vAlign w:val="center"/>
          </w:tcPr>
          <w:p w14:paraId="591BDC45">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عملية التأكيد</w:t>
            </w:r>
          </w:p>
        </w:tc>
        <w:tc>
          <w:tcPr>
            <w:tcW w:w="7518" w:type="dxa"/>
            <w:gridSpan w:val="5"/>
            <w:tcBorders>
              <w:top w:val="single" w:color="4F81BD" w:sz="8" w:space="0"/>
              <w:left w:val="single" w:color="4F81BD" w:sz="8" w:space="0"/>
              <w:bottom w:val="single" w:color="4F81BD" w:sz="8" w:space="0"/>
              <w:right w:val="single" w:color="4F81BD" w:sz="8" w:space="0"/>
            </w:tcBorders>
            <w:shd w:val="clear" w:color="auto" w:fill="D3DFEE"/>
            <w:vAlign w:val="center"/>
          </w:tcPr>
          <w:p w14:paraId="35F49F2B">
            <w:pPr>
              <w:pStyle w:val="49"/>
              <w:ind w:firstLine="480" w:firstLineChars="200"/>
              <w:jc w:val="left"/>
              <w:rPr>
                <w:rFonts w:hint="eastAsia" w:ascii="宋体" w:hAnsi="宋体" w:eastAsia="宋体" w:cs="宋体"/>
                <w:color w:val="auto"/>
                <w:szCs w:val="24"/>
                <w:highlight w:val="none"/>
                <w:lang w:val="en-US" w:eastAsia="zh-CN"/>
                <w:rtl/>
              </w:rPr>
              <w:bidi/>
            </w:pPr>
            <w:bookmarkStart w:id="29" w:name="OLE_LINK96"/>
            <w:r>
              <w:rPr>
                <w:rFonts w:hint="eastAsia" w:ascii="宋体" w:hAnsi="宋体" w:eastAsia="宋体" w:cs="宋体"/>
                <w:color w:val="auto"/>
                <w:szCs w:val="24"/>
                <w:highlight w:val="none"/>
                <w:lang w:val="en-US" w:eastAsia="zh-CN"/>
                <w:rtl/>
              </w:rPr>
              <w:t>في شهر مايو، تراوحت درجة الحرارة نهارًا في موقع حقل النفط بين 35 و42 درجة مئوية، بينما تراوحت ليلًا بين 21 و26 درجة مئوية. كلف الفريق لي بيزو وليو شياوغوانغ بدراسة العوامل التي أدت إلى انخفاض درجة حرارة النفط الخام والتأكد منها. أخذوا عينات من النفط المختلط من السائل الموجود في المنبع، وراقبوا ما إذا كان من الممكن تحسين معدل تجفيف النفط الخام في ظل ظروف التشغيل هذه عن طريق تسخين العينات المختلطة بتدرجات حرارية مختلفة في حمام مائي.</w:t>
            </w:r>
          </w:p>
          <w:p w14:paraId="18A5A227">
            <w:pPr>
              <w:pStyle w:val="49"/>
              <w:jc w:val="center"/>
              <w:rPr>
                <w:rFonts w:hint="eastAsia" w:ascii="宋体" w:hAnsi="宋体" w:eastAsia="宋体" w:cs="宋体"/>
                <w:color w:val="auto"/>
                <w:sz w:val="21"/>
                <w:szCs w:val="21"/>
                <w:highlight w:val="none"/>
                <w:lang w:val="en-US" w:eastAsia="zh-CN"/>
                <w:rtl/>
              </w:rPr>
              <w:bidi/>
            </w:pPr>
            <w:r>
              <w:rPr>
                <w:rFonts w:hint="eastAsia" w:ascii="宋体" w:hAnsi="宋体" w:eastAsia="宋体" w:cs="宋体"/>
                <w:color w:val="auto"/>
                <w:sz w:val="21"/>
                <w:szCs w:val="21"/>
                <w:highlight w:val="none"/>
                <w:lang w:val="en-US" w:eastAsia="zh-CN"/>
                <w:rtl/>
              </w:rPr>
              <w:t>بيانات تجفيف عينات الزيت المختلط من BUS1+3 وBUS2 وAG</w:t>
            </w:r>
          </w:p>
          <w:tbl>
            <w:tblPr>
              <w:tblStyle w:val="20"/>
              <w:tblW w:w="7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tblGrid>
            <w:tr w14:paraId="5C04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Merge w:val="restart"/>
                  <w:vAlign w:val="center"/>
                </w:tcPr>
                <w:p w14:paraId="4DA5390A">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رقم سري</w:t>
                  </w:r>
                </w:p>
              </w:tc>
              <w:tc>
                <w:tcPr>
                  <w:tcW w:w="2130" w:type="dxa"/>
                  <w:gridSpan w:val="2"/>
                  <w:vAlign w:val="center"/>
                </w:tcPr>
                <w:p w14:paraId="50E33D0B">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b w:val="0"/>
                      <w:bCs/>
                      <w:color w:val="auto"/>
                      <w:sz w:val="21"/>
                      <w:szCs w:val="24"/>
                      <w:highlight w:val="none"/>
                      <w:rtl/>
                    </w:rPr>
                    <w:t>بيانات الجفاف عند درجة حرارة 64 درجة مئوية</w:t>
                  </w:r>
                </w:p>
              </w:tc>
              <w:tc>
                <w:tcPr>
                  <w:tcW w:w="2130" w:type="dxa"/>
                  <w:gridSpan w:val="2"/>
                  <w:vAlign w:val="center"/>
                </w:tcPr>
                <w:p w14:paraId="2F5529C4">
                  <w:pPr>
                    <w:jc w:val="center"/>
                    <w:rPr>
                      <w:rFonts w:hint="eastAsia" w:ascii="宋体" w:hAnsi="宋体" w:eastAsia="宋体" w:cs="宋体"/>
                      <w:color w:val="auto"/>
                      <w:highlight w:val="none"/>
                      <w:vertAlign w:val="baseline"/>
                      <w:lang w:eastAsia="zh-CN"/>
                      <w:rtl/>
                    </w:rPr>
                    <w:bidi/>
                  </w:pPr>
                  <w:r>
                    <w:rPr>
                      <w:rFonts w:hint="eastAsia" w:ascii="宋体" w:hAnsi="宋体" w:eastAsia="宋体" w:cs="宋体"/>
                      <w:b w:val="0"/>
                      <w:bCs/>
                      <w:color w:val="auto"/>
                      <w:sz w:val="21"/>
                      <w:szCs w:val="24"/>
                      <w:highlight w:val="none"/>
                      <w:rtl/>
                    </w:rPr>
                    <w:t>بيانات الجفاف عند درجة حرارة 67 درجة مئوية</w:t>
                  </w:r>
                </w:p>
              </w:tc>
              <w:tc>
                <w:tcPr>
                  <w:tcW w:w="2131" w:type="dxa"/>
                  <w:gridSpan w:val="2"/>
                  <w:vAlign w:val="center"/>
                </w:tcPr>
                <w:p w14:paraId="7B536D48">
                  <w:pPr>
                    <w:jc w:val="center"/>
                    <w:rPr>
                      <w:rFonts w:hint="eastAsia" w:ascii="宋体" w:hAnsi="宋体" w:eastAsia="宋体" w:cs="宋体"/>
                      <w:color w:val="auto"/>
                      <w:highlight w:val="none"/>
                      <w:vertAlign w:val="baseline"/>
                      <w:lang w:eastAsia="zh-CN"/>
                      <w:rtl/>
                    </w:rPr>
                    <w:bidi/>
                  </w:pPr>
                  <w:r>
                    <w:rPr>
                      <w:rFonts w:hint="eastAsia" w:ascii="宋体" w:hAnsi="宋体" w:eastAsia="宋体" w:cs="宋体"/>
                      <w:b w:val="0"/>
                      <w:bCs/>
                      <w:color w:val="auto"/>
                      <w:sz w:val="21"/>
                      <w:szCs w:val="24"/>
                      <w:highlight w:val="none"/>
                      <w:lang w:val="en-US" w:eastAsia="zh-CN"/>
                      <w:rtl/>
                    </w:rPr>
                    <w:t>بيانات الجفاف عند درجة حرارة 70 درجة مئوية</w:t>
                  </w:r>
                </w:p>
              </w:tc>
            </w:tr>
            <w:tr w14:paraId="3BF2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Merge w:val="continue"/>
                  <w:vAlign w:val="center"/>
                </w:tcPr>
                <w:p w14:paraId="1737DBC5">
                  <w:pPr>
                    <w:jc w:val="center"/>
                    <w:rPr>
                      <w:rFonts w:hint="eastAsia" w:ascii="宋体" w:hAnsi="宋体" w:eastAsia="宋体" w:cs="宋体"/>
                      <w:color w:val="auto"/>
                      <w:highlight w:val="none"/>
                      <w:vertAlign w:val="baseline"/>
                      <w:lang w:val="en-US" w:eastAsia="zh-CN"/>
                      <w:rtl/>
                    </w:rPr>
                    <w:bidi/>
                  </w:pPr>
                </w:p>
              </w:tc>
              <w:tc>
                <w:tcPr>
                  <w:tcW w:w="1065" w:type="dxa"/>
                  <w:vAlign w:val="center"/>
                </w:tcPr>
                <w:p w14:paraId="3C0FEDEC">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التركيز جزء في المليون</w:t>
                  </w:r>
                </w:p>
              </w:tc>
              <w:tc>
                <w:tcPr>
                  <w:tcW w:w="1065" w:type="dxa"/>
                  <w:vAlign w:val="center"/>
                </w:tcPr>
                <w:p w14:paraId="5BB6F1FC">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نسبة الجفاف</w:t>
                  </w:r>
                </w:p>
              </w:tc>
              <w:tc>
                <w:tcPr>
                  <w:tcW w:w="1065" w:type="dxa"/>
                  <w:vAlign w:val="center"/>
                </w:tcPr>
                <w:p w14:paraId="316F379A">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التركيز جزء في المليون</w:t>
                  </w:r>
                </w:p>
              </w:tc>
              <w:tc>
                <w:tcPr>
                  <w:tcW w:w="1065" w:type="dxa"/>
                  <w:vAlign w:val="center"/>
                </w:tcPr>
                <w:p w14:paraId="403644C3">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نسبة الجفاف</w:t>
                  </w:r>
                </w:p>
              </w:tc>
              <w:tc>
                <w:tcPr>
                  <w:tcW w:w="1065" w:type="dxa"/>
                  <w:vAlign w:val="center"/>
                </w:tcPr>
                <w:p w14:paraId="62D30708">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التركيز جزء في المليون</w:t>
                  </w:r>
                </w:p>
              </w:tc>
              <w:tc>
                <w:tcPr>
                  <w:tcW w:w="1066" w:type="dxa"/>
                  <w:vAlign w:val="center"/>
                </w:tcPr>
                <w:p w14:paraId="64D07480">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نسبة الجفاف</w:t>
                  </w:r>
                </w:p>
              </w:tc>
            </w:tr>
            <w:tr w14:paraId="72B7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52BFEA53">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1</w:t>
                  </w:r>
                </w:p>
              </w:tc>
              <w:tc>
                <w:tcPr>
                  <w:tcW w:w="1065" w:type="dxa"/>
                  <w:vAlign w:val="center"/>
                </w:tcPr>
                <w:p w14:paraId="2B7F4965">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240</w:t>
                  </w:r>
                </w:p>
              </w:tc>
              <w:tc>
                <w:tcPr>
                  <w:tcW w:w="1065" w:type="dxa"/>
                  <w:vAlign w:val="center"/>
                </w:tcPr>
                <w:p w14:paraId="42BF1045">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53.1</w:t>
                  </w:r>
                </w:p>
              </w:tc>
              <w:tc>
                <w:tcPr>
                  <w:tcW w:w="1065" w:type="dxa"/>
                  <w:vAlign w:val="center"/>
                </w:tcPr>
                <w:p w14:paraId="0AF3359B">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240</w:t>
                  </w:r>
                </w:p>
              </w:tc>
              <w:tc>
                <w:tcPr>
                  <w:tcW w:w="1065" w:type="dxa"/>
                  <w:vAlign w:val="center"/>
                </w:tcPr>
                <w:p w14:paraId="0FDA9733">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78.1</w:t>
                  </w:r>
                </w:p>
              </w:tc>
              <w:tc>
                <w:tcPr>
                  <w:tcW w:w="1065" w:type="dxa"/>
                  <w:vAlign w:val="center"/>
                </w:tcPr>
                <w:p w14:paraId="7106FE7E">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230</w:t>
                  </w:r>
                </w:p>
              </w:tc>
              <w:tc>
                <w:tcPr>
                  <w:tcW w:w="1066" w:type="dxa"/>
                  <w:vAlign w:val="center"/>
                </w:tcPr>
                <w:p w14:paraId="32C39603">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73.9</w:t>
                  </w:r>
                </w:p>
              </w:tc>
            </w:tr>
            <w:tr w14:paraId="1E17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04E8DD55">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w:t>
                  </w:r>
                </w:p>
              </w:tc>
              <w:tc>
                <w:tcPr>
                  <w:tcW w:w="1065" w:type="dxa"/>
                  <w:vAlign w:val="center"/>
                </w:tcPr>
                <w:p w14:paraId="1FB726F9">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250</w:t>
                  </w:r>
                </w:p>
              </w:tc>
              <w:tc>
                <w:tcPr>
                  <w:tcW w:w="1065" w:type="dxa"/>
                  <w:vAlign w:val="center"/>
                </w:tcPr>
                <w:p w14:paraId="58B5F1A9">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68.8</w:t>
                  </w:r>
                </w:p>
              </w:tc>
              <w:tc>
                <w:tcPr>
                  <w:tcW w:w="1065" w:type="dxa"/>
                  <w:vAlign w:val="center"/>
                </w:tcPr>
                <w:p w14:paraId="35BE3B1F">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250</w:t>
                  </w:r>
                </w:p>
              </w:tc>
              <w:tc>
                <w:tcPr>
                  <w:tcW w:w="1065" w:type="dxa"/>
                  <w:vAlign w:val="center"/>
                </w:tcPr>
                <w:p w14:paraId="170F5788">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82.5</w:t>
                  </w:r>
                </w:p>
              </w:tc>
              <w:tc>
                <w:tcPr>
                  <w:tcW w:w="1065" w:type="dxa"/>
                  <w:vAlign w:val="center"/>
                </w:tcPr>
                <w:p w14:paraId="73A89250">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240</w:t>
                  </w:r>
                </w:p>
              </w:tc>
              <w:tc>
                <w:tcPr>
                  <w:tcW w:w="1066" w:type="dxa"/>
                  <w:vAlign w:val="center"/>
                </w:tcPr>
                <w:p w14:paraId="2C0F20AF">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82.4</w:t>
                  </w:r>
                </w:p>
              </w:tc>
            </w:tr>
            <w:tr w14:paraId="65EF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6C82203C">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3</w:t>
                  </w:r>
                </w:p>
              </w:tc>
              <w:tc>
                <w:tcPr>
                  <w:tcW w:w="1065" w:type="dxa"/>
                  <w:vAlign w:val="center"/>
                </w:tcPr>
                <w:p w14:paraId="6724DAAA">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260</w:t>
                  </w:r>
                </w:p>
              </w:tc>
              <w:tc>
                <w:tcPr>
                  <w:tcW w:w="1065" w:type="dxa"/>
                  <w:vAlign w:val="center"/>
                </w:tcPr>
                <w:p w14:paraId="1B7DD3A9">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62.5</w:t>
                  </w:r>
                </w:p>
              </w:tc>
              <w:tc>
                <w:tcPr>
                  <w:tcW w:w="1065" w:type="dxa"/>
                  <w:vAlign w:val="center"/>
                </w:tcPr>
                <w:p w14:paraId="4879AB7A">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260</w:t>
                  </w:r>
                </w:p>
              </w:tc>
              <w:tc>
                <w:tcPr>
                  <w:tcW w:w="1065" w:type="dxa"/>
                  <w:vAlign w:val="center"/>
                </w:tcPr>
                <w:p w14:paraId="03C3B095">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81.3</w:t>
                  </w:r>
                </w:p>
              </w:tc>
              <w:tc>
                <w:tcPr>
                  <w:tcW w:w="1065" w:type="dxa"/>
                  <w:vAlign w:val="center"/>
                </w:tcPr>
                <w:p w14:paraId="53AA0998">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250</w:t>
                  </w:r>
                </w:p>
              </w:tc>
              <w:tc>
                <w:tcPr>
                  <w:tcW w:w="1066" w:type="dxa"/>
                  <w:vAlign w:val="center"/>
                </w:tcPr>
                <w:p w14:paraId="7F7E8412">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88.6</w:t>
                  </w:r>
                </w:p>
              </w:tc>
            </w:tr>
            <w:tr w14:paraId="54AC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5931F3E0">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4</w:t>
                  </w:r>
                </w:p>
              </w:tc>
              <w:tc>
                <w:tcPr>
                  <w:tcW w:w="1065" w:type="dxa"/>
                  <w:vAlign w:val="center"/>
                </w:tcPr>
                <w:p w14:paraId="0727DB2E">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270</w:t>
                  </w:r>
                </w:p>
              </w:tc>
              <w:tc>
                <w:tcPr>
                  <w:tcW w:w="1065" w:type="dxa"/>
                  <w:vAlign w:val="center"/>
                </w:tcPr>
                <w:p w14:paraId="49ED0E26">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68.8</w:t>
                  </w:r>
                </w:p>
              </w:tc>
              <w:tc>
                <w:tcPr>
                  <w:tcW w:w="1065" w:type="dxa"/>
                  <w:vAlign w:val="center"/>
                </w:tcPr>
                <w:p w14:paraId="3836F0B5">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270</w:t>
                  </w:r>
                </w:p>
              </w:tc>
              <w:tc>
                <w:tcPr>
                  <w:tcW w:w="1065" w:type="dxa"/>
                  <w:vAlign w:val="center"/>
                </w:tcPr>
                <w:p w14:paraId="49BFED74">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84.4</w:t>
                  </w:r>
                </w:p>
              </w:tc>
              <w:tc>
                <w:tcPr>
                  <w:tcW w:w="1065" w:type="dxa"/>
                  <w:vAlign w:val="center"/>
                </w:tcPr>
                <w:p w14:paraId="07CC4FD2">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260</w:t>
                  </w:r>
                </w:p>
              </w:tc>
              <w:tc>
                <w:tcPr>
                  <w:tcW w:w="1066" w:type="dxa"/>
                  <w:vAlign w:val="center"/>
                </w:tcPr>
                <w:p w14:paraId="39B73C29">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90.9</w:t>
                  </w:r>
                </w:p>
              </w:tc>
            </w:tr>
            <w:tr w14:paraId="0E27B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1BDC3561">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5</w:t>
                  </w:r>
                </w:p>
              </w:tc>
              <w:tc>
                <w:tcPr>
                  <w:tcW w:w="1065" w:type="dxa"/>
                  <w:vAlign w:val="center"/>
                </w:tcPr>
                <w:p w14:paraId="6C0F3C26">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280</w:t>
                  </w:r>
                </w:p>
              </w:tc>
              <w:tc>
                <w:tcPr>
                  <w:tcW w:w="1065" w:type="dxa"/>
                  <w:vAlign w:val="center"/>
                </w:tcPr>
                <w:p w14:paraId="1DCB4866">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71.9</w:t>
                  </w:r>
                </w:p>
              </w:tc>
              <w:tc>
                <w:tcPr>
                  <w:tcW w:w="1065" w:type="dxa"/>
                  <w:vAlign w:val="center"/>
                </w:tcPr>
                <w:p w14:paraId="7332B014">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280</w:t>
                  </w:r>
                </w:p>
              </w:tc>
              <w:tc>
                <w:tcPr>
                  <w:tcW w:w="1065" w:type="dxa"/>
                  <w:vAlign w:val="center"/>
                </w:tcPr>
                <w:p w14:paraId="279DDEEE">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87.5</w:t>
                  </w:r>
                </w:p>
              </w:tc>
              <w:tc>
                <w:tcPr>
                  <w:tcW w:w="1065" w:type="dxa"/>
                  <w:vAlign w:val="center"/>
                </w:tcPr>
                <w:p w14:paraId="26D44FC5">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270</w:t>
                  </w:r>
                </w:p>
              </w:tc>
              <w:tc>
                <w:tcPr>
                  <w:tcW w:w="1066" w:type="dxa"/>
                  <w:vAlign w:val="center"/>
                </w:tcPr>
                <w:p w14:paraId="4606DB8C">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93.8</w:t>
                  </w:r>
                </w:p>
              </w:tc>
            </w:tr>
          </w:tbl>
          <w:p w14:paraId="657B613A">
            <w:pPr>
              <w:pStyle w:val="49"/>
              <w:rPr>
                <w:rFonts w:hint="eastAsia" w:ascii="宋体" w:hAnsi="宋体" w:eastAsia="宋体" w:cs="宋体"/>
                <w:color w:val="auto"/>
                <w:szCs w:val="24"/>
                <w:highlight w:val="none"/>
                <w:rtl/>
              </w:rPr>
              <w:bidi/>
            </w:pPr>
            <w:r>
              <w:rPr>
                <w:rFonts w:hint="eastAsia" w:ascii="宋体" w:hAnsi="宋体" w:eastAsia="宋体" w:cs="宋体"/>
                <w:color w:val="auto"/>
                <w:sz w:val="21"/>
                <w:szCs w:val="21"/>
                <w:highlight w:val="none"/>
                <w:lang w:val="en-US" w:eastAsia="zh-CN"/>
                <w:rtl/>
              </w:rPr>
              <w:t>بيانات تجفيف عينات الزيت المجمعة FQS و FQN</w:t>
            </w:r>
          </w:p>
          <w:tbl>
            <w:tblPr>
              <w:tblStyle w:val="20"/>
              <w:tblW w:w="7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5"/>
              <w:gridCol w:w="1065"/>
              <w:gridCol w:w="1065"/>
              <w:gridCol w:w="1065"/>
              <w:gridCol w:w="1065"/>
              <w:gridCol w:w="1065"/>
              <w:gridCol w:w="1066"/>
            </w:tblGrid>
            <w:tr w14:paraId="7231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Merge w:val="restart"/>
                  <w:vAlign w:val="center"/>
                </w:tcPr>
                <w:p w14:paraId="525D2A27">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رقم سري</w:t>
                  </w:r>
                </w:p>
              </w:tc>
              <w:tc>
                <w:tcPr>
                  <w:tcW w:w="2130" w:type="dxa"/>
                  <w:gridSpan w:val="2"/>
                  <w:vAlign w:val="center"/>
                </w:tcPr>
                <w:p w14:paraId="0E33FB9D">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b w:val="0"/>
                      <w:bCs/>
                      <w:color w:val="auto"/>
                      <w:sz w:val="21"/>
                      <w:szCs w:val="24"/>
                      <w:highlight w:val="none"/>
                      <w:lang w:val="en-US" w:eastAsia="zh-CN"/>
                      <w:rtl/>
                    </w:rPr>
                    <w:t>بيانات الجفاف عند درجة حرارة 70 درجة مئوية</w:t>
                  </w:r>
                </w:p>
              </w:tc>
              <w:tc>
                <w:tcPr>
                  <w:tcW w:w="2130" w:type="dxa"/>
                  <w:gridSpan w:val="2"/>
                  <w:vAlign w:val="center"/>
                </w:tcPr>
                <w:p w14:paraId="65152028">
                  <w:pPr>
                    <w:jc w:val="center"/>
                    <w:rPr>
                      <w:rFonts w:hint="eastAsia" w:ascii="宋体" w:hAnsi="宋体" w:eastAsia="宋体" w:cs="宋体"/>
                      <w:color w:val="auto"/>
                      <w:highlight w:val="none"/>
                      <w:vertAlign w:val="baseline"/>
                      <w:lang w:eastAsia="zh-CN"/>
                      <w:rtl/>
                    </w:rPr>
                    <w:bidi/>
                  </w:pPr>
                  <w:r>
                    <w:rPr>
                      <w:rFonts w:hint="eastAsia" w:ascii="宋体" w:hAnsi="宋体" w:eastAsia="宋体" w:cs="宋体"/>
                      <w:b w:val="0"/>
                      <w:bCs/>
                      <w:color w:val="auto"/>
                      <w:sz w:val="21"/>
                      <w:szCs w:val="24"/>
                      <w:highlight w:val="none"/>
                      <w:lang w:val="en-US" w:eastAsia="zh-CN"/>
                      <w:rtl/>
                    </w:rPr>
                    <w:t>بيانات الجفاف عند 75 درجة مئوية</w:t>
                  </w:r>
                </w:p>
              </w:tc>
              <w:tc>
                <w:tcPr>
                  <w:tcW w:w="2131" w:type="dxa"/>
                  <w:gridSpan w:val="2"/>
                  <w:vAlign w:val="center"/>
                </w:tcPr>
                <w:p w14:paraId="18FA8C09">
                  <w:pPr>
                    <w:jc w:val="center"/>
                    <w:rPr>
                      <w:rFonts w:hint="eastAsia" w:ascii="宋体" w:hAnsi="宋体" w:eastAsia="宋体" w:cs="宋体"/>
                      <w:color w:val="auto"/>
                      <w:highlight w:val="none"/>
                      <w:vertAlign w:val="baseline"/>
                      <w:lang w:eastAsia="zh-CN"/>
                      <w:rtl/>
                    </w:rPr>
                    <w:bidi/>
                  </w:pPr>
                  <w:r>
                    <w:rPr>
                      <w:rFonts w:hint="eastAsia" w:ascii="宋体" w:hAnsi="宋体" w:eastAsia="宋体" w:cs="宋体"/>
                      <w:b w:val="0"/>
                      <w:bCs/>
                      <w:color w:val="auto"/>
                      <w:sz w:val="21"/>
                      <w:szCs w:val="24"/>
                      <w:highlight w:val="none"/>
                      <w:lang w:val="en-US" w:eastAsia="zh-CN"/>
                      <w:rtl/>
                    </w:rPr>
                    <w:t>بيانات الجفاف عند درجة حرارة 80 درجة مئوية</w:t>
                  </w:r>
                </w:p>
              </w:tc>
            </w:tr>
            <w:tr w14:paraId="747E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Merge w:val="continue"/>
                  <w:vAlign w:val="center"/>
                </w:tcPr>
                <w:p w14:paraId="25376EB9">
                  <w:pPr>
                    <w:jc w:val="center"/>
                    <w:rPr>
                      <w:rFonts w:hint="eastAsia" w:ascii="宋体" w:hAnsi="宋体" w:eastAsia="宋体" w:cs="宋体"/>
                      <w:color w:val="auto"/>
                      <w:highlight w:val="none"/>
                      <w:vertAlign w:val="baseline"/>
                      <w:lang w:val="en-US" w:eastAsia="zh-CN"/>
                      <w:rtl/>
                    </w:rPr>
                    <w:bidi/>
                  </w:pPr>
                </w:p>
              </w:tc>
              <w:tc>
                <w:tcPr>
                  <w:tcW w:w="1065" w:type="dxa"/>
                  <w:vAlign w:val="center"/>
                </w:tcPr>
                <w:p w14:paraId="6219FD79">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التركيز جزء في المليون</w:t>
                  </w:r>
                </w:p>
              </w:tc>
              <w:tc>
                <w:tcPr>
                  <w:tcW w:w="1065" w:type="dxa"/>
                  <w:vAlign w:val="center"/>
                </w:tcPr>
                <w:p w14:paraId="4966C1DC">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نسبة الجفاف</w:t>
                  </w:r>
                </w:p>
              </w:tc>
              <w:tc>
                <w:tcPr>
                  <w:tcW w:w="1065" w:type="dxa"/>
                  <w:vAlign w:val="center"/>
                </w:tcPr>
                <w:p w14:paraId="0EB8257A">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التركيز جزء في المليون</w:t>
                  </w:r>
                </w:p>
              </w:tc>
              <w:tc>
                <w:tcPr>
                  <w:tcW w:w="1065" w:type="dxa"/>
                  <w:vAlign w:val="center"/>
                </w:tcPr>
                <w:p w14:paraId="6FEB380F">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نسبة الجفاف</w:t>
                  </w:r>
                </w:p>
              </w:tc>
              <w:tc>
                <w:tcPr>
                  <w:tcW w:w="1065" w:type="dxa"/>
                  <w:vAlign w:val="center"/>
                </w:tcPr>
                <w:p w14:paraId="76F7B51E">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التركيز جزء في المليون</w:t>
                  </w:r>
                </w:p>
              </w:tc>
              <w:tc>
                <w:tcPr>
                  <w:tcW w:w="1066" w:type="dxa"/>
                  <w:vAlign w:val="center"/>
                </w:tcPr>
                <w:p w14:paraId="5712C6FC">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نسبة الجفاف</w:t>
                  </w:r>
                </w:p>
              </w:tc>
            </w:tr>
            <w:tr w14:paraId="22D7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2226E361">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1</w:t>
                  </w:r>
                </w:p>
              </w:tc>
              <w:tc>
                <w:tcPr>
                  <w:tcW w:w="1065" w:type="dxa"/>
                  <w:vAlign w:val="center"/>
                </w:tcPr>
                <w:p w14:paraId="5AE8C148">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190</w:t>
                  </w:r>
                </w:p>
              </w:tc>
              <w:tc>
                <w:tcPr>
                  <w:tcW w:w="1065" w:type="dxa"/>
                  <w:vAlign w:val="center"/>
                </w:tcPr>
                <w:p w14:paraId="1F9C7A4C">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80</w:t>
                  </w:r>
                </w:p>
              </w:tc>
              <w:tc>
                <w:tcPr>
                  <w:tcW w:w="1065" w:type="dxa"/>
                  <w:vAlign w:val="center"/>
                </w:tcPr>
                <w:p w14:paraId="433CB3D3">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190</w:t>
                  </w:r>
                </w:p>
              </w:tc>
              <w:tc>
                <w:tcPr>
                  <w:tcW w:w="1065" w:type="dxa"/>
                  <w:vAlign w:val="center"/>
                </w:tcPr>
                <w:p w14:paraId="3B8B038F">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85</w:t>
                  </w:r>
                </w:p>
              </w:tc>
              <w:tc>
                <w:tcPr>
                  <w:tcW w:w="1065" w:type="dxa"/>
                  <w:vAlign w:val="center"/>
                </w:tcPr>
                <w:p w14:paraId="508EEE54">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160</w:t>
                  </w:r>
                </w:p>
              </w:tc>
              <w:tc>
                <w:tcPr>
                  <w:tcW w:w="1066" w:type="dxa"/>
                  <w:vAlign w:val="center"/>
                </w:tcPr>
                <w:p w14:paraId="09C6A8AF">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90</w:t>
                  </w:r>
                </w:p>
              </w:tc>
            </w:tr>
            <w:tr w14:paraId="226F9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6925D912">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w:t>
                  </w:r>
                </w:p>
              </w:tc>
              <w:tc>
                <w:tcPr>
                  <w:tcW w:w="1065" w:type="dxa"/>
                  <w:vAlign w:val="center"/>
                </w:tcPr>
                <w:p w14:paraId="7C83B950">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200</w:t>
                  </w:r>
                </w:p>
              </w:tc>
              <w:tc>
                <w:tcPr>
                  <w:tcW w:w="1065" w:type="dxa"/>
                  <w:vAlign w:val="center"/>
                </w:tcPr>
                <w:p w14:paraId="42AA41BF">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80</w:t>
                  </w:r>
                </w:p>
              </w:tc>
              <w:tc>
                <w:tcPr>
                  <w:tcW w:w="1065" w:type="dxa"/>
                  <w:vAlign w:val="center"/>
                </w:tcPr>
                <w:p w14:paraId="020F8697">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200</w:t>
                  </w:r>
                </w:p>
              </w:tc>
              <w:tc>
                <w:tcPr>
                  <w:tcW w:w="1065" w:type="dxa"/>
                  <w:vAlign w:val="center"/>
                </w:tcPr>
                <w:p w14:paraId="7F9A24D7">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88</w:t>
                  </w:r>
                </w:p>
              </w:tc>
              <w:tc>
                <w:tcPr>
                  <w:tcW w:w="1065" w:type="dxa"/>
                  <w:vAlign w:val="center"/>
                </w:tcPr>
                <w:p w14:paraId="7B42EDA3">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170</w:t>
                  </w:r>
                </w:p>
              </w:tc>
              <w:tc>
                <w:tcPr>
                  <w:tcW w:w="1066" w:type="dxa"/>
                  <w:vAlign w:val="center"/>
                </w:tcPr>
                <w:p w14:paraId="72796440">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90</w:t>
                  </w:r>
                </w:p>
              </w:tc>
            </w:tr>
            <w:tr w14:paraId="2EEA4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249C4041">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3</w:t>
                  </w:r>
                </w:p>
              </w:tc>
              <w:tc>
                <w:tcPr>
                  <w:tcW w:w="1065" w:type="dxa"/>
                  <w:vAlign w:val="center"/>
                </w:tcPr>
                <w:p w14:paraId="320668BC">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210</w:t>
                  </w:r>
                </w:p>
              </w:tc>
              <w:tc>
                <w:tcPr>
                  <w:tcW w:w="1065" w:type="dxa"/>
                  <w:vAlign w:val="center"/>
                </w:tcPr>
                <w:p w14:paraId="0DBAB935">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85</w:t>
                  </w:r>
                </w:p>
              </w:tc>
              <w:tc>
                <w:tcPr>
                  <w:tcW w:w="1065" w:type="dxa"/>
                  <w:vAlign w:val="center"/>
                </w:tcPr>
                <w:p w14:paraId="073E60D8">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210</w:t>
                  </w:r>
                </w:p>
              </w:tc>
              <w:tc>
                <w:tcPr>
                  <w:tcW w:w="1065" w:type="dxa"/>
                  <w:vAlign w:val="center"/>
                </w:tcPr>
                <w:p w14:paraId="098A1615">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88</w:t>
                  </w:r>
                </w:p>
              </w:tc>
              <w:tc>
                <w:tcPr>
                  <w:tcW w:w="1065" w:type="dxa"/>
                  <w:vAlign w:val="center"/>
                </w:tcPr>
                <w:p w14:paraId="6167F696">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180</w:t>
                  </w:r>
                </w:p>
              </w:tc>
              <w:tc>
                <w:tcPr>
                  <w:tcW w:w="1066" w:type="dxa"/>
                  <w:vAlign w:val="center"/>
                </w:tcPr>
                <w:p w14:paraId="10D31AF1">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93</w:t>
                  </w:r>
                </w:p>
              </w:tc>
            </w:tr>
            <w:tr w14:paraId="5BD15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431C5CC7">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4</w:t>
                  </w:r>
                </w:p>
              </w:tc>
              <w:tc>
                <w:tcPr>
                  <w:tcW w:w="1065" w:type="dxa"/>
                  <w:vAlign w:val="center"/>
                </w:tcPr>
                <w:p w14:paraId="37DA4FDF">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220</w:t>
                  </w:r>
                </w:p>
              </w:tc>
              <w:tc>
                <w:tcPr>
                  <w:tcW w:w="1065" w:type="dxa"/>
                  <w:vAlign w:val="center"/>
                </w:tcPr>
                <w:p w14:paraId="77FEBD4B">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83</w:t>
                  </w:r>
                </w:p>
              </w:tc>
              <w:tc>
                <w:tcPr>
                  <w:tcW w:w="1065" w:type="dxa"/>
                  <w:vAlign w:val="center"/>
                </w:tcPr>
                <w:p w14:paraId="117B4028">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220</w:t>
                  </w:r>
                </w:p>
              </w:tc>
              <w:tc>
                <w:tcPr>
                  <w:tcW w:w="1065" w:type="dxa"/>
                  <w:vAlign w:val="center"/>
                </w:tcPr>
                <w:p w14:paraId="69AA0D80">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93</w:t>
                  </w:r>
                </w:p>
              </w:tc>
              <w:tc>
                <w:tcPr>
                  <w:tcW w:w="1065" w:type="dxa"/>
                  <w:vAlign w:val="center"/>
                </w:tcPr>
                <w:p w14:paraId="71FEF9BE">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190</w:t>
                  </w:r>
                </w:p>
              </w:tc>
              <w:tc>
                <w:tcPr>
                  <w:tcW w:w="1066" w:type="dxa"/>
                  <w:vAlign w:val="center"/>
                </w:tcPr>
                <w:p w14:paraId="24B87449">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95</w:t>
                  </w:r>
                </w:p>
              </w:tc>
            </w:tr>
            <w:tr w14:paraId="2E89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4352314A">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5</w:t>
                  </w:r>
                </w:p>
              </w:tc>
              <w:tc>
                <w:tcPr>
                  <w:tcW w:w="1065" w:type="dxa"/>
                  <w:vAlign w:val="center"/>
                </w:tcPr>
                <w:p w14:paraId="11C4E4F8">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230</w:t>
                  </w:r>
                </w:p>
              </w:tc>
              <w:tc>
                <w:tcPr>
                  <w:tcW w:w="1065" w:type="dxa"/>
                  <w:vAlign w:val="center"/>
                </w:tcPr>
                <w:p w14:paraId="4336EE4F">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85</w:t>
                  </w:r>
                </w:p>
              </w:tc>
              <w:tc>
                <w:tcPr>
                  <w:tcW w:w="1065" w:type="dxa"/>
                  <w:vAlign w:val="center"/>
                </w:tcPr>
                <w:p w14:paraId="3211D148">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230</w:t>
                  </w:r>
                </w:p>
              </w:tc>
              <w:tc>
                <w:tcPr>
                  <w:tcW w:w="1065" w:type="dxa"/>
                  <w:vAlign w:val="center"/>
                </w:tcPr>
                <w:p w14:paraId="03668C62">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93</w:t>
                  </w:r>
                </w:p>
              </w:tc>
              <w:tc>
                <w:tcPr>
                  <w:tcW w:w="1065" w:type="dxa"/>
                  <w:vAlign w:val="center"/>
                </w:tcPr>
                <w:p w14:paraId="3C97C64A">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200</w:t>
                  </w:r>
                </w:p>
              </w:tc>
              <w:tc>
                <w:tcPr>
                  <w:tcW w:w="1066" w:type="dxa"/>
                  <w:vAlign w:val="center"/>
                </w:tcPr>
                <w:p w14:paraId="6F4252E9">
                  <w:pPr>
                    <w:jc w:val="center"/>
                    <w:rPr>
                      <w:rFonts w:hint="eastAsia" w:ascii="宋体" w:hAnsi="宋体" w:eastAsia="宋体" w:cs="宋体"/>
                      <w:color w:val="auto"/>
                      <w:kern w:val="2"/>
                      <w:sz w:val="21"/>
                      <w:szCs w:val="24"/>
                      <w:highlight w:val="none"/>
                      <w:vertAlign w:val="baseline"/>
                      <w:lang w:val="en-US" w:eastAsia="zh-CN" w:bidi="ar-SA"/>
                      <w:rtl/>
                    </w:rPr>
                    <w:bidi/>
                  </w:pPr>
                  <w:r>
                    <w:rPr>
                      <w:rFonts w:hint="eastAsia" w:ascii="宋体" w:hAnsi="宋体" w:eastAsia="宋体" w:cs="宋体"/>
                      <w:color w:val="auto"/>
                      <w:kern w:val="2"/>
                      <w:sz w:val="21"/>
                      <w:szCs w:val="24"/>
                      <w:highlight w:val="none"/>
                      <w:vertAlign w:val="baseline"/>
                      <w:lang w:val="en-US" w:eastAsia="zh-CN" w:bidi="ar-SA"/>
                      <w:rtl/>
                    </w:rPr>
                    <w:t>98</w:t>
                  </w:r>
                </w:p>
              </w:tc>
            </w:tr>
            <w:tr w14:paraId="2600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163BE282">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6</w:t>
                  </w:r>
                </w:p>
              </w:tc>
              <w:tc>
                <w:tcPr>
                  <w:tcW w:w="1065" w:type="dxa"/>
                  <w:vAlign w:val="center"/>
                </w:tcPr>
                <w:p w14:paraId="7639AB03">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240</w:t>
                  </w:r>
                </w:p>
              </w:tc>
              <w:tc>
                <w:tcPr>
                  <w:tcW w:w="1065" w:type="dxa"/>
                  <w:vAlign w:val="center"/>
                </w:tcPr>
                <w:p w14:paraId="4D3AC3D9">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85</w:t>
                  </w:r>
                </w:p>
              </w:tc>
              <w:tc>
                <w:tcPr>
                  <w:tcW w:w="1065" w:type="dxa"/>
                  <w:vAlign w:val="center"/>
                </w:tcPr>
                <w:p w14:paraId="4AB00582">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240</w:t>
                  </w:r>
                </w:p>
              </w:tc>
              <w:tc>
                <w:tcPr>
                  <w:tcW w:w="1065" w:type="dxa"/>
                  <w:vAlign w:val="center"/>
                </w:tcPr>
                <w:p w14:paraId="47784A32">
                  <w:pPr>
                    <w:jc w:val="center"/>
                    <w:rPr>
                      <w:rFonts w:hint="eastAsia" w:ascii="宋体" w:hAnsi="宋体" w:eastAsia="宋体" w:cs="宋体"/>
                      <w:color w:val="auto"/>
                      <w:kern w:val="2"/>
                      <w:sz w:val="21"/>
                      <w:szCs w:val="21"/>
                      <w:highlight w:val="none"/>
                      <w:vertAlign w:val="baseline"/>
                      <w:lang w:val="en-US" w:eastAsia="zh-CN" w:bidi="ar-SA"/>
                      <w:rtl/>
                    </w:rPr>
                    <w:bidi/>
                  </w:pPr>
                  <w:r>
                    <w:rPr>
                      <w:rFonts w:hint="eastAsia" w:ascii="宋体" w:hAnsi="宋体" w:eastAsia="宋体" w:cs="宋体"/>
                      <w:color w:val="auto"/>
                      <w:highlight w:val="none"/>
                      <w:vertAlign w:val="baseline"/>
                      <w:lang w:val="en-US" w:eastAsia="zh-CN"/>
                      <w:rtl/>
                    </w:rPr>
                    <w:t>93</w:t>
                  </w:r>
                </w:p>
              </w:tc>
              <w:tc>
                <w:tcPr>
                  <w:tcW w:w="1065" w:type="dxa"/>
                  <w:vAlign w:val="center"/>
                </w:tcPr>
                <w:p w14:paraId="2299AC09">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210</w:t>
                  </w:r>
                </w:p>
              </w:tc>
              <w:tc>
                <w:tcPr>
                  <w:tcW w:w="1066" w:type="dxa"/>
                  <w:vAlign w:val="center"/>
                </w:tcPr>
                <w:p w14:paraId="66717310">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98</w:t>
                  </w:r>
                </w:p>
              </w:tc>
            </w:tr>
            <w:tr w14:paraId="53D8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5" w:type="dxa"/>
                  <w:vAlign w:val="center"/>
                </w:tcPr>
                <w:p w14:paraId="127985B2">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7</w:t>
                  </w:r>
                </w:p>
              </w:tc>
              <w:tc>
                <w:tcPr>
                  <w:tcW w:w="1065" w:type="dxa"/>
                  <w:vAlign w:val="center"/>
                </w:tcPr>
                <w:p w14:paraId="3A5AA97D">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250</w:t>
                  </w:r>
                </w:p>
              </w:tc>
              <w:tc>
                <w:tcPr>
                  <w:tcW w:w="1065" w:type="dxa"/>
                  <w:vAlign w:val="center"/>
                </w:tcPr>
                <w:p w14:paraId="40A15E12">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90</w:t>
                  </w:r>
                </w:p>
              </w:tc>
              <w:tc>
                <w:tcPr>
                  <w:tcW w:w="1065" w:type="dxa"/>
                  <w:vAlign w:val="center"/>
                </w:tcPr>
                <w:p w14:paraId="77C13144">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250</w:t>
                  </w:r>
                </w:p>
              </w:tc>
              <w:tc>
                <w:tcPr>
                  <w:tcW w:w="1065" w:type="dxa"/>
                  <w:vAlign w:val="center"/>
                </w:tcPr>
                <w:p w14:paraId="0A016463">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95</w:t>
                  </w:r>
                </w:p>
              </w:tc>
              <w:tc>
                <w:tcPr>
                  <w:tcW w:w="1065" w:type="dxa"/>
                  <w:vAlign w:val="center"/>
                </w:tcPr>
                <w:p w14:paraId="2FE7C0AB">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220</w:t>
                  </w:r>
                </w:p>
              </w:tc>
              <w:tc>
                <w:tcPr>
                  <w:tcW w:w="1066" w:type="dxa"/>
                  <w:vAlign w:val="center"/>
                </w:tcPr>
                <w:p w14:paraId="6F16A38B">
                  <w:pPr>
                    <w:jc w:val="center"/>
                    <w:rPr>
                      <w:rFonts w:hint="eastAsia" w:ascii="宋体" w:hAnsi="宋体" w:eastAsia="宋体" w:cs="宋体"/>
                      <w:color w:val="auto"/>
                      <w:highlight w:val="none"/>
                      <w:vertAlign w:val="baseline"/>
                      <w:lang w:val="en-US" w:eastAsia="zh-CN"/>
                      <w:rtl/>
                    </w:rPr>
                    <w:bidi/>
                  </w:pPr>
                  <w:r>
                    <w:rPr>
                      <w:rFonts w:hint="eastAsia" w:ascii="宋体" w:hAnsi="宋体" w:eastAsia="宋体" w:cs="宋体"/>
                      <w:color w:val="auto"/>
                      <w:highlight w:val="none"/>
                      <w:vertAlign w:val="baseline"/>
                      <w:lang w:val="en-US" w:eastAsia="zh-CN"/>
                      <w:rtl/>
                    </w:rPr>
                    <w:t>98</w:t>
                  </w:r>
                </w:p>
              </w:tc>
            </w:tr>
          </w:tbl>
          <w:p w14:paraId="23A21666">
            <w:pPr>
              <w:pStyle w:val="49"/>
              <w:rPr>
                <w:rFonts w:hint="eastAsia" w:ascii="宋体" w:hAnsi="宋体" w:eastAsia="宋体" w:cs="宋体"/>
                <w:color w:val="auto"/>
                <w:szCs w:val="24"/>
                <w:highlight w:val="none"/>
                <w:rtl/>
              </w:rPr>
              <w:bidi/>
            </w:pPr>
          </w:p>
          <w:bookmarkEnd w:id="29"/>
          <w:p w14:paraId="3E45C079">
            <w:pPr>
              <w:pStyle w:val="49"/>
              <w:ind w:firstLine="480" w:firstLineChars="200"/>
              <w:jc w:val="left"/>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من خلال إجراء تجارب حمام مائي على عينات من الزيوت المختلطة عند درجات حرارة مختلفة، لاحظنا أنه في ظل حقن نفس تركيز مزيل الاستحلاب، تحسّن تأثير التجفيف لعينات الزيوت المختلطة بشكل ملحوظ مع الارتفاع التدريجي في درجة حرارة التجربة. يشير هذا إلى أن درجة الحرارة عامل مهم يؤثر على أداء مزيلات الاستحلاب، وأن ارتفاع درجات الحرارة يُسهم في تعزيز كفاءة التجفيف.</w:t>
            </w:r>
          </w:p>
        </w:tc>
      </w:tr>
      <w:tr w14:paraId="69223B78">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513" w:hRule="atLeast"/>
          <w:jc w:val="center"/>
        </w:trPr>
        <w:tc>
          <w:tcPr>
            <w:tcW w:w="1181" w:type="dxa"/>
            <w:tcBorders>
              <w:top w:val="single" w:color="4F81BD" w:sz="8" w:space="0"/>
              <w:left w:val="single" w:color="4F81BD" w:sz="8" w:space="0"/>
              <w:bottom w:val="single" w:color="4F81BD" w:sz="8" w:space="0"/>
              <w:right w:val="single" w:color="4F81BD" w:sz="8" w:space="0"/>
            </w:tcBorders>
            <w:vAlign w:val="center"/>
          </w:tcPr>
          <w:p w14:paraId="050B56D1">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تأكيد الاستنتاج</w:t>
            </w:r>
          </w:p>
        </w:tc>
        <w:tc>
          <w:tcPr>
            <w:tcW w:w="7518" w:type="dxa"/>
            <w:gridSpan w:val="5"/>
            <w:tcBorders>
              <w:top w:val="single" w:color="4F81BD" w:sz="8" w:space="0"/>
              <w:left w:val="single" w:color="4F81BD" w:sz="8" w:space="0"/>
              <w:bottom w:val="single" w:color="4F81BD" w:sz="8" w:space="0"/>
              <w:right w:val="single" w:color="4F81BD" w:sz="8" w:space="0"/>
            </w:tcBorders>
            <w:vAlign w:val="center"/>
          </w:tcPr>
          <w:p w14:paraId="026299F8">
            <w:pPr>
              <w:pStyle w:val="49"/>
              <w:snapToGrid w:val="0"/>
              <w:ind w:firstLine="480" w:firstLineChars="200"/>
              <w:jc w:val="left"/>
              <w:rPr>
                <w:rFonts w:hint="eastAsia" w:ascii="宋体" w:hAnsi="宋体" w:eastAsia="宋体" w:cs="宋体"/>
                <w:color w:val="auto"/>
                <w:szCs w:val="24"/>
                <w:highlight w:val="none"/>
                <w:rtl/>
              </w:rPr>
              <w:bidi/>
            </w:pPr>
            <w:bookmarkStart w:id="30" w:name="OLE_LINK97"/>
            <w:r>
              <w:rPr>
                <w:rFonts w:hint="eastAsia" w:ascii="宋体" w:hAnsi="宋体" w:eastAsia="宋体" w:cs="宋体"/>
                <w:color w:val="auto"/>
                <w:szCs w:val="24"/>
                <w:highlight w:val="none"/>
                <w:rtl/>
              </w:rPr>
              <w:t>يُظهر التحليل أعلاه أن درجة الحرارة تؤثر بشكل كبير على فعالية مزيلات الاستحلاب. لذا، يمكن الاستنتاج أن درجة الحرارة تُعدّ من العوامل الرئيسية المؤثرة على فعالية مزيلات الاستحلاب.</w:t>
            </w:r>
            <w:bookmarkEnd w:id="30"/>
          </w:p>
        </w:tc>
      </w:tr>
    </w:tbl>
    <w:p w14:paraId="1C515279">
      <w:pPr>
        <w:pStyle w:val="49"/>
        <w:snapToGrid w:val="0"/>
        <w:rPr>
          <w:rFonts w:hint="eastAsia" w:ascii="宋体" w:hAnsi="宋体" w:eastAsia="宋体" w:cs="宋体"/>
          <w:b/>
          <w:bCs/>
          <w:color w:val="auto"/>
          <w:sz w:val="21"/>
          <w:szCs w:val="21"/>
          <w:highlight w:val="none"/>
          <w:lang w:eastAsia="zh-CN"/>
          <w:rtl/>
        </w:rPr>
        <w:bidi/>
      </w:pPr>
      <w:bookmarkStart w:id="31" w:name="OLE_LINK44"/>
      <w:r>
        <w:rPr>
          <w:rFonts w:hint="eastAsia" w:ascii="宋体" w:hAnsi="宋体" w:eastAsia="宋体" w:cs="宋体"/>
          <w:color w:val="auto"/>
          <w:sz w:val="21"/>
          <w:szCs w:val="21"/>
          <w:highlight w:val="none"/>
          <w:rtl/>
        </w:rPr>
        <w:t>إعداد: ليو شياو غوانغ، تاريخ: ١٤ أبريل ٢٠٢٥، مراجعة: لي بي تشو</w:t>
      </w:r>
      <w:bookmarkEnd w:id="31"/>
    </w:p>
    <w:p w14:paraId="0EDEFA1E">
      <w:pPr>
        <w:rPr>
          <w:rFonts w:hint="eastAsia" w:ascii="宋体" w:hAnsi="宋体" w:eastAsia="宋体" w:cs="宋体"/>
          <w:b/>
          <w:bCs/>
          <w:color w:val="auto"/>
          <w:sz w:val="28"/>
          <w:szCs w:val="28"/>
          <w:highlight w:val="none"/>
          <w:rtl/>
        </w:rPr>
        <w:bidi/>
      </w:pPr>
    </w:p>
    <w:p w14:paraId="2EE0201D">
      <w:pPr>
        <w:rPr>
          <w:rFonts w:hint="eastAsia" w:ascii="宋体" w:hAnsi="宋体" w:eastAsia="宋体" w:cs="宋体"/>
          <w:b/>
          <w:bCs/>
          <w:color w:val="auto"/>
          <w:sz w:val="28"/>
          <w:szCs w:val="28"/>
          <w:highlight w:val="none"/>
          <w:rtl/>
        </w:rPr>
        <w:bidi/>
      </w:pPr>
      <w:r>
        <w:rPr>
          <w:rFonts w:hint="eastAsia" w:ascii="宋体" w:hAnsi="宋体" w:eastAsia="宋体" w:cs="宋体"/>
          <w:b/>
          <w:bCs/>
          <w:color w:val="auto"/>
          <w:sz w:val="28"/>
          <w:szCs w:val="28"/>
          <w:highlight w:val="none"/>
          <w:rtl/>
        </w:rPr>
        <w:t>التأكيد الثاني: ضعف الخصائص الفيزيائية للنفط الخام</w:t>
      </w:r>
    </w:p>
    <w:p w14:paraId="08FD7B6E">
      <w:pPr>
        <w:pStyle w:val="49"/>
        <w:snapToGrid w:val="0"/>
        <w:rPr>
          <w:rFonts w:hint="eastAsia" w:ascii="宋体" w:hAnsi="宋体" w:eastAsia="宋体" w:cs="宋体"/>
          <w:color w:val="auto"/>
          <w:sz w:val="21"/>
          <w:szCs w:val="20"/>
          <w:highlight w:val="none"/>
          <w:rtl/>
        </w:rPr>
        <w:bidi/>
      </w:pPr>
      <w:r>
        <w:rPr>
          <w:rFonts w:hint="eastAsia" w:ascii="宋体" w:hAnsi="宋体" w:eastAsia="宋体" w:cs="宋体"/>
          <w:color w:val="auto"/>
          <w:sz w:val="21"/>
          <w:szCs w:val="20"/>
          <w:highlight w:val="none"/>
          <w:rtl/>
        </w:rPr>
        <w:t>الجدول 6-3 تأكيد السبب الجدول 2</w:t>
      </w:r>
    </w:p>
    <w:tbl>
      <w:tblPr>
        <w:tblStyle w:val="19"/>
        <w:tblW w:w="8670" w:type="dxa"/>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1515"/>
        <w:gridCol w:w="1430"/>
        <w:gridCol w:w="1431"/>
        <w:gridCol w:w="1431"/>
        <w:gridCol w:w="1431"/>
        <w:gridCol w:w="1432"/>
      </w:tblGrid>
      <w:tr w14:paraId="7CC77FF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358" w:hRule="atLeast"/>
          <w:jc w:val="center"/>
        </w:trPr>
        <w:tc>
          <w:tcPr>
            <w:tcW w:w="1515" w:type="dxa"/>
            <w:tcBorders>
              <w:top w:val="single" w:color="4F81BD" w:sz="8" w:space="0"/>
              <w:left w:val="single" w:color="4F81BD" w:sz="8" w:space="0"/>
              <w:bottom w:val="single" w:color="4F81BD" w:sz="18" w:space="0"/>
              <w:right w:val="single" w:color="4F81BD" w:sz="8" w:space="0"/>
            </w:tcBorders>
            <w:vAlign w:val="center"/>
          </w:tcPr>
          <w:p w14:paraId="6BD8703C">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العوامل المؤثرة</w:t>
            </w:r>
          </w:p>
        </w:tc>
        <w:tc>
          <w:tcPr>
            <w:tcW w:w="7155" w:type="dxa"/>
            <w:gridSpan w:val="5"/>
            <w:tcBorders>
              <w:top w:val="single" w:color="4F81BD" w:sz="8" w:space="0"/>
              <w:left w:val="single" w:color="4F81BD" w:sz="8" w:space="0"/>
              <w:bottom w:val="single" w:color="4F81BD" w:sz="18" w:space="0"/>
              <w:right w:val="single" w:color="4F81BD" w:sz="8" w:space="0"/>
            </w:tcBorders>
          </w:tcPr>
          <w:p w14:paraId="1A02D711">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الخصائص الفيزيائية الضعيفة للنفط الخام</w:t>
            </w:r>
          </w:p>
        </w:tc>
      </w:tr>
      <w:tr w14:paraId="40A63601">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322" w:hRule="atLeast"/>
          <w:jc w:val="center"/>
        </w:trPr>
        <w:tc>
          <w:tcPr>
            <w:tcW w:w="1515" w:type="dxa"/>
            <w:tcBorders>
              <w:top w:val="single" w:color="4F81BD" w:sz="8" w:space="0"/>
              <w:left w:val="single" w:color="4F81BD" w:sz="8" w:space="0"/>
              <w:bottom w:val="single" w:color="4F81BD" w:sz="8" w:space="0"/>
              <w:right w:val="single" w:color="4F81BD" w:sz="8" w:space="0"/>
            </w:tcBorders>
            <w:shd w:val="clear" w:color="auto" w:fill="D3DFEE"/>
            <w:vAlign w:val="center"/>
          </w:tcPr>
          <w:p w14:paraId="3777059A">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طريقة التأكيد</w:t>
            </w:r>
          </w:p>
        </w:tc>
        <w:tc>
          <w:tcPr>
            <w:tcW w:w="7155" w:type="dxa"/>
            <w:gridSpan w:val="5"/>
            <w:tcBorders>
              <w:top w:val="single" w:color="4F81BD" w:sz="8" w:space="0"/>
              <w:left w:val="single" w:color="4F81BD" w:sz="8" w:space="0"/>
              <w:bottom w:val="single" w:color="4F81BD" w:sz="8" w:space="0"/>
              <w:right w:val="single" w:color="4F81BD" w:sz="8" w:space="0"/>
            </w:tcBorders>
            <w:shd w:val="clear" w:color="auto" w:fill="D3DFEE"/>
          </w:tcPr>
          <w:p w14:paraId="1ABCB6A0">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استعلام عن بيانات خصائص السوائل في المنبع</w:t>
            </w:r>
          </w:p>
        </w:tc>
      </w:tr>
      <w:tr w14:paraId="153A942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422" w:hRule="atLeast"/>
          <w:jc w:val="center"/>
        </w:trPr>
        <w:tc>
          <w:tcPr>
            <w:tcW w:w="1515" w:type="dxa"/>
            <w:tcBorders>
              <w:top w:val="single" w:color="4F81BD" w:sz="8" w:space="0"/>
              <w:left w:val="single" w:color="4F81BD" w:sz="8" w:space="0"/>
              <w:bottom w:val="single" w:color="4F81BD" w:sz="8" w:space="0"/>
              <w:right w:val="single" w:color="4F81BD" w:sz="8" w:space="0"/>
            </w:tcBorders>
            <w:vAlign w:val="center"/>
          </w:tcPr>
          <w:p w14:paraId="774C5E75">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الشخص المسؤول عن التأكيد</w:t>
            </w:r>
          </w:p>
        </w:tc>
        <w:tc>
          <w:tcPr>
            <w:tcW w:w="1430" w:type="dxa"/>
            <w:tcBorders>
              <w:top w:val="single" w:color="4F81BD" w:sz="8" w:space="0"/>
              <w:left w:val="single" w:color="4F81BD" w:sz="8" w:space="0"/>
              <w:bottom w:val="single" w:color="4F81BD" w:sz="8" w:space="0"/>
              <w:right w:val="single" w:color="4F81BD" w:sz="8" w:space="0"/>
            </w:tcBorders>
            <w:vAlign w:val="center"/>
          </w:tcPr>
          <w:p w14:paraId="20985351">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لو شاوبو</w:t>
            </w:r>
          </w:p>
          <w:p w14:paraId="44A39C8A">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تشانغ شيويه تشنغ</w:t>
            </w:r>
          </w:p>
        </w:tc>
        <w:tc>
          <w:tcPr>
            <w:tcW w:w="1431" w:type="dxa"/>
            <w:tcBorders>
              <w:top w:val="single" w:color="4F81BD" w:sz="8" w:space="0"/>
              <w:left w:val="single" w:color="4F81BD" w:sz="8" w:space="0"/>
              <w:bottom w:val="single" w:color="4F81BD" w:sz="8" w:space="0"/>
              <w:right w:val="single" w:color="4F81BD" w:sz="8" w:space="0"/>
            </w:tcBorders>
            <w:vAlign w:val="center"/>
          </w:tcPr>
          <w:p w14:paraId="5FADAB2B">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وقت التأكيد</w:t>
            </w:r>
          </w:p>
        </w:tc>
        <w:tc>
          <w:tcPr>
            <w:tcW w:w="1431" w:type="dxa"/>
            <w:tcBorders>
              <w:top w:val="single" w:color="4F81BD" w:sz="8" w:space="0"/>
              <w:left w:val="single" w:color="4F81BD" w:sz="8" w:space="0"/>
              <w:bottom w:val="single" w:color="4F81BD" w:sz="8" w:space="0"/>
              <w:right w:val="single" w:color="4F81BD" w:sz="8" w:space="0"/>
            </w:tcBorders>
            <w:vAlign w:val="center"/>
          </w:tcPr>
          <w:p w14:paraId="20738989">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14 أبريل 2025</w:t>
            </w:r>
          </w:p>
        </w:tc>
        <w:tc>
          <w:tcPr>
            <w:tcW w:w="1431" w:type="dxa"/>
            <w:tcBorders>
              <w:top w:val="single" w:color="4F81BD" w:sz="8" w:space="0"/>
              <w:left w:val="single" w:color="4F81BD" w:sz="8" w:space="0"/>
              <w:bottom w:val="single" w:color="4F81BD" w:sz="8" w:space="0"/>
              <w:right w:val="single" w:color="4F81BD" w:sz="8" w:space="0"/>
            </w:tcBorders>
            <w:vAlign w:val="center"/>
          </w:tcPr>
          <w:p w14:paraId="5C8C4399">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تأكيد الموقع</w:t>
            </w:r>
          </w:p>
        </w:tc>
        <w:tc>
          <w:tcPr>
            <w:tcW w:w="1432" w:type="dxa"/>
            <w:tcBorders>
              <w:top w:val="single" w:color="4F81BD" w:sz="8" w:space="0"/>
              <w:left w:val="single" w:color="4F81BD" w:sz="8" w:space="0"/>
              <w:bottom w:val="single" w:color="4F81BD" w:sz="8" w:space="0"/>
              <w:right w:val="single" w:color="4F81BD" w:sz="8" w:space="0"/>
            </w:tcBorders>
            <w:vAlign w:val="center"/>
          </w:tcPr>
          <w:p w14:paraId="230C21B7">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أرشيف</w:t>
            </w:r>
          </w:p>
        </w:tc>
      </w:tr>
      <w:tr w14:paraId="6692099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1643" w:hRule="atLeast"/>
          <w:jc w:val="center"/>
        </w:trPr>
        <w:tc>
          <w:tcPr>
            <w:tcW w:w="1515" w:type="dxa"/>
            <w:tcBorders>
              <w:top w:val="single" w:color="4F81BD" w:sz="8" w:space="0"/>
              <w:left w:val="single" w:color="4F81BD" w:sz="8" w:space="0"/>
              <w:bottom w:val="single" w:color="4F81BD" w:sz="8" w:space="0"/>
              <w:right w:val="single" w:color="4F81BD" w:sz="8" w:space="0"/>
            </w:tcBorders>
            <w:shd w:val="clear" w:color="auto" w:fill="D3DFEE"/>
            <w:vAlign w:val="center"/>
          </w:tcPr>
          <w:p w14:paraId="7E1A11B7">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عملية التأكيد</w:t>
            </w:r>
          </w:p>
        </w:tc>
        <w:tc>
          <w:tcPr>
            <w:tcW w:w="7155" w:type="dxa"/>
            <w:gridSpan w:val="5"/>
            <w:tcBorders>
              <w:top w:val="single" w:color="4F81BD" w:sz="8" w:space="0"/>
              <w:left w:val="single" w:color="4F81BD" w:sz="8" w:space="0"/>
              <w:bottom w:val="single" w:color="4F81BD" w:sz="8" w:space="0"/>
              <w:right w:val="single" w:color="4F81BD" w:sz="8" w:space="0"/>
            </w:tcBorders>
            <w:shd w:val="clear" w:color="auto" w:fill="D3DFEE"/>
          </w:tcPr>
          <w:p w14:paraId="6A2C555E">
            <w:pPr>
              <w:pStyle w:val="49"/>
              <w:jc w:val="both"/>
              <w:rPr>
                <w:rFonts w:hint="eastAsia" w:ascii="宋体" w:hAnsi="宋体" w:eastAsia="宋体" w:cs="宋体"/>
                <w:color w:val="auto"/>
                <w:szCs w:val="24"/>
                <w:highlight w:val="none"/>
                <w:lang w:val="en-US" w:eastAsia="zh-CN"/>
                <w:rtl/>
              </w:rPr>
              <w:bidi/>
            </w:pPr>
            <w:bookmarkStart w:id="32" w:name="OLE_LINK99"/>
          </w:p>
          <w:bookmarkEnd w:id="32"/>
          <w:p w14:paraId="03B8D5B1">
            <w:pPr>
              <w:pStyle w:val="49"/>
              <w:snapToGrid w:val="0"/>
              <w:ind w:firstLine="480" w:firstLineChars="200"/>
              <w:jc w:val="left"/>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من خلال مراجعة بيانات خصائص مياه الصرف الصحي في المراحل الأولية، حدد الفريق العامل الرئيسي المؤثر على انخفاض جودة هذه المياه، وهو موجود في حوض معالجة الحمأة والزيوت BU41. لا يقتصر عمل حوض BU41 على جمع الزيوت المستعملة الناتجة عن الإنتاج اليومي فحسب، بل يشمل أيضًا السوائل المستعملة من عمليات صيانة الآبار والحفر. خلال فترات نقل السوائل المستعملة المركزة، أثر التدفق الكبير لهذه السوائل على عمليات منطقة المعالجة المركزية، مما تسبب في توقفات متكررة للمرسب الكهروستاتيكي وانخفاض كفاءة المعالجة. لذلك، ستركز عملية المراجعة على البيانات المتعلقة بالسوائل المستعملة من حوض BU41 لفهم خصائصها الفيزيائية وتأثيرها المحدد على عملية المعالجة بشكل أدق.</w:t>
            </w:r>
          </w:p>
          <w:p w14:paraId="1FC286A8">
            <w:pPr>
              <w:pStyle w:val="49"/>
              <w:snapToGrid w:val="0"/>
              <w:jc w:val="left"/>
              <w:rPr>
                <w:rFonts w:hint="eastAsia" w:ascii="宋体" w:hAnsi="宋体" w:eastAsia="宋体" w:cs="宋体"/>
                <w:highlight w:val="none"/>
                <w:rtl/>
              </w:rPr>
              <w:bidi/>
            </w:pPr>
            <w:r>
              <w:rPr>
                <w:rFonts w:hint="eastAsia" w:ascii="宋体" w:hAnsi="宋体" w:eastAsia="宋体" w:cs="宋体"/>
                <w:highlight w:val="none"/>
                <w:rtl/>
              </w:rPr>
              <w:drawing>
                <wp:inline distT="0" distB="0" distL="114300" distR="114300">
                  <wp:extent cx="4400550" cy="1962785"/>
                  <wp:effectExtent l="0" t="0" r="0" b="1841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19"/>
                          <a:stretch>
                            <a:fillRect/>
                          </a:stretch>
                        </pic:blipFill>
                        <pic:spPr>
                          <a:xfrm>
                            <a:off x="0" y="0"/>
                            <a:ext cx="4400550" cy="1962785"/>
                          </a:xfrm>
                          <a:prstGeom prst="rect">
                            <a:avLst/>
                          </a:prstGeom>
                          <a:noFill/>
                          <a:ln>
                            <a:noFill/>
                          </a:ln>
                        </pic:spPr>
                      </pic:pic>
                    </a:graphicData>
                  </a:graphic>
                </wp:inline>
              </w:drawing>
            </w:r>
          </w:p>
          <w:p w14:paraId="63998158">
            <w:pPr>
              <w:pStyle w:val="49"/>
              <w:snapToGrid w:val="0"/>
              <w:ind w:firstLine="1470" w:firstLineChars="700"/>
              <w:jc w:val="left"/>
              <w:rPr>
                <w:rFonts w:hint="eastAsia" w:ascii="宋体" w:hAnsi="宋体" w:eastAsia="宋体" w:cs="宋体"/>
                <w:sz w:val="21"/>
                <w:szCs w:val="21"/>
                <w:highlight w:val="none"/>
                <w:lang w:val="en-US" w:eastAsia="zh-CN"/>
                <w:rtl/>
              </w:rPr>
              <w:bidi/>
            </w:pPr>
            <w:r>
              <w:rPr>
                <w:rFonts w:hint="eastAsia" w:ascii="宋体" w:hAnsi="宋体" w:eastAsia="宋体" w:cs="宋体"/>
                <w:sz w:val="21"/>
                <w:szCs w:val="21"/>
                <w:highlight w:val="none"/>
                <w:lang w:val="en-US" w:eastAsia="zh-CN"/>
                <w:rtl/>
              </w:rPr>
              <w:t>بيانات اختبار السوائل النفاياتية BU41 بتاريخ 4 أبريل 2025</w:t>
            </w:r>
          </w:p>
          <w:p w14:paraId="66610302">
            <w:pPr>
              <w:pStyle w:val="49"/>
              <w:snapToGrid w:val="0"/>
              <w:jc w:val="left"/>
              <w:rPr>
                <w:rFonts w:hint="eastAsia" w:ascii="宋体" w:hAnsi="宋体" w:eastAsia="宋体" w:cs="宋体"/>
                <w:color w:val="auto"/>
                <w:szCs w:val="24"/>
                <w:highlight w:val="none"/>
                <w:lang w:val="en-US" w:eastAsia="zh-CN"/>
                <w:rtl/>
              </w:rPr>
              <w:bidi/>
            </w:pPr>
            <w:r>
              <w:rPr>
                <w:rFonts w:hint="eastAsia" w:ascii="宋体" w:hAnsi="宋体" w:eastAsia="宋体" w:cs="宋体"/>
                <w:highlight w:val="none"/>
                <w:rtl/>
              </w:rPr>
              <w:drawing>
                <wp:inline distT="0" distB="0" distL="114300" distR="114300">
                  <wp:extent cx="4404360" cy="1932940"/>
                  <wp:effectExtent l="0" t="0" r="15240" b="1016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0"/>
                          <a:stretch>
                            <a:fillRect/>
                          </a:stretch>
                        </pic:blipFill>
                        <pic:spPr>
                          <a:xfrm>
                            <a:off x="0" y="0"/>
                            <a:ext cx="4404360" cy="1932940"/>
                          </a:xfrm>
                          <a:prstGeom prst="rect">
                            <a:avLst/>
                          </a:prstGeom>
                          <a:noFill/>
                          <a:ln>
                            <a:noFill/>
                          </a:ln>
                        </pic:spPr>
                      </pic:pic>
                    </a:graphicData>
                  </a:graphic>
                </wp:inline>
              </w:drawing>
            </w:r>
          </w:p>
          <w:p w14:paraId="113E56C0">
            <w:pPr>
              <w:pStyle w:val="49"/>
              <w:snapToGrid w:val="0"/>
              <w:ind w:firstLine="1470" w:firstLineChars="700"/>
              <w:jc w:val="left"/>
              <w:rPr>
                <w:rFonts w:hint="eastAsia" w:ascii="宋体" w:hAnsi="宋体" w:eastAsia="宋体" w:cs="宋体"/>
                <w:color w:val="auto"/>
                <w:szCs w:val="24"/>
                <w:highlight w:val="none"/>
                <w:lang w:val="en-US" w:eastAsia="zh-CN"/>
                <w:rtl/>
              </w:rPr>
              <w:bidi/>
            </w:pPr>
            <w:r>
              <w:rPr>
                <w:rFonts w:hint="eastAsia" w:ascii="宋体" w:hAnsi="宋体" w:eastAsia="宋体" w:cs="宋体"/>
                <w:sz w:val="21"/>
                <w:szCs w:val="21"/>
                <w:highlight w:val="none"/>
                <w:lang w:val="en-US" w:eastAsia="zh-CN"/>
                <w:rtl/>
              </w:rPr>
              <w:t>بيانات اختبار السوائل النفاياتية BU41، 6 أبريل 2025</w:t>
            </w:r>
          </w:p>
          <w:p w14:paraId="447BBA0F">
            <w:pPr>
              <w:pStyle w:val="49"/>
              <w:snapToGrid w:val="0"/>
              <w:jc w:val="left"/>
              <w:rPr>
                <w:rFonts w:hint="eastAsia" w:ascii="宋体" w:hAnsi="宋体" w:eastAsia="宋体" w:cs="宋体"/>
                <w:highlight w:val="none"/>
                <w:rtl/>
              </w:rPr>
              <w:bidi/>
            </w:pPr>
            <w:r>
              <w:rPr>
                <w:rFonts w:hint="eastAsia" w:ascii="宋体" w:hAnsi="宋体" w:eastAsia="宋体" w:cs="宋体"/>
                <w:highlight w:val="none"/>
                <w:rtl/>
              </w:rPr>
              <w:drawing>
                <wp:inline distT="0" distB="0" distL="114300" distR="114300">
                  <wp:extent cx="4401185" cy="1960245"/>
                  <wp:effectExtent l="0" t="0" r="18415" b="190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1"/>
                          <a:stretch>
                            <a:fillRect/>
                          </a:stretch>
                        </pic:blipFill>
                        <pic:spPr>
                          <a:xfrm>
                            <a:off x="0" y="0"/>
                            <a:ext cx="4401185" cy="1960245"/>
                          </a:xfrm>
                          <a:prstGeom prst="rect">
                            <a:avLst/>
                          </a:prstGeom>
                          <a:noFill/>
                          <a:ln>
                            <a:noFill/>
                          </a:ln>
                        </pic:spPr>
                      </pic:pic>
                    </a:graphicData>
                  </a:graphic>
                </wp:inline>
              </w:drawing>
            </w:r>
          </w:p>
          <w:p w14:paraId="12F07B1C">
            <w:pPr>
              <w:pStyle w:val="49"/>
              <w:snapToGrid w:val="0"/>
              <w:ind w:firstLine="1470" w:firstLineChars="700"/>
              <w:jc w:val="left"/>
              <w:rPr>
                <w:rFonts w:hint="eastAsia" w:ascii="宋体" w:hAnsi="宋体" w:eastAsia="宋体" w:cs="宋体"/>
                <w:color w:val="auto"/>
                <w:szCs w:val="24"/>
                <w:highlight w:val="none"/>
                <w:lang w:val="en-US" w:eastAsia="zh-CN"/>
                <w:rtl/>
              </w:rPr>
              <w:bidi/>
            </w:pPr>
            <w:r>
              <w:rPr>
                <w:rFonts w:hint="eastAsia" w:ascii="宋体" w:hAnsi="宋体" w:eastAsia="宋体" w:cs="宋体"/>
                <w:sz w:val="21"/>
                <w:szCs w:val="21"/>
                <w:highlight w:val="none"/>
                <w:lang w:val="en-US" w:eastAsia="zh-CN"/>
                <w:rtl/>
              </w:rPr>
              <w:t>بيانات اختبار السوائل النفاياتية BU41، 8 أبريل 2025</w:t>
            </w:r>
          </w:p>
          <w:p w14:paraId="180F92CE">
            <w:pPr>
              <w:pStyle w:val="49"/>
              <w:snapToGrid w:val="0"/>
              <w:jc w:val="left"/>
              <w:rPr>
                <w:rFonts w:hint="eastAsia" w:ascii="宋体" w:hAnsi="宋体" w:eastAsia="宋体" w:cs="宋体"/>
                <w:highlight w:val="none"/>
                <w:lang w:val="en-US" w:eastAsia="zh-CN"/>
                <w:rtl/>
              </w:rPr>
              <w:bidi/>
            </w:pPr>
            <w:r>
              <w:rPr>
                <w:rFonts w:hint="eastAsia" w:ascii="宋体" w:hAnsi="宋体" w:eastAsia="宋体" w:cs="宋体"/>
                <w:highlight w:val="none"/>
                <w:rtl/>
              </w:rPr>
              <w:drawing>
                <wp:inline distT="0" distB="0" distL="114300" distR="114300">
                  <wp:extent cx="4405630" cy="3342005"/>
                  <wp:effectExtent l="0" t="0" r="13970" b="1079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2"/>
                          <a:stretch>
                            <a:fillRect/>
                          </a:stretch>
                        </pic:blipFill>
                        <pic:spPr>
                          <a:xfrm>
                            <a:off x="0" y="0"/>
                            <a:ext cx="4405630" cy="3342005"/>
                          </a:xfrm>
                          <a:prstGeom prst="rect">
                            <a:avLst/>
                          </a:prstGeom>
                          <a:noFill/>
                          <a:ln>
                            <a:noFill/>
                          </a:ln>
                        </pic:spPr>
                      </pic:pic>
                    </a:graphicData>
                  </a:graphic>
                </wp:inline>
              </w:drawing>
            </w:r>
          </w:p>
          <w:p w14:paraId="76CEE6B6">
            <w:pPr>
              <w:pStyle w:val="49"/>
              <w:snapToGrid w:val="0"/>
              <w:jc w:val="left"/>
              <w:rPr>
                <w:rFonts w:hint="eastAsia" w:ascii="宋体" w:hAnsi="宋体" w:eastAsia="宋体" w:cs="宋体"/>
                <w:color w:val="auto"/>
                <w:szCs w:val="24"/>
                <w:highlight w:val="none"/>
                <w:lang w:val="en-US" w:eastAsia="zh-CN"/>
                <w:rtl/>
              </w:rPr>
              <w:bidi/>
            </w:pPr>
            <w:r>
              <w:rPr>
                <w:rFonts w:hint="eastAsia" w:ascii="宋体" w:hAnsi="宋体" w:eastAsia="宋体" w:cs="宋体"/>
                <w:highlight w:val="none"/>
                <w:rtl/>
              </w:rPr>
              <w:drawing>
                <wp:inline distT="0" distB="0" distL="114300" distR="114300">
                  <wp:extent cx="4405630" cy="3606165"/>
                  <wp:effectExtent l="0" t="0" r="13970" b="1333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3"/>
                          <a:stretch>
                            <a:fillRect/>
                          </a:stretch>
                        </pic:blipFill>
                        <pic:spPr>
                          <a:xfrm>
                            <a:off x="0" y="0"/>
                            <a:ext cx="4405630" cy="3606165"/>
                          </a:xfrm>
                          <a:prstGeom prst="rect">
                            <a:avLst/>
                          </a:prstGeom>
                          <a:noFill/>
                          <a:ln>
                            <a:noFill/>
                          </a:ln>
                        </pic:spPr>
                      </pic:pic>
                    </a:graphicData>
                  </a:graphic>
                </wp:inline>
              </w:drawing>
            </w:r>
          </w:p>
          <w:p w14:paraId="1022CBCA">
            <w:pPr>
              <w:pStyle w:val="49"/>
              <w:snapToGrid w:val="0"/>
              <w:ind w:firstLine="480" w:firstLineChars="200"/>
              <w:jc w:val="left"/>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استنادًا إلى بيانات تحليل النفط الخام لشهر أبريل، وسجلات التصدير، وبيانات تشغيل التحلية الكهروستاتيكية (ESD) من وحدة BU41، وجدنا أن الخصائص الفيزيائية العامة للمياه الداخلة إلى وحدة BU41 كانت رديئة: محتوى عالٍ من الملح والماء، واستحلاب ملحوظ، وميل قوي للاستحلاب، وقوة API منخفضة، وصعوبة بالغة في التجفيف والتحلية. علاوة على ذلك، حدثت انقطاعات متكررة للتيار الكهربائي في محطة التحلية الكهروستاتيكية أثناء تصدير المياه من وحدة BU41، وهو ما يرتبط بوضوح بخصائص المياه الداخلة. لذلك، تُعد الخصائص الفيزيائية الرديئة للمياه الداخلة إلى وحدة BU41 سببًا رئيسيًا للصعوبات التي تواجه عملية المعالجة.</w:t>
            </w:r>
          </w:p>
        </w:tc>
      </w:tr>
      <w:tr w14:paraId="3499DF22">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205" w:hRule="atLeast"/>
          <w:jc w:val="center"/>
        </w:trPr>
        <w:tc>
          <w:tcPr>
            <w:tcW w:w="1515" w:type="dxa"/>
            <w:tcBorders>
              <w:top w:val="single" w:color="4F81BD" w:sz="8" w:space="0"/>
              <w:left w:val="single" w:color="4F81BD" w:sz="8" w:space="0"/>
              <w:bottom w:val="single" w:color="4F81BD" w:sz="8" w:space="0"/>
              <w:right w:val="single" w:color="4F81BD" w:sz="8" w:space="0"/>
            </w:tcBorders>
            <w:vAlign w:val="center"/>
          </w:tcPr>
          <w:p w14:paraId="3285106C">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تأكيد الاستنتاج</w:t>
            </w:r>
          </w:p>
        </w:tc>
        <w:tc>
          <w:tcPr>
            <w:tcW w:w="7155" w:type="dxa"/>
            <w:gridSpan w:val="5"/>
            <w:tcBorders>
              <w:top w:val="single" w:color="4F81BD" w:sz="8" w:space="0"/>
              <w:left w:val="single" w:color="4F81BD" w:sz="8" w:space="0"/>
              <w:bottom w:val="single" w:color="4F81BD" w:sz="8" w:space="0"/>
              <w:right w:val="single" w:color="4F81BD" w:sz="8" w:space="0"/>
            </w:tcBorders>
          </w:tcPr>
          <w:p w14:paraId="4FE6A82C">
            <w:pPr>
              <w:pStyle w:val="49"/>
              <w:snapToGrid w:val="0"/>
              <w:ind w:firstLine="480" w:firstLineChars="200"/>
              <w:jc w:val="left"/>
              <w:rPr>
                <w:rFonts w:hint="eastAsia" w:ascii="宋体" w:hAnsi="宋体" w:eastAsia="宋体" w:cs="宋体"/>
                <w:color w:val="auto"/>
                <w:szCs w:val="24"/>
                <w:highlight w:val="none"/>
                <w:lang w:eastAsia="zh-CN"/>
                <w:rtl/>
              </w:rPr>
              <w:bidi/>
            </w:pPr>
            <w:bookmarkStart w:id="33" w:name="OLE_LINK100"/>
            <w:r>
              <w:rPr>
                <w:rFonts w:hint="eastAsia" w:ascii="宋体" w:hAnsi="宋体" w:eastAsia="宋体" w:cs="宋体"/>
                <w:color w:val="auto"/>
                <w:szCs w:val="24"/>
                <w:highlight w:val="none"/>
                <w:lang w:val="en-US" w:eastAsia="zh-CN"/>
                <w:rtl/>
              </w:rPr>
              <w:t>أكدت التحقيقات أن ضعف خصائص سائل BU41 أدى إلى تدفق كميات كبيرة من السائل المُهدر أثناء عملية النقل المركزي للسائل، مما تسبب مباشرةً في صعوبات في العملية وأعاق الأداء السليم لجهاز فصل المستحلب. وقد نتج عن ذلك انقطاعات متكررة في التيار الكهربائي في جهاز الترسيب الكهروستاتيكي وانخفاض في كفاءة المعالجة. لذا، يُعد ضعف خصائص سائل BU41 أحد العوامل الرئيسية التي تؤثر على فعالية جهاز فصل المستحلب.</w:t>
            </w:r>
            <w:bookmarkEnd w:id="33"/>
          </w:p>
        </w:tc>
      </w:tr>
    </w:tbl>
    <w:p w14:paraId="3662B911">
      <w:pPr>
        <w:pStyle w:val="49"/>
        <w:snapToGrid w:val="0"/>
        <w:rPr>
          <w:rFonts w:hint="eastAsia" w:ascii="宋体" w:hAnsi="宋体" w:eastAsia="宋体" w:cs="宋体"/>
          <w:b/>
          <w:bCs/>
          <w:color w:val="auto"/>
          <w:sz w:val="21"/>
          <w:szCs w:val="21"/>
          <w:highlight w:val="none"/>
          <w:rtl/>
        </w:rPr>
        <w:bidi/>
      </w:pPr>
      <w:r>
        <w:rPr>
          <w:rFonts w:hint="eastAsia" w:ascii="宋体" w:hAnsi="宋体" w:eastAsia="宋体" w:cs="宋体"/>
          <w:color w:val="auto"/>
          <w:sz w:val="21"/>
          <w:szCs w:val="21"/>
          <w:highlight w:val="none"/>
          <w:rtl/>
        </w:rPr>
        <w:t>الإعداد: لو شاوبو التاريخ: 14 أبريل 2025 تمت المراجعة بواسطة: لي بيتشو</w:t>
      </w:r>
    </w:p>
    <w:p w14:paraId="463EC600">
      <w:pPr>
        <w:pStyle w:val="49"/>
        <w:snapToGrid w:val="0"/>
        <w:jc w:val="both"/>
        <w:rPr>
          <w:rFonts w:hint="eastAsia" w:ascii="宋体" w:hAnsi="宋体" w:eastAsia="宋体" w:cs="宋体"/>
          <w:color w:val="auto"/>
          <w:sz w:val="28"/>
          <w:szCs w:val="28"/>
          <w:highlight w:val="none"/>
          <w:lang w:val="en-US" w:eastAsia="zh-CN"/>
          <w:rtl/>
        </w:rPr>
        <w:bidi/>
      </w:pPr>
      <w:r>
        <w:rPr>
          <w:rFonts w:hint="eastAsia" w:ascii="宋体" w:hAnsi="宋体" w:eastAsia="宋体" w:cs="宋体"/>
          <w:b/>
          <w:bCs/>
          <w:color w:val="auto"/>
          <w:sz w:val="28"/>
          <w:szCs w:val="28"/>
          <w:highlight w:val="none"/>
          <w:rtl/>
        </w:rPr>
        <w:t>التأكيد الثالث: استراتيجية تطبيق مزيل الاستحلاب غير معقولة.</w:t>
      </w:r>
    </w:p>
    <w:p w14:paraId="190A575F">
      <w:pPr>
        <w:pStyle w:val="49"/>
        <w:snapToGrid w:val="0"/>
        <w:rPr>
          <w:rFonts w:hint="eastAsia" w:ascii="宋体" w:hAnsi="宋体" w:eastAsia="宋体" w:cs="宋体"/>
          <w:color w:val="auto"/>
          <w:sz w:val="21"/>
          <w:szCs w:val="20"/>
          <w:highlight w:val="none"/>
          <w:rtl/>
        </w:rPr>
        <w:bidi/>
      </w:pPr>
      <w:r>
        <w:rPr>
          <w:rFonts w:hint="eastAsia" w:ascii="宋体" w:hAnsi="宋体" w:eastAsia="宋体" w:cs="宋体"/>
          <w:color w:val="auto"/>
          <w:sz w:val="21"/>
          <w:szCs w:val="20"/>
          <w:highlight w:val="none"/>
          <w:rtl/>
        </w:rPr>
        <w:t>الجدول 6-4 تأكيد السبب، الجدول 3</w:t>
      </w:r>
    </w:p>
    <w:tbl>
      <w:tblPr>
        <w:tblStyle w:val="19"/>
        <w:tblW w:w="8619" w:type="dxa"/>
        <w:jc w:val="cente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1398"/>
        <w:gridCol w:w="1443"/>
        <w:gridCol w:w="1444"/>
        <w:gridCol w:w="1444"/>
        <w:gridCol w:w="1444"/>
        <w:gridCol w:w="1446"/>
      </w:tblGrid>
      <w:tr w14:paraId="7D83F206">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571" w:hRule="atLeast"/>
          <w:jc w:val="center"/>
        </w:trPr>
        <w:tc>
          <w:tcPr>
            <w:tcW w:w="1398" w:type="dxa"/>
            <w:tcBorders>
              <w:top w:val="single" w:color="4F81BD" w:sz="8" w:space="0"/>
              <w:left w:val="single" w:color="4F81BD" w:sz="8" w:space="0"/>
              <w:bottom w:val="single" w:color="4F81BD" w:sz="18" w:space="0"/>
              <w:right w:val="single" w:color="4F81BD" w:sz="8" w:space="0"/>
            </w:tcBorders>
            <w:vAlign w:val="center"/>
          </w:tcPr>
          <w:p w14:paraId="76911C76">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العوامل المؤثرة</w:t>
            </w:r>
          </w:p>
        </w:tc>
        <w:tc>
          <w:tcPr>
            <w:tcW w:w="7221" w:type="dxa"/>
            <w:gridSpan w:val="5"/>
            <w:tcBorders>
              <w:top w:val="single" w:color="4F81BD" w:sz="8" w:space="0"/>
              <w:left w:val="single" w:color="4F81BD" w:sz="8" w:space="0"/>
              <w:bottom w:val="single" w:color="4F81BD" w:sz="18" w:space="0"/>
              <w:right w:val="single" w:color="4F81BD" w:sz="8" w:space="0"/>
            </w:tcBorders>
            <w:vAlign w:val="center"/>
          </w:tcPr>
          <w:p w14:paraId="6AD8F6C9">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إن استراتيجية استخدام مزيل الاستحلاب غير معقولة.</w:t>
            </w:r>
          </w:p>
        </w:tc>
      </w:tr>
      <w:tr w14:paraId="2529AE3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364" w:hRule="atLeast"/>
          <w:jc w:val="center"/>
        </w:trPr>
        <w:tc>
          <w:tcPr>
            <w:tcW w:w="1398" w:type="dxa"/>
            <w:tcBorders>
              <w:top w:val="single" w:color="4F81BD" w:sz="8" w:space="0"/>
              <w:left w:val="single" w:color="4F81BD" w:sz="8" w:space="0"/>
              <w:bottom w:val="single" w:color="4F81BD" w:sz="8" w:space="0"/>
              <w:right w:val="single" w:color="4F81BD" w:sz="8" w:space="0"/>
            </w:tcBorders>
            <w:shd w:val="clear" w:color="auto" w:fill="D3DFEE"/>
            <w:vAlign w:val="center"/>
          </w:tcPr>
          <w:p w14:paraId="3CB5B926">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طريقة التأكيد</w:t>
            </w:r>
          </w:p>
        </w:tc>
        <w:tc>
          <w:tcPr>
            <w:tcW w:w="7221" w:type="dxa"/>
            <w:gridSpan w:val="5"/>
            <w:tcBorders>
              <w:top w:val="single" w:color="4F81BD" w:sz="8" w:space="0"/>
              <w:left w:val="single" w:color="4F81BD" w:sz="8" w:space="0"/>
              <w:bottom w:val="single" w:color="4F81BD" w:sz="8" w:space="0"/>
              <w:right w:val="single" w:color="4F81BD" w:sz="8" w:space="0"/>
            </w:tcBorders>
            <w:shd w:val="clear" w:color="auto" w:fill="D3DFEE"/>
            <w:vAlign w:val="center"/>
          </w:tcPr>
          <w:p w14:paraId="68AC0605">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قم بإجراء تحليل تجفيف الزجاجة مرة أخرى للتحقق من منطقية التركيز المضاف.</w:t>
            </w:r>
          </w:p>
        </w:tc>
      </w:tr>
      <w:tr w14:paraId="496D29FA">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678" w:hRule="atLeast"/>
          <w:jc w:val="center"/>
        </w:trPr>
        <w:tc>
          <w:tcPr>
            <w:tcW w:w="1398" w:type="dxa"/>
            <w:tcBorders>
              <w:top w:val="single" w:color="4F81BD" w:sz="8" w:space="0"/>
              <w:left w:val="single" w:color="4F81BD" w:sz="8" w:space="0"/>
              <w:bottom w:val="single" w:color="4F81BD" w:sz="8" w:space="0"/>
              <w:right w:val="single" w:color="4F81BD" w:sz="8" w:space="0"/>
            </w:tcBorders>
            <w:vAlign w:val="center"/>
          </w:tcPr>
          <w:p w14:paraId="348CD662">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الشخص المسؤول عن التأكيد</w:t>
            </w:r>
          </w:p>
        </w:tc>
        <w:tc>
          <w:tcPr>
            <w:tcW w:w="1443" w:type="dxa"/>
            <w:tcBorders>
              <w:top w:val="single" w:color="4F81BD" w:sz="8" w:space="0"/>
              <w:left w:val="single" w:color="4F81BD" w:sz="8" w:space="0"/>
              <w:bottom w:val="single" w:color="4F81BD" w:sz="8" w:space="0"/>
              <w:right w:val="single" w:color="4F81BD" w:sz="8" w:space="0"/>
            </w:tcBorders>
            <w:vAlign w:val="center"/>
          </w:tcPr>
          <w:p w14:paraId="2F28D7AB">
            <w:pPr>
              <w:pStyle w:val="49"/>
              <w:rPr>
                <w:rFonts w:hint="eastAsia" w:ascii="宋体" w:hAnsi="宋体" w:eastAsia="宋体" w:cs="宋体"/>
                <w:color w:val="auto"/>
                <w:sz w:val="24"/>
                <w:szCs w:val="24"/>
                <w:highlight w:val="none"/>
                <w:rtl/>
              </w:rPr>
              <w:bidi/>
            </w:pPr>
            <w:r>
              <w:rPr>
                <w:rFonts w:hint="eastAsia" w:ascii="宋体" w:hAnsi="宋体" w:eastAsia="宋体" w:cs="宋体"/>
                <w:color w:val="auto"/>
                <w:sz w:val="24"/>
                <w:szCs w:val="24"/>
                <w:highlight w:val="none"/>
                <w:rtl/>
              </w:rPr>
              <w:t>تشانغ هاو</w:t>
            </w:r>
          </w:p>
          <w:p w14:paraId="0644BE7E">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 w:val="24"/>
                <w:szCs w:val="24"/>
                <w:highlight w:val="none"/>
                <w:rtl/>
              </w:rPr>
              <w:t>تشن ليغوانغ</w:t>
            </w:r>
          </w:p>
        </w:tc>
        <w:tc>
          <w:tcPr>
            <w:tcW w:w="1444" w:type="dxa"/>
            <w:tcBorders>
              <w:top w:val="single" w:color="4F81BD" w:sz="8" w:space="0"/>
              <w:left w:val="single" w:color="4F81BD" w:sz="8" w:space="0"/>
              <w:bottom w:val="single" w:color="4F81BD" w:sz="8" w:space="0"/>
              <w:right w:val="single" w:color="4F81BD" w:sz="8" w:space="0"/>
            </w:tcBorders>
            <w:vAlign w:val="center"/>
          </w:tcPr>
          <w:p w14:paraId="34C49290">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وقت التأكيد</w:t>
            </w:r>
          </w:p>
        </w:tc>
        <w:tc>
          <w:tcPr>
            <w:tcW w:w="1444" w:type="dxa"/>
            <w:tcBorders>
              <w:top w:val="single" w:color="4F81BD" w:sz="8" w:space="0"/>
              <w:left w:val="single" w:color="4F81BD" w:sz="8" w:space="0"/>
              <w:bottom w:val="single" w:color="4F81BD" w:sz="8" w:space="0"/>
              <w:right w:val="single" w:color="4F81BD" w:sz="8" w:space="0"/>
            </w:tcBorders>
            <w:vAlign w:val="center"/>
          </w:tcPr>
          <w:p w14:paraId="5D5C8A29">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15 أبريل 2025</w:t>
            </w:r>
          </w:p>
        </w:tc>
        <w:tc>
          <w:tcPr>
            <w:tcW w:w="1444" w:type="dxa"/>
            <w:tcBorders>
              <w:top w:val="single" w:color="4F81BD" w:sz="8" w:space="0"/>
              <w:left w:val="single" w:color="4F81BD" w:sz="8" w:space="0"/>
              <w:bottom w:val="single" w:color="4F81BD" w:sz="8" w:space="0"/>
              <w:right w:val="single" w:color="4F81BD" w:sz="8" w:space="0"/>
            </w:tcBorders>
            <w:vAlign w:val="center"/>
          </w:tcPr>
          <w:p w14:paraId="4059A17E">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تأكيد الموقع</w:t>
            </w:r>
          </w:p>
        </w:tc>
        <w:tc>
          <w:tcPr>
            <w:tcW w:w="1446" w:type="dxa"/>
            <w:tcBorders>
              <w:top w:val="single" w:color="4F81BD" w:sz="8" w:space="0"/>
              <w:left w:val="single" w:color="4F81BD" w:sz="8" w:space="0"/>
              <w:bottom w:val="single" w:color="4F81BD" w:sz="8" w:space="0"/>
              <w:right w:val="single" w:color="4F81BD" w:sz="8" w:space="0"/>
            </w:tcBorders>
            <w:vAlign w:val="center"/>
          </w:tcPr>
          <w:p w14:paraId="6BC1EDC5">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مختبر، ميداني</w:t>
            </w:r>
          </w:p>
        </w:tc>
      </w:tr>
      <w:tr w14:paraId="73D54274">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7666" w:hRule="atLeast"/>
          <w:jc w:val="center"/>
        </w:trPr>
        <w:tc>
          <w:tcPr>
            <w:tcW w:w="1398" w:type="dxa"/>
            <w:tcBorders>
              <w:top w:val="single" w:color="4F81BD" w:sz="8" w:space="0"/>
              <w:left w:val="single" w:color="4F81BD" w:sz="8" w:space="0"/>
              <w:bottom w:val="single" w:color="4F81BD" w:sz="8" w:space="0"/>
              <w:right w:val="single" w:color="4F81BD" w:sz="8" w:space="0"/>
            </w:tcBorders>
            <w:shd w:val="clear" w:color="auto" w:fill="D3DFEE"/>
            <w:vAlign w:val="center"/>
          </w:tcPr>
          <w:p w14:paraId="6C2AB9F8">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عملية التأكيد</w:t>
            </w:r>
          </w:p>
        </w:tc>
        <w:tc>
          <w:tcPr>
            <w:tcW w:w="7221" w:type="dxa"/>
            <w:gridSpan w:val="5"/>
            <w:tcBorders>
              <w:top w:val="single" w:color="4F81BD" w:sz="8" w:space="0"/>
              <w:left w:val="single" w:color="4F81BD" w:sz="8" w:space="0"/>
              <w:bottom w:val="single" w:color="4F81BD" w:sz="8" w:space="0"/>
              <w:right w:val="single" w:color="4F81BD" w:sz="8" w:space="0"/>
            </w:tcBorders>
            <w:shd w:val="clear" w:color="auto" w:fill="D3DFEE"/>
            <w:vAlign w:val="top"/>
          </w:tcPr>
          <w:p w14:paraId="03EC68FB">
            <w:pPr>
              <w:pStyle w:val="49"/>
              <w:snapToGrid w:val="0"/>
              <w:ind w:firstLine="480" w:firstLineChars="200"/>
              <w:jc w:val="left"/>
              <w:rPr>
                <w:rFonts w:hint="eastAsia" w:ascii="宋体" w:hAnsi="宋体" w:eastAsia="宋体" w:cs="宋体"/>
                <w:sz w:val="24"/>
                <w:szCs w:val="24"/>
                <w:rtl/>
              </w:rPr>
              <w:bidi/>
            </w:pPr>
            <w:r>
              <w:rPr>
                <w:rFonts w:hint="eastAsia" w:ascii="宋体" w:hAnsi="宋体" w:eastAsia="宋体" w:cs="宋体"/>
                <w:sz w:val="24"/>
                <w:szCs w:val="24"/>
                <w:rtl/>
              </w:rPr>
              <w:t>أجرى عضوا الفريق، تشانغ هاو وتشن ليغوانغ، اختبارات تجفيف باستخدام زجاجات مزيل الاستحلاب في محطتي إزالة الغازات FQN وFQS. ووجدا أن تأثير التجفيف كان ضعيفًا والاستحلاب شديدًا عند الجرعة الأصلية، مما يشير إلى عدم كفاية جرعة مزيل الاستحلاب. وكشفت محاولات لاحقة لزيادة تركيز مزيل الاستحلاب أن زيادة تركيز مزيل الاستحلاب FQN إلى 60-70 جزءًا في المليون أدت إلى زيادة ملحوظة في حجم التجفيف دون إعادة الاستحلاب. وفي محطة إزالة الغازات FQN، أدت زيادة التركيز إلى 120 جزءًا في المليون إلى تحسين تأثيرات إزالة الاستحلاب والتجفيف، مما خفف من الاستحلاب. وهذا يدل على أن فعالية مزيل الاستحلاب الحالي غير كافية لتلبية متطلبات المعالجة.</w:t>
            </w:r>
          </w:p>
          <w:p w14:paraId="6B017FFD">
            <w:pPr>
              <w:pStyle w:val="49"/>
              <w:snapToGrid w:val="0"/>
              <w:ind w:firstLine="480" w:firstLineChars="200"/>
              <w:jc w:val="left"/>
              <w:rPr>
                <w:rFonts w:hint="eastAsia" w:ascii="宋体" w:hAnsi="宋体" w:eastAsia="宋体" w:cs="宋体"/>
                <w:sz w:val="24"/>
                <w:szCs w:val="24"/>
                <w:rtl/>
              </w:rPr>
              <w:bidi/>
            </w:pPr>
          </w:p>
          <w:p w14:paraId="60DB9E2F">
            <w:pPr>
              <w:pStyle w:val="49"/>
              <w:keepNext w:val="0"/>
              <w:keepLines w:val="0"/>
              <w:pageBreakBefore w:val="0"/>
              <w:widowControl w:val="0"/>
              <w:kinsoku/>
              <w:wordWrap/>
              <w:overflowPunct/>
              <w:topLinePunct w:val="0"/>
              <w:autoSpaceDE/>
              <w:autoSpaceDN/>
              <w:adjustRightInd/>
              <w:snapToGrid w:val="0"/>
              <w:spacing w:line="240" w:lineRule="exact"/>
              <w:jc w:val="center"/>
              <w:textAlignment w:val="auto"/>
              <w:rPr>
                <w:rFonts w:hint="eastAsia" w:ascii="宋体" w:hAnsi="宋体" w:eastAsia="宋体" w:cs="宋体"/>
                <w:color w:val="auto"/>
                <w:szCs w:val="24"/>
                <w:highlight w:val="none"/>
                <w:rtl/>
              </w:rPr>
            </w:pPr>
            <w:r>
              <w:rPr>
                <w:rFonts w:hint="eastAsia" w:ascii="宋体" w:hAnsi="宋体" w:eastAsia="宋体" w:cs="宋体"/>
                <w:b/>
                <w:color w:val="auto"/>
                <w:sz w:val="21"/>
                <w:szCs w:val="24"/>
                <w:highlight w:val="none"/>
                <w:rtl/>
              </w:rPr>
              <w:t>ورقة بيانات تجفيف FQN</w:t>
            </w:r>
          </w:p>
          <w:tbl>
            <w:tblPr>
              <w:tblStyle w:val="19"/>
              <w:tblpPr w:leftFromText="180" w:rightFromText="180" w:vertAnchor="text" w:horzAnchor="page" w:tblpXSpec="center" w:tblpY="301"/>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646"/>
              <w:gridCol w:w="1209"/>
              <w:gridCol w:w="1325"/>
              <w:gridCol w:w="1290"/>
              <w:gridCol w:w="1294"/>
              <w:gridCol w:w="1036"/>
            </w:tblGrid>
            <w:tr w14:paraId="00E04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71AA464">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p>
                <w:p w14:paraId="1F89EE5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رقم سري</w:t>
                  </w:r>
                </w:p>
              </w:tc>
              <w:tc>
                <w:tcPr>
                  <w:tcW w:w="1209"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651F617">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تركيز</w:t>
                  </w:r>
                </w:p>
                <w:p w14:paraId="6C111C4A">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(جزء في المليون)</w:t>
                  </w:r>
                </w:p>
              </w:tc>
              <w:tc>
                <w:tcPr>
                  <w:tcW w:w="3909" w:type="dxa"/>
                  <w:gridSpan w:val="3"/>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2D897A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مدة الجفاف وحجم الجفاف (مل)</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3AC2FBE">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الحجم بعد الطرد المركزي (مل)</w:t>
                  </w:r>
                </w:p>
              </w:tc>
            </w:tr>
            <w:tr w14:paraId="6EA3A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vMerge w:val="continue"/>
                  <w:tcBorders>
                    <w:top w:val="nil"/>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A109990">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p>
              </w:tc>
              <w:tc>
                <w:tcPr>
                  <w:tcW w:w="1209" w:type="dxa"/>
                  <w:vMerge w:val="continue"/>
                  <w:tcBorders>
                    <w:top w:val="nil"/>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92AD2E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2A52B0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10 دقائق</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BE39CE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20 دقيقة</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092359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30 دقيقة</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E16D8AC">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ماء</w:t>
                  </w:r>
                </w:p>
              </w:tc>
            </w:tr>
            <w:tr w14:paraId="3BE37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1"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643262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0EF7718">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464C4F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F8DAD21">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CAB0A2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0.05</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DDD829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1.25</w:t>
                  </w:r>
                </w:p>
              </w:tc>
            </w:tr>
            <w:tr w14:paraId="4A63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C65AC55">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2</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5B28DA2">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20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94D3D8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2E759F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EC66AE2">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0.1</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1A2DF31">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2.5</w:t>
                  </w:r>
                </w:p>
              </w:tc>
            </w:tr>
            <w:tr w14:paraId="1E140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3AE2DE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3</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78E530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30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A91C7C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72F2D7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841A491">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0.1</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C18A04E">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4</w:t>
                  </w:r>
                </w:p>
              </w:tc>
            </w:tr>
            <w:tr w14:paraId="5206B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86981F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4</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F862D6C">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40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0847AFA">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903A28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4F4127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0.15</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31134AC">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4.5</w:t>
                  </w:r>
                </w:p>
              </w:tc>
            </w:tr>
            <w:tr w14:paraId="3FC2A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69DD30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5</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B251E81">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50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61F9EA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75D4C5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1D2D6B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0.4</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C460E7C">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5</w:t>
                  </w:r>
                </w:p>
              </w:tc>
            </w:tr>
            <w:tr w14:paraId="514AA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1"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C7F8AA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6</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3476F2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60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E4F1E02">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4730090">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0.2</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C8A08B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1.2</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5EA1B21">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6.5</w:t>
                  </w:r>
                </w:p>
              </w:tc>
            </w:tr>
            <w:tr w14:paraId="71A24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3DCA37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7</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E8AEEF8">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70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130582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6AD9A2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30D41F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3.8</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25F432E">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8</w:t>
                  </w:r>
                </w:p>
              </w:tc>
            </w:tr>
            <w:tr w14:paraId="30066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1"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D78C017">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8</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44BC39C">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80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54AF85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7144701">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1.4</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7B2898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5</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6F6973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8.5</w:t>
                  </w:r>
                </w:p>
              </w:tc>
            </w:tr>
            <w:tr w14:paraId="725F6E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732181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9</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E62DFF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90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798B06C">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B0E8702">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2.2</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B021CA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5.2</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50F149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8.5</w:t>
                  </w:r>
                </w:p>
              </w:tc>
            </w:tr>
          </w:tbl>
          <w:p w14:paraId="1C59BB3B">
            <w:pPr>
              <w:pStyle w:val="49"/>
              <w:snapToGrid w:val="0"/>
              <w:jc w:val="left"/>
              <w:rPr>
                <w:rFonts w:hint="eastAsia" w:ascii="宋体" w:hAnsi="宋体" w:eastAsia="宋体" w:cs="宋体"/>
                <w:color w:val="auto"/>
                <w:szCs w:val="24"/>
                <w:highlight w:val="none"/>
                <w:rtl/>
              </w:rPr>
              <w:bidi/>
            </w:pPr>
          </w:p>
          <w:p w14:paraId="0E129423">
            <w:pPr>
              <w:pStyle w:val="49"/>
              <w:keepNext w:val="0"/>
              <w:keepLines w:val="0"/>
              <w:pageBreakBefore w:val="0"/>
              <w:widowControl w:val="0"/>
              <w:kinsoku/>
              <w:wordWrap/>
              <w:overflowPunct/>
              <w:topLinePunct w:val="0"/>
              <w:autoSpaceDE/>
              <w:autoSpaceDN/>
              <w:adjustRightInd/>
              <w:snapToGrid w:val="0"/>
              <w:spacing w:line="240" w:lineRule="exact"/>
              <w:jc w:val="center"/>
              <w:textAlignment w:val="auto"/>
              <w:rPr>
                <w:rFonts w:hint="eastAsia" w:ascii="宋体" w:hAnsi="宋体" w:eastAsia="宋体" w:cs="宋体"/>
                <w:b/>
                <w:color w:val="auto"/>
                <w:spacing w:val="-5"/>
                <w:sz w:val="21"/>
                <w:szCs w:val="24"/>
                <w:highlight w:val="none"/>
                <w:rtl/>
              </w:rPr>
            </w:pPr>
            <w:r>
              <w:rPr>
                <w:rFonts w:hint="eastAsia" w:ascii="宋体" w:hAnsi="宋体" w:eastAsia="宋体" w:cs="宋体"/>
                <w:b/>
                <w:color w:val="auto"/>
                <w:sz w:val="21"/>
                <w:szCs w:val="24"/>
                <w:highlight w:val="none"/>
                <w:rtl/>
              </w:rPr>
              <w:t>ورقة بيانات تجفيف FQS</w:t>
            </w:r>
          </w:p>
          <w:p w14:paraId="43D4D06E">
            <w:pPr>
              <w:pStyle w:val="49"/>
              <w:keepNext w:val="0"/>
              <w:keepLines w:val="0"/>
              <w:pageBreakBefore w:val="0"/>
              <w:widowControl w:val="0"/>
              <w:kinsoku/>
              <w:wordWrap/>
              <w:overflowPunct/>
              <w:topLinePunct w:val="0"/>
              <w:autoSpaceDE/>
              <w:autoSpaceDN/>
              <w:adjustRightInd/>
              <w:snapToGrid w:val="0"/>
              <w:spacing w:line="240" w:lineRule="exact"/>
              <w:jc w:val="center"/>
              <w:textAlignment w:val="auto"/>
              <w:rPr>
                <w:rFonts w:hint="eastAsia" w:ascii="宋体" w:hAnsi="宋体" w:eastAsia="宋体" w:cs="宋体"/>
                <w:b/>
                <w:color w:val="auto"/>
                <w:spacing w:val="-5"/>
                <w:sz w:val="21"/>
                <w:szCs w:val="24"/>
                <w:highlight w:val="none"/>
                <w:rtl/>
              </w:rPr>
            </w:pPr>
          </w:p>
          <w:tbl>
            <w:tblPr>
              <w:tblStyle w:val="19"/>
              <w:tblpPr w:leftFromText="180" w:rightFromText="180" w:vertAnchor="text" w:horzAnchor="page" w:tblpXSpec="center" w:tblpY="301"/>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fixed"/>
              <w:tblCellMar>
                <w:top w:w="0" w:type="dxa"/>
                <w:left w:w="108" w:type="dxa"/>
                <w:bottom w:w="0" w:type="dxa"/>
                <w:right w:w="108" w:type="dxa"/>
              </w:tblCellMar>
            </w:tblPr>
            <w:tblGrid>
              <w:gridCol w:w="646"/>
              <w:gridCol w:w="1209"/>
              <w:gridCol w:w="1325"/>
              <w:gridCol w:w="1290"/>
              <w:gridCol w:w="1294"/>
              <w:gridCol w:w="1036"/>
            </w:tblGrid>
            <w:tr w14:paraId="60764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67779F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p>
                <w:p w14:paraId="2E594C94">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رقم سري</w:t>
                  </w:r>
                </w:p>
              </w:tc>
              <w:tc>
                <w:tcPr>
                  <w:tcW w:w="1209"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68004E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تركيز</w:t>
                  </w:r>
                </w:p>
                <w:p w14:paraId="5BB5A915">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(جزء في المليون)</w:t>
                  </w:r>
                </w:p>
              </w:tc>
              <w:tc>
                <w:tcPr>
                  <w:tcW w:w="3909" w:type="dxa"/>
                  <w:gridSpan w:val="3"/>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1CAD1F0">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مدة الجفاف وحجم الجفاف (مل)</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CB91AC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الحجم بعد الطرد المركزي (مل)</w:t>
                  </w:r>
                </w:p>
              </w:tc>
            </w:tr>
            <w:tr w14:paraId="25370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vMerge w:val="continue"/>
                  <w:tcBorders>
                    <w:top w:val="nil"/>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9E5A0D4">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p>
              </w:tc>
              <w:tc>
                <w:tcPr>
                  <w:tcW w:w="1209" w:type="dxa"/>
                  <w:vMerge w:val="continue"/>
                  <w:tcBorders>
                    <w:top w:val="nil"/>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C4C3F40">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EFF0E57">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10 دقائق</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2D49047">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20 دقيقة</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238B212">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30 دقيقة</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B2A8E6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ماء</w:t>
                  </w:r>
                </w:p>
              </w:tc>
            </w:tr>
            <w:tr w14:paraId="361F4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1"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BB0B54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1</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0A7768E">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20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3CDF96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0</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C3A67A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rtl/>
                    </w:rPr>
                    <w:t>0.1</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9A2FF1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rtl/>
                    </w:rPr>
                    <w:t>0.2</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4BB5275">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0.1</w:t>
                  </w:r>
                </w:p>
              </w:tc>
            </w:tr>
            <w:tr w14:paraId="13E21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6C3EFA0">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2</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023B17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40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FA7B965">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0.1</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7B6C0F8">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0.6</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FED891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1.6</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8145E05">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0.8</w:t>
                  </w:r>
                </w:p>
              </w:tc>
            </w:tr>
            <w:tr w14:paraId="24259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65AD9A0">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3</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CA03CC4">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60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3A158CE">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0.2</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F95F2C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1.5</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1E8B8E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4</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6AE6B6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w:t>
                  </w:r>
                </w:p>
              </w:tc>
            </w:tr>
            <w:tr w14:paraId="5ED9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D55F841">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4</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8A82EC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80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2373B5C4">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1.6</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6B038BB4">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4.5</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B5394B4">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4</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1D20EF7">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1.4</w:t>
                  </w:r>
                </w:p>
              </w:tc>
            </w:tr>
            <w:tr w14:paraId="5EEAF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2"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B4FA53F">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5</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479D5390">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100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3C9BFFF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3.4</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63CFE5B">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8</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5D05B8D">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10</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EA47E72">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2.6</w:t>
                  </w:r>
                </w:p>
              </w:tc>
            </w:tr>
            <w:tr w14:paraId="59628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rPr>
                <w:trHeight w:val="311" w:hRule="atLeast"/>
                <w:jc w:val="center"/>
              </w:trPr>
              <w:tc>
                <w:tcPr>
                  <w:tcW w:w="64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7BEFC563">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rtl/>
                    </w:rPr>
                  </w:pPr>
                  <w:r>
                    <w:rPr>
                      <w:rFonts w:hint="eastAsia" w:ascii="宋体" w:hAnsi="宋体" w:eastAsia="宋体" w:cs="宋体"/>
                      <w:bCs/>
                      <w:color w:val="auto"/>
                      <w:kern w:val="0"/>
                      <w:szCs w:val="21"/>
                      <w:highlight w:val="none"/>
                      <w:rtl/>
                    </w:rPr>
                    <w:t>6</w:t>
                  </w:r>
                </w:p>
              </w:tc>
              <w:tc>
                <w:tcPr>
                  <w:tcW w:w="1209"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083D169">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120</w:t>
                  </w:r>
                </w:p>
              </w:tc>
              <w:tc>
                <w:tcPr>
                  <w:tcW w:w="1325"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B56C59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4.5</w:t>
                  </w:r>
                </w:p>
              </w:tc>
              <w:tc>
                <w:tcPr>
                  <w:tcW w:w="1290"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0D366375">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9.5</w:t>
                  </w:r>
                </w:p>
              </w:tc>
              <w:tc>
                <w:tcPr>
                  <w:tcW w:w="1294"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158D7BBE">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12</w:t>
                  </w:r>
                </w:p>
              </w:tc>
              <w:tc>
                <w:tcPr>
                  <w:tcW w:w="1036" w:type="dxa"/>
                  <w:tcBorders>
                    <w:top w:val="single" w:color="000000" w:sz="4" w:space="0"/>
                    <w:left w:val="single" w:color="000000" w:sz="4" w:space="0"/>
                    <w:bottom w:val="single" w:color="000000" w:sz="4" w:space="0"/>
                    <w:right w:val="single" w:color="000000" w:sz="4" w:space="0"/>
                    <w:tl2br w:val="nil"/>
                    <w:tr2bl w:val="nil"/>
                  </w:tcBorders>
                  <w:shd w:val="clear" w:color="auto" w:fill="FFFFFF" w:themeFill="background1"/>
                  <w:noWrap w:val="0"/>
                  <w:vAlign w:val="top"/>
                </w:tcPr>
                <w:p w14:paraId="51B235E6">
                  <w:pPr>
                    <w:keepNext w:val="0"/>
                    <w:keepLines w:val="0"/>
                    <w:pageBreakBefore w:val="0"/>
                    <w:widowControl/>
                    <w:kinsoku/>
                    <w:wordWrap/>
                    <w:overflowPunct/>
                    <w:topLinePunct w:val="0"/>
                    <w:autoSpaceDE/>
                    <w:autoSpaceDN/>
                    <w:adjustRightInd/>
                    <w:snapToGrid/>
                    <w:spacing w:line="240" w:lineRule="atLeast"/>
                    <w:jc w:val="center"/>
                    <w:textAlignment w:val="auto"/>
                    <w:rPr>
                      <w:rFonts w:hint="eastAsia" w:ascii="宋体" w:hAnsi="宋体" w:eastAsia="宋体" w:cs="宋体"/>
                      <w:bCs/>
                      <w:color w:val="auto"/>
                      <w:kern w:val="0"/>
                      <w:szCs w:val="21"/>
                      <w:highlight w:val="none"/>
                      <w:lang w:val="en-US" w:eastAsia="zh-CN"/>
                      <w:rtl/>
                    </w:rPr>
                  </w:pPr>
                  <w:r>
                    <w:rPr>
                      <w:rFonts w:hint="eastAsia" w:ascii="宋体" w:hAnsi="宋体" w:eastAsia="宋体" w:cs="宋体"/>
                      <w:bCs/>
                      <w:color w:val="auto"/>
                      <w:kern w:val="0"/>
                      <w:szCs w:val="21"/>
                      <w:highlight w:val="none"/>
                      <w:lang w:val="en-US" w:eastAsia="zh-CN"/>
                      <w:rtl/>
                    </w:rPr>
                    <w:t>4</w:t>
                  </w:r>
                </w:p>
              </w:tc>
            </w:tr>
          </w:tbl>
          <w:p w14:paraId="0626DE12">
            <w:pPr>
              <w:pStyle w:val="49"/>
              <w:keepNext w:val="0"/>
              <w:keepLines w:val="0"/>
              <w:pageBreakBefore w:val="0"/>
              <w:widowControl w:val="0"/>
              <w:kinsoku/>
              <w:wordWrap/>
              <w:overflowPunct/>
              <w:topLinePunct w:val="0"/>
              <w:autoSpaceDE/>
              <w:autoSpaceDN/>
              <w:adjustRightInd/>
              <w:snapToGrid w:val="0"/>
              <w:spacing w:line="240" w:lineRule="exact"/>
              <w:jc w:val="both"/>
              <w:textAlignment w:val="auto"/>
              <w:rPr>
                <w:rFonts w:hint="eastAsia" w:ascii="宋体" w:hAnsi="宋体" w:eastAsia="宋体" w:cs="宋体"/>
                <w:b/>
                <w:color w:val="auto"/>
                <w:spacing w:val="-5"/>
                <w:sz w:val="21"/>
                <w:szCs w:val="24"/>
                <w:highlight w:val="none"/>
                <w:lang w:val="en-US" w:eastAsia="zh-CN"/>
                <w:rtl/>
              </w:rPr>
            </w:pPr>
          </w:p>
          <w:p w14:paraId="7C25828F">
            <w:pPr>
              <w:pStyle w:val="49"/>
              <w:keepNext w:val="0"/>
              <w:keepLines w:val="0"/>
              <w:pageBreakBefore w:val="0"/>
              <w:widowControl w:val="0"/>
              <w:kinsoku/>
              <w:wordWrap/>
              <w:overflowPunct/>
              <w:topLinePunct w:val="0"/>
              <w:autoSpaceDE/>
              <w:autoSpaceDN/>
              <w:adjustRightInd/>
              <w:snapToGrid w:val="0"/>
              <w:spacing w:line="240" w:lineRule="exact"/>
              <w:jc w:val="center"/>
              <w:textAlignment w:val="auto"/>
              <w:rPr>
                <w:rFonts w:hint="eastAsia" w:ascii="宋体" w:hAnsi="宋体" w:eastAsia="宋体" w:cs="宋体"/>
                <w:b/>
                <w:color w:val="auto"/>
                <w:spacing w:val="-5"/>
                <w:sz w:val="21"/>
                <w:szCs w:val="24"/>
                <w:highlight w:val="none"/>
                <w:lang w:val="en-US" w:eastAsia="zh-CN"/>
                <w:rtl/>
              </w:rPr>
            </w:pPr>
          </w:p>
          <w:p w14:paraId="73079339">
            <w:pPr>
              <w:pStyle w:val="49"/>
              <w:keepNext w:val="0"/>
              <w:keepLines w:val="0"/>
              <w:pageBreakBefore w:val="0"/>
              <w:widowControl w:val="0"/>
              <w:kinsoku/>
              <w:wordWrap/>
              <w:overflowPunct/>
              <w:topLinePunct w:val="0"/>
              <w:autoSpaceDE/>
              <w:autoSpaceDN/>
              <w:adjustRightInd/>
              <w:snapToGrid w:val="0"/>
              <w:spacing w:line="240" w:lineRule="exact"/>
              <w:jc w:val="left"/>
              <w:textAlignment w:val="auto"/>
              <w:rPr>
                <w:rFonts w:hint="eastAsia" w:ascii="宋体" w:hAnsi="宋体" w:eastAsia="宋体" w:cs="宋体"/>
                <w:b w:val="0"/>
                <w:bCs/>
                <w:color w:val="auto"/>
                <w:spacing w:val="-5"/>
                <w:sz w:val="24"/>
                <w:szCs w:val="24"/>
                <w:highlight w:val="none"/>
                <w:lang w:val="en-US" w:eastAsia="zh-CN"/>
                <w:rtl/>
              </w:rPr>
            </w:pPr>
            <w:r>
              <w:rPr>
                <w:rFonts w:hint="eastAsia" w:ascii="宋体" w:hAnsi="宋体" w:eastAsia="宋体" w:cs="宋体"/>
                <w:b w:val="0"/>
                <w:bCs/>
                <w:color w:val="auto"/>
                <w:spacing w:val="-5"/>
                <w:sz w:val="24"/>
                <w:szCs w:val="24"/>
                <w:highlight w:val="none"/>
                <w:lang w:val="en-US" w:eastAsia="zh-CN"/>
                <w:rtl/>
              </w:rPr>
              <w:t>بالنظر إلى محطة FQ كمثال، وجد الفريق أن المحطة تفتقر إلى إدارة دقيقة لحقن الكواشف، حيث كانت الجرعة تتبع التركيز الموصى به فقط. وكشف مسحٌ لسبع محطات لإزالة الغازات مزودة بإمكانية حقن الكواشف عن مشكلة شائعة تتمثل في الحقن العشوائي ونقص الإدارة الدقيقة، مما أدى إلى ضعف أداء مزيل الاستحلاب بشكل عام وهدر كبير. ولأن الحقن في المراحل الأولية لم يكن مضبوطًا بشكل فعال، اضطرت المحطات اللاحقة إلى زيادة جرعة الكواشف لتعويض انخفاض فعالية المعالجة.</w:t>
            </w:r>
          </w:p>
          <w:p w14:paraId="1C10270D">
            <w:pPr>
              <w:pStyle w:val="49"/>
              <w:keepNext w:val="0"/>
              <w:keepLines w:val="0"/>
              <w:pageBreakBefore w:val="0"/>
              <w:widowControl w:val="0"/>
              <w:kinsoku/>
              <w:wordWrap/>
              <w:overflowPunct/>
              <w:topLinePunct w:val="0"/>
              <w:autoSpaceDE/>
              <w:autoSpaceDN/>
              <w:adjustRightInd/>
              <w:snapToGrid w:val="0"/>
              <w:spacing w:line="240" w:lineRule="exact"/>
              <w:jc w:val="left"/>
              <w:textAlignment w:val="auto"/>
              <w:rPr>
                <w:rFonts w:hint="eastAsia" w:ascii="宋体" w:hAnsi="宋体" w:eastAsia="宋体" w:cs="宋体"/>
                <w:b w:val="0"/>
                <w:bCs/>
                <w:color w:val="auto"/>
                <w:spacing w:val="-5"/>
                <w:sz w:val="24"/>
                <w:szCs w:val="24"/>
                <w:highlight w:val="none"/>
                <w:lang w:val="en-US" w:eastAsia="zh-CN"/>
                <w:rtl/>
              </w:rPr>
            </w:pPr>
          </w:p>
          <w:p w14:paraId="62C3558A">
            <w:pPr>
              <w:pStyle w:val="49"/>
              <w:keepNext w:val="0"/>
              <w:keepLines w:val="0"/>
              <w:pageBreakBefore w:val="0"/>
              <w:widowControl w:val="0"/>
              <w:kinsoku/>
              <w:wordWrap/>
              <w:overflowPunct/>
              <w:topLinePunct w:val="0"/>
              <w:autoSpaceDE/>
              <w:autoSpaceDN/>
              <w:adjustRightInd/>
              <w:snapToGrid w:val="0"/>
              <w:spacing w:line="240" w:lineRule="exact"/>
              <w:jc w:val="center"/>
              <w:textAlignment w:val="auto"/>
              <w:rPr>
                <w:rFonts w:hint="eastAsia" w:ascii="宋体" w:hAnsi="宋体" w:eastAsia="宋体" w:cs="宋体"/>
                <w:b/>
                <w:color w:val="auto"/>
                <w:sz w:val="21"/>
                <w:szCs w:val="24"/>
                <w:highlight w:val="none"/>
                <w:lang w:val="en-US" w:eastAsia="zh-CN"/>
                <w:rtl/>
              </w:rPr>
            </w:pPr>
            <w:r>
              <w:rPr>
                <w:rFonts w:hint="eastAsia" w:ascii="宋体" w:hAnsi="宋体" w:eastAsia="宋体" w:cs="宋体"/>
                <w:b/>
                <w:color w:val="auto"/>
                <w:sz w:val="21"/>
                <w:szCs w:val="24"/>
                <w:highlight w:val="none"/>
                <w:lang w:val="en-US" w:eastAsia="zh-CN"/>
                <w:rtl/>
              </w:rPr>
              <w:t>تركيز مزيل الاستحلاب في كل محطة</w:t>
            </w:r>
          </w:p>
          <w:tbl>
            <w:tblPr>
              <w:tblStyle w:val="19"/>
              <w:tblW w:w="6900" w:type="dxa"/>
              <w:tblInd w:w="-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3"/>
              <w:gridCol w:w="715"/>
              <w:gridCol w:w="704"/>
              <w:gridCol w:w="750"/>
              <w:gridCol w:w="681"/>
              <w:gridCol w:w="715"/>
              <w:gridCol w:w="733"/>
              <w:gridCol w:w="686"/>
              <w:gridCol w:w="933"/>
            </w:tblGrid>
            <w:tr w14:paraId="032FC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83" w:type="dxa"/>
                  <w:tcBorders>
                    <w:top w:val="double" w:color="000000" w:sz="4" w:space="0"/>
                    <w:left w:val="double" w:color="000000" w:sz="4" w:space="0"/>
                    <w:bottom w:val="single" w:color="000000" w:sz="4" w:space="0"/>
                    <w:right w:val="single" w:color="000000" w:sz="4" w:space="0"/>
                    <w:tl2br w:val="nil"/>
                  </w:tcBorders>
                  <w:shd w:val="clear" w:color="auto" w:fill="FFFFFF"/>
                  <w:noWrap/>
                  <w:vAlign w:val="center"/>
                </w:tcPr>
                <w:p w14:paraId="7EDA1F72">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منشأة</w:t>
                  </w:r>
                </w:p>
              </w:tc>
              <w:tc>
                <w:tcPr>
                  <w:tcW w:w="715" w:type="dxa"/>
                  <w:tcBorders>
                    <w:top w:val="double" w:color="000000" w:sz="4" w:space="0"/>
                    <w:left w:val="single" w:color="000000" w:sz="4" w:space="0"/>
                    <w:bottom w:val="single" w:color="000000" w:sz="4" w:space="0"/>
                    <w:right w:val="single" w:color="000000" w:sz="4" w:space="0"/>
                  </w:tcBorders>
                  <w:shd w:val="clear" w:color="auto" w:fill="FFFFFF"/>
                  <w:noWrap/>
                  <w:vAlign w:val="center"/>
                </w:tcPr>
                <w:p w14:paraId="11708C5A">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الحافلة رقم 1</w:t>
                  </w:r>
                </w:p>
              </w:tc>
              <w:tc>
                <w:tcPr>
                  <w:tcW w:w="704" w:type="dxa"/>
                  <w:tcBorders>
                    <w:top w:val="double" w:color="000000" w:sz="4" w:space="0"/>
                    <w:left w:val="single" w:color="000000" w:sz="4" w:space="0"/>
                    <w:bottom w:val="single" w:color="000000" w:sz="4" w:space="0"/>
                    <w:right w:val="single" w:color="000000" w:sz="4" w:space="0"/>
                  </w:tcBorders>
                  <w:shd w:val="clear" w:color="auto" w:fill="FFFFFF"/>
                  <w:noWrap/>
                  <w:vAlign w:val="center"/>
                </w:tcPr>
                <w:p w14:paraId="1A39AA83">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الحافلة رقم 2</w:t>
                  </w:r>
                </w:p>
              </w:tc>
              <w:tc>
                <w:tcPr>
                  <w:tcW w:w="750" w:type="dxa"/>
                  <w:tcBorders>
                    <w:top w:val="double" w:color="000000" w:sz="4" w:space="0"/>
                    <w:left w:val="single" w:color="000000" w:sz="4" w:space="0"/>
                    <w:bottom w:val="single" w:color="000000" w:sz="4" w:space="0"/>
                    <w:right w:val="single" w:color="000000" w:sz="4" w:space="0"/>
                  </w:tcBorders>
                  <w:shd w:val="clear" w:color="auto" w:fill="FFFFFF"/>
                  <w:noWrap/>
                  <w:vAlign w:val="center"/>
                </w:tcPr>
                <w:p w14:paraId="77B686BC">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الحافلة رقم 3</w:t>
                  </w:r>
                </w:p>
              </w:tc>
              <w:tc>
                <w:tcPr>
                  <w:tcW w:w="681" w:type="dxa"/>
                  <w:tcBorders>
                    <w:top w:val="double" w:color="000000" w:sz="4" w:space="0"/>
                    <w:left w:val="single" w:color="000000" w:sz="4" w:space="0"/>
                    <w:bottom w:val="single" w:color="000000" w:sz="4" w:space="0"/>
                    <w:right w:val="single" w:color="000000" w:sz="4" w:space="0"/>
                  </w:tcBorders>
                  <w:shd w:val="clear" w:color="auto" w:fill="FFFFFF"/>
                  <w:noWrap/>
                  <w:vAlign w:val="center"/>
                </w:tcPr>
                <w:p w14:paraId="2CA9D7FD">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كعكة</w:t>
                  </w:r>
                </w:p>
              </w:tc>
              <w:tc>
                <w:tcPr>
                  <w:tcW w:w="715" w:type="dxa"/>
                  <w:tcBorders>
                    <w:top w:val="double" w:color="000000" w:sz="4" w:space="0"/>
                    <w:left w:val="single" w:color="000000" w:sz="4" w:space="0"/>
                    <w:bottom w:val="single" w:color="000000" w:sz="4" w:space="0"/>
                    <w:right w:val="single" w:color="000000" w:sz="4" w:space="0"/>
                  </w:tcBorders>
                  <w:shd w:val="clear" w:color="auto" w:fill="FFFFFF"/>
                  <w:noWrap/>
                  <w:vAlign w:val="center"/>
                </w:tcPr>
                <w:p w14:paraId="766A658D">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FQS</w:t>
                  </w:r>
                </w:p>
              </w:tc>
              <w:tc>
                <w:tcPr>
                  <w:tcW w:w="733" w:type="dxa"/>
                  <w:tcBorders>
                    <w:top w:val="double" w:color="000000" w:sz="4" w:space="0"/>
                    <w:left w:val="single" w:color="000000" w:sz="4" w:space="0"/>
                    <w:bottom w:val="single" w:color="000000" w:sz="4" w:space="0"/>
                    <w:right w:val="single" w:color="000000" w:sz="4" w:space="0"/>
                  </w:tcBorders>
                  <w:shd w:val="clear" w:color="auto" w:fill="FFFFFF"/>
                  <w:noWrap/>
                  <w:vAlign w:val="center"/>
                </w:tcPr>
                <w:p w14:paraId="1388A371">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FQN</w:t>
                  </w:r>
                </w:p>
              </w:tc>
              <w:tc>
                <w:tcPr>
                  <w:tcW w:w="686" w:type="dxa"/>
                  <w:tcBorders>
                    <w:top w:val="double" w:color="000000" w:sz="4" w:space="0"/>
                    <w:left w:val="single" w:color="000000" w:sz="4" w:space="0"/>
                    <w:bottom w:val="single" w:color="000000" w:sz="4" w:space="0"/>
                    <w:right w:val="single" w:color="000000" w:sz="4" w:space="0"/>
                  </w:tcBorders>
                  <w:shd w:val="clear" w:color="auto" w:fill="FFFFFF"/>
                  <w:noWrap/>
                  <w:vAlign w:val="center"/>
                </w:tcPr>
                <w:p w14:paraId="75F6E884">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AGS1</w:t>
                  </w:r>
                </w:p>
              </w:tc>
              <w:tc>
                <w:tcPr>
                  <w:tcW w:w="933" w:type="dxa"/>
                  <w:tcBorders>
                    <w:top w:val="double" w:color="000000" w:sz="4" w:space="0"/>
                    <w:left w:val="single" w:color="000000" w:sz="4" w:space="0"/>
                    <w:bottom w:val="single" w:color="000000" w:sz="4" w:space="0"/>
                    <w:right w:val="double" w:color="000000" w:sz="4" w:space="0"/>
                  </w:tcBorders>
                  <w:shd w:val="clear" w:color="auto" w:fill="FFFFFF"/>
                  <w:noWrap/>
                  <w:vAlign w:val="center"/>
                </w:tcPr>
                <w:p w14:paraId="2081D1C6">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إجمالي عدد المرضى الخارجيين</w:t>
                  </w:r>
                </w:p>
              </w:tc>
            </w:tr>
            <w:tr w14:paraId="1B19B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83" w:type="dxa"/>
                  <w:tcBorders>
                    <w:top w:val="single" w:color="000000" w:sz="4" w:space="0"/>
                    <w:left w:val="double" w:color="000000" w:sz="4" w:space="0"/>
                    <w:bottom w:val="double" w:color="000000" w:sz="4" w:space="0"/>
                    <w:right w:val="single" w:color="000000" w:sz="4" w:space="0"/>
                  </w:tcBorders>
                  <w:shd w:val="clear" w:color="auto" w:fill="FFFFFF"/>
                  <w:noWrap/>
                  <w:vAlign w:val="center"/>
                </w:tcPr>
                <w:p w14:paraId="78FE1C2E">
                  <w:pPr>
                    <w:keepNext w:val="0"/>
                    <w:keepLines w:val="0"/>
                    <w:widowControl/>
                    <w:suppressLineNumbers w:val="0"/>
                    <w:jc w:val="center"/>
                    <w:textAlignment w:val="center"/>
                    <w:rPr>
                      <w:rFonts w:hint="eastAsia" w:ascii="宋体" w:hAnsi="宋体" w:eastAsia="宋体" w:cs="宋体"/>
                      <w:b w:val="0"/>
                      <w:bCs/>
                      <w:i w:val="0"/>
                      <w:iCs w:val="0"/>
                      <w:color w:val="000000"/>
                      <w:sz w:val="22"/>
                      <w:szCs w:val="22"/>
                      <w:u w:val="none"/>
                      <w:rtl/>
                    </w:rPr>
                    <w:bidi/>
                  </w:pPr>
                  <w:r>
                    <w:rPr>
                      <w:rFonts w:hint="eastAsia" w:ascii="宋体" w:hAnsi="宋体" w:eastAsia="宋体" w:cs="宋体"/>
                      <w:b w:val="0"/>
                      <w:bCs/>
                      <w:i w:val="0"/>
                      <w:iCs w:val="0"/>
                      <w:color w:val="000000"/>
                      <w:kern w:val="0"/>
                      <w:sz w:val="22"/>
                      <w:szCs w:val="22"/>
                      <w:u w:val="none"/>
                      <w:lang w:val="en-US" w:eastAsia="zh-CN" w:bidi="ar"/>
                      <w:rtl/>
                    </w:rPr>
                    <w:t>التركيز (جزء في المليون)</w:t>
                  </w:r>
                </w:p>
              </w:tc>
              <w:tc>
                <w:tcPr>
                  <w:tcW w:w="715" w:type="dxa"/>
                  <w:tcBorders>
                    <w:top w:val="single" w:color="000000" w:sz="4" w:space="0"/>
                    <w:left w:val="single" w:color="000000" w:sz="4" w:space="0"/>
                    <w:bottom w:val="double" w:color="000000" w:sz="4" w:space="0"/>
                    <w:right w:val="single" w:color="000000" w:sz="4" w:space="0"/>
                  </w:tcBorders>
                  <w:shd w:val="clear" w:color="auto" w:fill="FFFFFF"/>
                  <w:noWrap/>
                  <w:vAlign w:val="center"/>
                </w:tcPr>
                <w:p w14:paraId="02901DA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12</w:t>
                  </w:r>
                </w:p>
              </w:tc>
              <w:tc>
                <w:tcPr>
                  <w:tcW w:w="704" w:type="dxa"/>
                  <w:tcBorders>
                    <w:top w:val="single" w:color="000000" w:sz="4" w:space="0"/>
                    <w:left w:val="single" w:color="000000" w:sz="4" w:space="0"/>
                    <w:bottom w:val="double" w:color="000000" w:sz="4" w:space="0"/>
                    <w:right w:val="single" w:color="000000" w:sz="4" w:space="0"/>
                  </w:tcBorders>
                  <w:shd w:val="clear" w:color="auto" w:fill="FFFFFF"/>
                  <w:noWrap/>
                  <w:vAlign w:val="center"/>
                </w:tcPr>
                <w:p w14:paraId="0BF20EBA">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0</w:t>
                  </w:r>
                </w:p>
              </w:tc>
              <w:tc>
                <w:tcPr>
                  <w:tcW w:w="750" w:type="dxa"/>
                  <w:tcBorders>
                    <w:top w:val="single" w:color="000000" w:sz="4" w:space="0"/>
                    <w:left w:val="single" w:color="000000" w:sz="4" w:space="0"/>
                    <w:bottom w:val="double" w:color="000000" w:sz="4" w:space="0"/>
                    <w:right w:val="single" w:color="000000" w:sz="4" w:space="0"/>
                  </w:tcBorders>
                  <w:shd w:val="clear" w:color="auto" w:fill="FFFFFF"/>
                  <w:noWrap/>
                  <w:vAlign w:val="center"/>
                </w:tcPr>
                <w:p w14:paraId="670C527B">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35</w:t>
                  </w:r>
                </w:p>
              </w:tc>
              <w:tc>
                <w:tcPr>
                  <w:tcW w:w="681" w:type="dxa"/>
                  <w:tcBorders>
                    <w:top w:val="single" w:color="000000" w:sz="4" w:space="0"/>
                    <w:left w:val="single" w:color="000000" w:sz="4" w:space="0"/>
                    <w:bottom w:val="double" w:color="000000" w:sz="4" w:space="0"/>
                    <w:right w:val="single" w:color="000000" w:sz="4" w:space="0"/>
                  </w:tcBorders>
                  <w:shd w:val="clear" w:color="auto" w:fill="FFFFFF"/>
                  <w:noWrap/>
                  <w:vAlign w:val="center"/>
                </w:tcPr>
                <w:p w14:paraId="50633509">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10</w:t>
                  </w:r>
                </w:p>
              </w:tc>
              <w:tc>
                <w:tcPr>
                  <w:tcW w:w="715" w:type="dxa"/>
                  <w:tcBorders>
                    <w:top w:val="single" w:color="000000" w:sz="4" w:space="0"/>
                    <w:left w:val="single" w:color="000000" w:sz="4" w:space="0"/>
                    <w:bottom w:val="double" w:color="000000" w:sz="4" w:space="0"/>
                    <w:right w:val="single" w:color="000000" w:sz="4" w:space="0"/>
                  </w:tcBorders>
                  <w:shd w:val="clear" w:color="auto" w:fill="FFFFFF"/>
                  <w:noWrap/>
                  <w:vAlign w:val="center"/>
                </w:tcPr>
                <w:p w14:paraId="4F96BFFF">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47</w:t>
                  </w:r>
                </w:p>
              </w:tc>
              <w:tc>
                <w:tcPr>
                  <w:tcW w:w="733" w:type="dxa"/>
                  <w:tcBorders>
                    <w:top w:val="single" w:color="000000" w:sz="4" w:space="0"/>
                    <w:left w:val="single" w:color="000000" w:sz="4" w:space="0"/>
                    <w:bottom w:val="double" w:color="000000" w:sz="4" w:space="0"/>
                    <w:right w:val="single" w:color="000000" w:sz="4" w:space="0"/>
                  </w:tcBorders>
                  <w:shd w:val="clear" w:color="auto" w:fill="FFFFFF"/>
                  <w:noWrap/>
                  <w:vAlign w:val="center"/>
                </w:tcPr>
                <w:p w14:paraId="53B5019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18</w:t>
                  </w:r>
                </w:p>
              </w:tc>
              <w:tc>
                <w:tcPr>
                  <w:tcW w:w="686" w:type="dxa"/>
                  <w:tcBorders>
                    <w:top w:val="single" w:color="000000" w:sz="4" w:space="0"/>
                    <w:left w:val="single" w:color="000000" w:sz="4" w:space="0"/>
                    <w:bottom w:val="double" w:color="000000" w:sz="4" w:space="0"/>
                    <w:right w:val="single" w:color="000000" w:sz="4" w:space="0"/>
                  </w:tcBorders>
                  <w:shd w:val="clear" w:color="auto" w:fill="FFFFFF"/>
                  <w:noWrap/>
                  <w:vAlign w:val="center"/>
                </w:tcPr>
                <w:p w14:paraId="225D3658">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141</w:t>
                  </w:r>
                </w:p>
              </w:tc>
              <w:tc>
                <w:tcPr>
                  <w:tcW w:w="933" w:type="dxa"/>
                  <w:tcBorders>
                    <w:top w:val="single" w:color="000000" w:sz="4" w:space="0"/>
                    <w:left w:val="single" w:color="000000" w:sz="4" w:space="0"/>
                    <w:bottom w:val="double" w:color="000000" w:sz="4" w:space="0"/>
                    <w:right w:val="double" w:color="000000" w:sz="4" w:space="0"/>
                  </w:tcBorders>
                  <w:shd w:val="clear" w:color="auto" w:fill="FFFFFF"/>
                  <w:noWrap/>
                  <w:vAlign w:val="center"/>
                </w:tcPr>
                <w:p w14:paraId="2F1C7BDD">
                  <w:pPr>
                    <w:keepNext w:val="0"/>
                    <w:keepLines w:val="0"/>
                    <w:widowControl/>
                    <w:suppressLineNumbers w:val="0"/>
                    <w:jc w:val="center"/>
                    <w:textAlignment w:val="center"/>
                    <w:rPr>
                      <w:rFonts w:hint="eastAsia" w:ascii="宋体" w:hAnsi="宋体" w:eastAsia="宋体" w:cs="宋体"/>
                      <w:b w:val="0"/>
                      <w:i w:val="0"/>
                      <w:iCs w:val="0"/>
                      <w:color w:val="000000"/>
                      <w:sz w:val="22"/>
                      <w:szCs w:val="22"/>
                      <w:u w:val="none"/>
                      <w:rtl/>
                    </w:rPr>
                    <w:bidi/>
                  </w:pPr>
                  <w:r>
                    <w:rPr>
                      <w:rFonts w:hint="eastAsia" w:ascii="宋体" w:hAnsi="宋体" w:eastAsia="宋体" w:cs="宋体"/>
                      <w:b w:val="0"/>
                      <w:i w:val="0"/>
                      <w:iCs w:val="0"/>
                      <w:color w:val="000000"/>
                      <w:kern w:val="0"/>
                      <w:sz w:val="22"/>
                      <w:szCs w:val="22"/>
                      <w:u w:val="none"/>
                      <w:lang w:val="en-US" w:eastAsia="zh-CN" w:bidi="ar"/>
                      <w:rtl/>
                    </w:rPr>
                    <w:t>35</w:t>
                  </w:r>
                </w:p>
              </w:tc>
            </w:tr>
          </w:tbl>
          <w:p w14:paraId="5E911355">
            <w:pPr>
              <w:pStyle w:val="49"/>
              <w:snapToGrid w:val="0"/>
              <w:jc w:val="left"/>
              <w:rPr>
                <w:rFonts w:hint="eastAsia" w:ascii="宋体" w:hAnsi="宋体" w:eastAsia="宋体" w:cs="宋体"/>
                <w:color w:val="auto"/>
                <w:szCs w:val="24"/>
                <w:highlight w:val="none"/>
                <w:rtl/>
              </w:rPr>
              <w:bidi/>
            </w:pPr>
          </w:p>
        </w:tc>
      </w:tr>
      <w:tr w14:paraId="25A5838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555" w:hRule="atLeast"/>
          <w:jc w:val="center"/>
        </w:trPr>
        <w:tc>
          <w:tcPr>
            <w:tcW w:w="1398" w:type="dxa"/>
            <w:tcBorders>
              <w:top w:val="single" w:color="4F81BD" w:sz="8" w:space="0"/>
              <w:left w:val="single" w:color="4F81BD" w:sz="8" w:space="0"/>
              <w:bottom w:val="single" w:color="4F81BD" w:sz="8" w:space="0"/>
              <w:right w:val="single" w:color="4F81BD" w:sz="8" w:space="0"/>
            </w:tcBorders>
            <w:vAlign w:val="center"/>
          </w:tcPr>
          <w:p w14:paraId="36DC678F">
            <w:pPr>
              <w:pStyle w:val="49"/>
              <w:snapToGrid w:val="0"/>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تأكيد الاستنتاج</w:t>
            </w:r>
          </w:p>
        </w:tc>
        <w:tc>
          <w:tcPr>
            <w:tcW w:w="7221" w:type="dxa"/>
            <w:gridSpan w:val="5"/>
            <w:tcBorders>
              <w:top w:val="single" w:color="4F81BD" w:sz="8" w:space="0"/>
              <w:left w:val="single" w:color="4F81BD" w:sz="8" w:space="0"/>
              <w:bottom w:val="single" w:color="4F81BD" w:sz="8" w:space="0"/>
              <w:right w:val="single" w:color="4F81BD" w:sz="8" w:space="0"/>
            </w:tcBorders>
          </w:tcPr>
          <w:p w14:paraId="7CFE4ADE">
            <w:pPr>
              <w:pStyle w:val="49"/>
              <w:snapToGrid w:val="0"/>
              <w:ind w:firstLine="480" w:firstLineChars="200"/>
              <w:jc w:val="left"/>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بسبب نقص الإدارة الدقيقة واستراتيجية تطبيق مزيل الاستحلاب غير المعقولة، كان التأثير الإجمالي لعلاج مزيل الاستحلاب ضعيفًا، وهو أحد العوامل الرئيسية التي تؤثر على فعالية مزيل الاستحلاب.</w:t>
            </w:r>
          </w:p>
        </w:tc>
      </w:tr>
    </w:tbl>
    <w:p w14:paraId="187B9C6E">
      <w:pPr>
        <w:pStyle w:val="49"/>
        <w:snapToGrid w:val="0"/>
        <w:rPr>
          <w:rFonts w:hint="eastAsia" w:ascii="宋体" w:hAnsi="宋体" w:eastAsia="宋体" w:cs="宋体"/>
          <w:b/>
          <w:bCs/>
          <w:color w:val="auto"/>
          <w:sz w:val="21"/>
          <w:szCs w:val="21"/>
          <w:highlight w:val="none"/>
          <w:rtl/>
        </w:rPr>
        <w:bidi/>
      </w:pPr>
      <w:r>
        <w:rPr>
          <w:rFonts w:hint="eastAsia" w:ascii="宋体" w:hAnsi="宋体" w:eastAsia="宋体" w:cs="宋体"/>
          <w:color w:val="auto"/>
          <w:sz w:val="21"/>
          <w:szCs w:val="21"/>
          <w:highlight w:val="none"/>
          <w:rtl/>
        </w:rPr>
        <w:t>إعداد: تشانغ هاو، تاريخ: ١٥ أبريل ٢٠٢٥، مراجعة: لي بيزو</w:t>
      </w:r>
    </w:p>
    <w:p w14:paraId="28B476BD">
      <w:pPr>
        <w:pStyle w:val="3"/>
        <w:numPr>
          <w:ilvl w:val="0"/>
          <w:numId w:val="1"/>
        </w:numPr>
        <w:ind w:left="210" w:leftChars="0" w:firstLine="420" w:firstLineChars="0"/>
        <w:rPr>
          <w:rFonts w:hint="eastAsia" w:ascii="宋体" w:hAnsi="宋体" w:eastAsia="宋体" w:cs="宋体"/>
          <w:color w:val="auto"/>
          <w:highlight w:val="none"/>
          <w:rtl/>
        </w:rPr>
      </w:pPr>
      <w:bookmarkStart w:id="34" w:name="_Toc1374"/>
      <w:r>
        <w:rPr>
          <w:rFonts w:hint="eastAsia" w:ascii="宋体" w:hAnsi="宋体" w:eastAsia="宋体" w:cs="宋体"/>
          <w:color w:val="auto"/>
          <w:highlight w:val="none"/>
          <w:rtl/>
        </w:rPr>
        <w:t>تطوير تدابير مضادة</w:t>
      </w:r>
      <w:bookmarkEnd w:id="34"/>
    </w:p>
    <w:p w14:paraId="582EE64D">
      <w:pPr>
        <w:pStyle w:val="9"/>
        <w:keepNext w:val="0"/>
        <w:keepLines w:val="0"/>
        <w:pageBreakBefore w:val="0"/>
        <w:widowControl w:val="0"/>
        <w:kinsoku/>
        <w:wordWrap/>
        <w:overflowPunct/>
        <w:topLinePunct w:val="0"/>
        <w:autoSpaceDE/>
        <w:autoSpaceDN/>
        <w:adjustRightInd/>
        <w:snapToGrid/>
        <w:textAlignment w:val="auto"/>
        <w:rPr>
          <w:rFonts w:hint="eastAsia" w:ascii="宋体" w:hAnsi="宋体" w:eastAsia="宋体" w:cs="宋体"/>
          <w:color w:val="auto"/>
          <w:highlight w:val="none"/>
          <w:lang w:eastAsia="zh-CN"/>
          <w:rtl/>
        </w:rPr>
      </w:pPr>
      <w:r>
        <w:rPr>
          <w:rFonts w:hint="eastAsia" w:ascii="宋体" w:hAnsi="宋体" w:eastAsia="宋体" w:cs="宋体"/>
          <w:color w:val="auto"/>
          <w:highlight w:val="none"/>
          <w:lang w:eastAsia="zh-CN"/>
          <w:rtl/>
        </w:rPr>
        <w:t>استنادًا إلى العوامل الثلاثة التي أثرت على تأثير معالجة مزيل الاستحلاب، ناقش أعضاء فريق مراقبة الجودة بنشاط وتبادلوا الأفكار، وفي النهاية صاغوا ثلاثة تدابير مضادة قابلة للتطبيق، وتظهر النتائج المحددة لها في الجدول 7-1.</w:t>
      </w:r>
    </w:p>
    <w:p w14:paraId="3E8A2501">
      <w:pPr>
        <w:pStyle w:val="49"/>
        <w:snapToGrid w:val="0"/>
        <w:rPr>
          <w:rFonts w:hint="eastAsia" w:ascii="宋体" w:hAnsi="宋体" w:eastAsia="宋体" w:cs="宋体"/>
          <w:color w:val="auto"/>
          <w:sz w:val="21"/>
          <w:szCs w:val="20"/>
          <w:highlight w:val="none"/>
          <w:lang w:eastAsia="zh-CN"/>
          <w:rtl/>
        </w:rPr>
        <w:bidi/>
      </w:pPr>
      <w:r>
        <w:rPr>
          <w:rFonts w:hint="eastAsia" w:ascii="宋体" w:hAnsi="宋体" w:eastAsia="宋体" w:cs="宋体"/>
          <w:color w:val="auto"/>
          <w:sz w:val="21"/>
          <w:szCs w:val="20"/>
          <w:highlight w:val="none"/>
          <w:rtl/>
        </w:rPr>
        <w:t>الجدول 7-1: جدول تركيبات التدابير المضادة</w:t>
      </w:r>
    </w:p>
    <w:tbl>
      <w:tblPr>
        <w:tblStyle w:val="19"/>
        <w:tblpPr w:leftFromText="180" w:rightFromText="180" w:vertAnchor="text" w:tblpX="364" w:tblpY="1"/>
        <w:tblW w:w="8600" w:type="dxa"/>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autofit"/>
        <w:tblCellMar>
          <w:top w:w="0" w:type="dxa"/>
          <w:left w:w="108" w:type="dxa"/>
          <w:bottom w:w="0" w:type="dxa"/>
          <w:right w:w="108" w:type="dxa"/>
        </w:tblCellMar>
      </w:tblPr>
      <w:tblGrid>
        <w:gridCol w:w="456"/>
        <w:gridCol w:w="1024"/>
        <w:gridCol w:w="1272"/>
        <w:gridCol w:w="1441"/>
        <w:gridCol w:w="2345"/>
        <w:gridCol w:w="721"/>
        <w:gridCol w:w="702"/>
        <w:gridCol w:w="639"/>
      </w:tblGrid>
      <w:tr w14:paraId="7089495F">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527" w:hRule="atLeast"/>
        </w:trPr>
        <w:tc>
          <w:tcPr>
            <w:tcW w:w="456" w:type="dxa"/>
            <w:tcBorders>
              <w:top w:val="single" w:color="4F81BD" w:sz="8" w:space="0"/>
              <w:left w:val="single" w:color="4F81BD" w:sz="8" w:space="0"/>
              <w:bottom w:val="single" w:color="4F81BD" w:sz="18" w:space="0"/>
              <w:right w:val="single" w:color="4F81BD" w:sz="8" w:space="0"/>
            </w:tcBorders>
            <w:vAlign w:val="center"/>
          </w:tcPr>
          <w:p w14:paraId="5ACC8B5E">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رقم سري</w:t>
            </w:r>
          </w:p>
        </w:tc>
        <w:tc>
          <w:tcPr>
            <w:tcW w:w="1024" w:type="dxa"/>
            <w:tcBorders>
              <w:top w:val="single" w:color="4F81BD" w:sz="8" w:space="0"/>
              <w:left w:val="single" w:color="4F81BD" w:sz="8" w:space="0"/>
              <w:bottom w:val="single" w:color="4F81BD" w:sz="18" w:space="0"/>
              <w:right w:val="single" w:color="4F81BD" w:sz="8" w:space="0"/>
            </w:tcBorders>
            <w:vAlign w:val="center"/>
          </w:tcPr>
          <w:p w14:paraId="6DED2190">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السبب الرئيسي</w:t>
            </w:r>
          </w:p>
        </w:tc>
        <w:tc>
          <w:tcPr>
            <w:tcW w:w="1272" w:type="dxa"/>
            <w:tcBorders>
              <w:top w:val="single" w:color="4F81BD" w:sz="8" w:space="0"/>
              <w:left w:val="single" w:color="4F81BD" w:sz="8" w:space="0"/>
              <w:bottom w:val="single" w:color="4F81BD" w:sz="18" w:space="0"/>
              <w:right w:val="single" w:color="4F81BD" w:sz="8" w:space="0"/>
            </w:tcBorders>
            <w:vAlign w:val="center"/>
          </w:tcPr>
          <w:p w14:paraId="28F34DB1">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التدابير المضادة</w:t>
            </w:r>
          </w:p>
        </w:tc>
        <w:tc>
          <w:tcPr>
            <w:tcW w:w="1441" w:type="dxa"/>
            <w:tcBorders>
              <w:top w:val="single" w:color="4F81BD" w:sz="8" w:space="0"/>
              <w:left w:val="single" w:color="4F81BD" w:sz="8" w:space="0"/>
              <w:bottom w:val="single" w:color="4F81BD" w:sz="18" w:space="0"/>
              <w:right w:val="single" w:color="4F81BD" w:sz="8" w:space="0"/>
            </w:tcBorders>
            <w:vAlign w:val="center"/>
          </w:tcPr>
          <w:p w14:paraId="1B5963E0">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هدف</w:t>
            </w:r>
          </w:p>
        </w:tc>
        <w:tc>
          <w:tcPr>
            <w:tcW w:w="2345" w:type="dxa"/>
            <w:tcBorders>
              <w:top w:val="single" w:color="4F81BD" w:sz="8" w:space="0"/>
              <w:left w:val="single" w:color="4F81BD" w:sz="8" w:space="0"/>
              <w:bottom w:val="single" w:color="4F81BD" w:sz="18" w:space="0"/>
              <w:right w:val="single" w:color="4F81BD" w:sz="8" w:space="0"/>
            </w:tcBorders>
            <w:vAlign w:val="center"/>
          </w:tcPr>
          <w:p w14:paraId="707D808A">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يقيس</w:t>
            </w:r>
          </w:p>
        </w:tc>
        <w:tc>
          <w:tcPr>
            <w:tcW w:w="721" w:type="dxa"/>
            <w:tcBorders>
              <w:top w:val="single" w:color="4F81BD" w:sz="8" w:space="0"/>
              <w:left w:val="single" w:color="4F81BD" w:sz="8" w:space="0"/>
              <w:bottom w:val="single" w:color="4F81BD" w:sz="18" w:space="0"/>
              <w:right w:val="single" w:color="4F81BD" w:sz="8" w:space="0"/>
            </w:tcBorders>
            <w:vAlign w:val="center"/>
          </w:tcPr>
          <w:p w14:paraId="578C15DE">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الشخص المسؤول</w:t>
            </w:r>
          </w:p>
        </w:tc>
        <w:tc>
          <w:tcPr>
            <w:tcW w:w="702" w:type="dxa"/>
            <w:tcBorders>
              <w:top w:val="single" w:color="4F81BD" w:sz="8" w:space="0"/>
              <w:left w:val="single" w:color="4F81BD" w:sz="8" w:space="0"/>
              <w:bottom w:val="single" w:color="4F81BD" w:sz="18" w:space="0"/>
              <w:right w:val="single" w:color="4F81BD" w:sz="8" w:space="0"/>
            </w:tcBorders>
            <w:vAlign w:val="center"/>
          </w:tcPr>
          <w:p w14:paraId="79ACD2B0">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موقع التنفيذ</w:t>
            </w:r>
          </w:p>
        </w:tc>
        <w:tc>
          <w:tcPr>
            <w:tcW w:w="639" w:type="dxa"/>
            <w:tcBorders>
              <w:top w:val="single" w:color="4F81BD" w:sz="8" w:space="0"/>
              <w:left w:val="single" w:color="4F81BD" w:sz="8" w:space="0"/>
              <w:bottom w:val="single" w:color="4F81BD" w:sz="18" w:space="0"/>
              <w:right w:val="single" w:color="4F81BD" w:sz="8" w:space="0"/>
            </w:tcBorders>
            <w:vAlign w:val="center"/>
          </w:tcPr>
          <w:p w14:paraId="2E4CD4D4">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تاريخ الإنجاز</w:t>
            </w:r>
          </w:p>
        </w:tc>
      </w:tr>
      <w:tr w14:paraId="05500FFE">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1183" w:hRule="atLeast"/>
        </w:trPr>
        <w:tc>
          <w:tcPr>
            <w:tcW w:w="456" w:type="dxa"/>
            <w:tcBorders>
              <w:top w:val="single" w:color="4F81BD" w:sz="8" w:space="0"/>
              <w:left w:val="single" w:color="4F81BD" w:sz="8" w:space="0"/>
              <w:bottom w:val="single" w:color="4F81BD" w:sz="8" w:space="0"/>
              <w:right w:val="single" w:color="4F81BD" w:sz="8" w:space="0"/>
            </w:tcBorders>
            <w:vAlign w:val="center"/>
          </w:tcPr>
          <w:p w14:paraId="60C6C1D2">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1</w:t>
            </w:r>
          </w:p>
        </w:tc>
        <w:tc>
          <w:tcPr>
            <w:tcW w:w="1024" w:type="dxa"/>
            <w:tcBorders>
              <w:top w:val="single" w:color="4F81BD" w:sz="8" w:space="0"/>
              <w:left w:val="single" w:color="4F81BD" w:sz="8" w:space="0"/>
              <w:bottom w:val="single" w:color="4F81BD" w:sz="8" w:space="0"/>
              <w:right w:val="single" w:color="4F81BD" w:sz="8" w:space="0"/>
            </w:tcBorders>
            <w:vAlign w:val="center"/>
          </w:tcPr>
          <w:p w14:paraId="00ADD059">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درجة حرارة النفط الخام منخفضة</w:t>
            </w:r>
          </w:p>
        </w:tc>
        <w:tc>
          <w:tcPr>
            <w:tcW w:w="1272" w:type="dxa"/>
            <w:tcBorders>
              <w:top w:val="single" w:color="4F81BD" w:sz="8" w:space="0"/>
              <w:left w:val="single" w:color="4F81BD" w:sz="8" w:space="0"/>
              <w:bottom w:val="single" w:color="4F81BD" w:sz="8" w:space="0"/>
              <w:right w:val="single" w:color="4F81BD" w:sz="8" w:space="0"/>
            </w:tcBorders>
            <w:vAlign w:val="center"/>
          </w:tcPr>
          <w:p w14:paraId="28BC9A48">
            <w:pPr>
              <w:pStyle w:val="49"/>
              <w:jc w:val="left"/>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زيادة درجة حرارة النفط الخام في المبادل الحراري</w:t>
            </w:r>
          </w:p>
        </w:tc>
        <w:tc>
          <w:tcPr>
            <w:tcW w:w="1441" w:type="dxa"/>
            <w:tcBorders>
              <w:top w:val="single" w:color="4F81BD" w:sz="8" w:space="0"/>
              <w:left w:val="single" w:color="4F81BD" w:sz="8" w:space="0"/>
              <w:bottom w:val="single" w:color="4F81BD" w:sz="8" w:space="0"/>
              <w:right w:val="single" w:color="4F81BD" w:sz="8" w:space="0"/>
            </w:tcBorders>
          </w:tcPr>
          <w:p w14:paraId="7B83D1B8">
            <w:pPr>
              <w:pStyle w:val="49"/>
              <w:jc w:val="left"/>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بما أن جهاز فصل المستحلب موجود بشكل أساسي في خزان غسل الماء، فإن درجة حرارة مخرج الزيت الخام للمبادل الحراري سترتفع بمقدار 3-5 درجة مئوية، وسترتفع درجة الحرارة المتوسطة للخليط في خزان غسل الماء إلى ما يزيد عن 70 درجة مئوية.</w:t>
            </w:r>
          </w:p>
        </w:tc>
        <w:tc>
          <w:tcPr>
            <w:tcW w:w="2345" w:type="dxa"/>
            <w:tcBorders>
              <w:top w:val="single" w:color="4F81BD" w:sz="8" w:space="0"/>
              <w:left w:val="single" w:color="4F81BD" w:sz="8" w:space="0"/>
              <w:bottom w:val="single" w:color="4F81BD" w:sz="8" w:space="0"/>
              <w:right w:val="single" w:color="4F81BD" w:sz="8" w:space="0"/>
            </w:tcBorders>
            <w:vAlign w:val="center"/>
          </w:tcPr>
          <w:p w14:paraId="2EA8BAFB">
            <w:pPr>
              <w:pStyle w:val="49"/>
              <w:numPr>
                <w:ilvl w:val="0"/>
                <w:numId w:val="5"/>
              </w:numPr>
              <w:jc w:val="center"/>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زيادة الحمل على غلاية زيت نقل الحرارة ورفع نقطة ضبط درجة حرارة مخرج مبادل حرارة زيت نقل الحرارة؛</w:t>
            </w:r>
          </w:p>
          <w:p w14:paraId="6C79DDE0">
            <w:pPr>
              <w:pStyle w:val="49"/>
              <w:numPr>
                <w:ilvl w:val="0"/>
                <w:numId w:val="5"/>
              </w:numPr>
              <w:jc w:val="center"/>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تنظيف الملفات الداخلية للمبادل الحراري لفرن الحمام المائي.</w:t>
            </w:r>
          </w:p>
        </w:tc>
        <w:tc>
          <w:tcPr>
            <w:tcW w:w="721" w:type="dxa"/>
            <w:tcBorders>
              <w:top w:val="single" w:color="4F81BD" w:sz="8" w:space="0"/>
              <w:left w:val="single" w:color="4F81BD" w:sz="8" w:space="0"/>
              <w:bottom w:val="single" w:color="4F81BD" w:sz="8" w:space="0"/>
              <w:right w:val="single" w:color="4F81BD" w:sz="8" w:space="0"/>
            </w:tcBorders>
            <w:vAlign w:val="center"/>
          </w:tcPr>
          <w:p w14:paraId="3501DE29">
            <w:pPr>
              <w:pStyle w:val="49"/>
              <w:rPr>
                <w:rFonts w:hint="eastAsia" w:ascii="宋体" w:hAnsi="宋体" w:eastAsia="宋体" w:cs="宋体"/>
                <w:color w:val="auto"/>
                <w:szCs w:val="24"/>
                <w:highlight w:val="none"/>
                <w:lang w:eastAsia="zh-CN"/>
                <w:rtl/>
              </w:rPr>
              <w:bidi/>
            </w:pPr>
            <w:r>
              <w:rPr>
                <w:rFonts w:hint="eastAsia" w:ascii="宋体" w:hAnsi="宋体" w:eastAsia="宋体" w:cs="宋体"/>
                <w:color w:val="auto"/>
                <w:szCs w:val="24"/>
                <w:highlight w:val="none"/>
                <w:lang w:val="en-US" w:eastAsia="zh-CN"/>
                <w:rtl/>
              </w:rPr>
              <w:t>ليو شياو قوانغ</w:t>
            </w:r>
          </w:p>
        </w:tc>
        <w:tc>
          <w:tcPr>
            <w:tcW w:w="702" w:type="dxa"/>
            <w:tcBorders>
              <w:top w:val="single" w:color="4F81BD" w:sz="8" w:space="0"/>
              <w:left w:val="single" w:color="4F81BD" w:sz="8" w:space="0"/>
              <w:bottom w:val="single" w:color="4F81BD" w:sz="8" w:space="0"/>
              <w:right w:val="single" w:color="4F81BD" w:sz="8" w:space="0"/>
            </w:tcBorders>
            <w:vAlign w:val="center"/>
          </w:tcPr>
          <w:p w14:paraId="672B5948">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موقع حقل نفطي</w:t>
            </w:r>
          </w:p>
        </w:tc>
        <w:tc>
          <w:tcPr>
            <w:tcW w:w="639" w:type="dxa"/>
            <w:tcBorders>
              <w:top w:val="single" w:color="4F81BD" w:sz="8" w:space="0"/>
              <w:left w:val="single" w:color="4F81BD" w:sz="8" w:space="0"/>
              <w:bottom w:val="single" w:color="4F81BD" w:sz="8" w:space="0"/>
              <w:right w:val="single" w:color="4F81BD" w:sz="8" w:space="0"/>
            </w:tcBorders>
            <w:vAlign w:val="center"/>
          </w:tcPr>
          <w:p w14:paraId="3443998B">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4 مايو</w:t>
            </w:r>
          </w:p>
        </w:tc>
      </w:tr>
      <w:tr w14:paraId="7125017B">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1183" w:hRule="atLeast"/>
        </w:trPr>
        <w:tc>
          <w:tcPr>
            <w:tcW w:w="456" w:type="dxa"/>
            <w:tcBorders>
              <w:top w:val="single" w:color="4F81BD" w:sz="8" w:space="0"/>
              <w:left w:val="single" w:color="4F81BD" w:sz="8" w:space="0"/>
              <w:bottom w:val="single" w:color="4F81BD" w:sz="8" w:space="0"/>
              <w:right w:val="single" w:color="4F81BD" w:sz="8" w:space="0"/>
            </w:tcBorders>
            <w:vAlign w:val="center"/>
          </w:tcPr>
          <w:p w14:paraId="56ED0755">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2</w:t>
            </w:r>
          </w:p>
        </w:tc>
        <w:tc>
          <w:tcPr>
            <w:tcW w:w="1024" w:type="dxa"/>
            <w:tcBorders>
              <w:top w:val="single" w:color="4F81BD" w:sz="8" w:space="0"/>
              <w:left w:val="single" w:color="4F81BD" w:sz="8" w:space="0"/>
              <w:bottom w:val="single" w:color="4F81BD" w:sz="8" w:space="0"/>
              <w:right w:val="single" w:color="4F81BD" w:sz="8" w:space="0"/>
            </w:tcBorders>
            <w:vAlign w:val="center"/>
          </w:tcPr>
          <w:p w14:paraId="34923BC4">
            <w:pPr>
              <w:pStyle w:val="49"/>
              <w:rPr>
                <w:rFonts w:hint="eastAsia" w:ascii="宋体" w:hAnsi="宋体" w:eastAsia="宋体" w:cs="宋体"/>
                <w:color w:val="auto"/>
                <w:szCs w:val="24"/>
                <w:highlight w:val="none"/>
                <w:rtl/>
              </w:rPr>
              <w:bidi/>
            </w:pPr>
            <w:r>
              <w:rPr>
                <w:rFonts w:hint="eastAsia" w:ascii="宋体" w:hAnsi="宋体" w:eastAsia="宋体" w:cs="宋体"/>
                <w:color w:val="auto"/>
                <w:kern w:val="0"/>
                <w:szCs w:val="24"/>
                <w:highlight w:val="none"/>
                <w:rtl/>
              </w:rPr>
              <w:t>الخصائص الفيزيائية الضعيفة للنفط الخام</w:t>
            </w:r>
          </w:p>
        </w:tc>
        <w:tc>
          <w:tcPr>
            <w:tcW w:w="1272" w:type="dxa"/>
            <w:tcBorders>
              <w:top w:val="single" w:color="4F81BD" w:sz="8" w:space="0"/>
              <w:left w:val="single" w:color="4F81BD" w:sz="8" w:space="0"/>
              <w:bottom w:val="single" w:color="4F81BD" w:sz="8" w:space="0"/>
              <w:right w:val="single" w:color="4F81BD" w:sz="8" w:space="0"/>
            </w:tcBorders>
            <w:vAlign w:val="center"/>
          </w:tcPr>
          <w:p w14:paraId="0E4D2B76">
            <w:pPr>
              <w:pStyle w:val="49"/>
              <w:jc w:val="center"/>
              <w:rPr>
                <w:rFonts w:hint="eastAsia" w:ascii="宋体" w:hAnsi="宋体" w:eastAsia="宋体" w:cs="宋体"/>
                <w:color w:val="auto"/>
                <w:szCs w:val="24"/>
                <w:highlight w:val="none"/>
                <w:lang w:val="en-US"/>
                <w:rtl/>
              </w:rPr>
              <w:bidi/>
            </w:pPr>
            <w:r>
              <w:rPr>
                <w:rFonts w:hint="eastAsia" w:ascii="宋体" w:hAnsi="宋体" w:eastAsia="宋体" w:cs="宋体"/>
                <w:color w:val="auto"/>
                <w:szCs w:val="24"/>
                <w:highlight w:val="none"/>
                <w:lang w:val="en-US" w:eastAsia="zh-CN"/>
                <w:rtl/>
              </w:rPr>
              <w:t>تقليل التأثير على العملية عند تحويل BU41 إلى حمأة/زيت.</w:t>
            </w:r>
          </w:p>
        </w:tc>
        <w:tc>
          <w:tcPr>
            <w:tcW w:w="1441" w:type="dxa"/>
            <w:tcBorders>
              <w:top w:val="single" w:color="4F81BD" w:sz="8" w:space="0"/>
              <w:left w:val="single" w:color="4F81BD" w:sz="8" w:space="0"/>
              <w:bottom w:val="single" w:color="4F81BD" w:sz="8" w:space="0"/>
              <w:right w:val="single" w:color="4F81BD" w:sz="8" w:space="0"/>
            </w:tcBorders>
          </w:tcPr>
          <w:p w14:paraId="1A67F8CE">
            <w:pPr>
              <w:pStyle w:val="49"/>
              <w:jc w:val="left"/>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أثناء نقل السائل، يكون تيار التشغيل الكهربائي أقل بمقدار 60 أمبير من التيار العادي (قيمة الإنذار العالية 90 أمبير).</w:t>
            </w:r>
          </w:p>
        </w:tc>
        <w:tc>
          <w:tcPr>
            <w:tcW w:w="2345" w:type="dxa"/>
            <w:tcBorders>
              <w:top w:val="single" w:color="4F81BD" w:sz="8" w:space="0"/>
              <w:left w:val="single" w:color="4F81BD" w:sz="8" w:space="0"/>
              <w:bottom w:val="single" w:color="4F81BD" w:sz="8" w:space="0"/>
              <w:right w:val="single" w:color="4F81BD" w:sz="8" w:space="0"/>
            </w:tcBorders>
            <w:vAlign w:val="center"/>
          </w:tcPr>
          <w:p w14:paraId="7CA6DD32">
            <w:pPr>
              <w:pStyle w:val="49"/>
              <w:numPr>
                <w:ilvl w:val="0"/>
                <w:numId w:val="0"/>
              </w:numPr>
              <w:jc w:val="center"/>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1. تم تعديل BU41 ليكون له إزاحة صغيرة ونقل سائل متقطع.</w:t>
            </w:r>
          </w:p>
        </w:tc>
        <w:tc>
          <w:tcPr>
            <w:tcW w:w="721" w:type="dxa"/>
            <w:tcBorders>
              <w:top w:val="single" w:color="4F81BD" w:sz="8" w:space="0"/>
              <w:left w:val="single" w:color="4F81BD" w:sz="8" w:space="0"/>
              <w:bottom w:val="single" w:color="4F81BD" w:sz="8" w:space="0"/>
              <w:right w:val="single" w:color="4F81BD" w:sz="8" w:space="0"/>
            </w:tcBorders>
            <w:vAlign w:val="center"/>
          </w:tcPr>
          <w:p w14:paraId="2C878C2A">
            <w:pPr>
              <w:pStyle w:val="49"/>
              <w:rPr>
                <w:rFonts w:hint="eastAsia" w:ascii="宋体" w:hAnsi="宋体" w:eastAsia="宋体" w:cs="宋体"/>
                <w:color w:val="auto"/>
                <w:szCs w:val="24"/>
                <w:highlight w:val="none"/>
                <w:lang w:eastAsia="zh-CN"/>
                <w:rtl/>
              </w:rPr>
              <w:bidi/>
            </w:pPr>
            <w:r>
              <w:rPr>
                <w:rFonts w:hint="eastAsia" w:ascii="宋体" w:hAnsi="宋体" w:eastAsia="宋体" w:cs="宋体"/>
                <w:color w:val="auto"/>
                <w:szCs w:val="24"/>
                <w:highlight w:val="none"/>
                <w:lang w:val="en-US" w:eastAsia="zh-CN"/>
                <w:rtl/>
              </w:rPr>
              <w:t>لي بيتشو</w:t>
            </w:r>
          </w:p>
        </w:tc>
        <w:tc>
          <w:tcPr>
            <w:tcW w:w="702" w:type="dxa"/>
            <w:tcBorders>
              <w:top w:val="single" w:color="4F81BD" w:sz="8" w:space="0"/>
              <w:left w:val="single" w:color="4F81BD" w:sz="8" w:space="0"/>
              <w:bottom w:val="single" w:color="4F81BD" w:sz="8" w:space="0"/>
              <w:right w:val="single" w:color="4F81BD" w:sz="8" w:space="0"/>
            </w:tcBorders>
            <w:vAlign w:val="center"/>
          </w:tcPr>
          <w:p w14:paraId="47047343">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موقع حقل نفطي</w:t>
            </w:r>
          </w:p>
        </w:tc>
        <w:tc>
          <w:tcPr>
            <w:tcW w:w="639" w:type="dxa"/>
            <w:tcBorders>
              <w:top w:val="single" w:color="4F81BD" w:sz="8" w:space="0"/>
              <w:left w:val="single" w:color="4F81BD" w:sz="8" w:space="0"/>
              <w:bottom w:val="single" w:color="4F81BD" w:sz="8" w:space="0"/>
              <w:right w:val="single" w:color="4F81BD" w:sz="8" w:space="0"/>
            </w:tcBorders>
            <w:vAlign w:val="center"/>
          </w:tcPr>
          <w:p w14:paraId="3D934C72">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25 أبريل</w:t>
            </w:r>
          </w:p>
        </w:tc>
      </w:tr>
      <w:tr w14:paraId="53E51CA7">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Ex>
        <w:trPr>
          <w:trHeight w:val="1183" w:hRule="atLeast"/>
        </w:trPr>
        <w:tc>
          <w:tcPr>
            <w:tcW w:w="456" w:type="dxa"/>
            <w:tcBorders>
              <w:top w:val="single" w:color="4F81BD" w:sz="8" w:space="0"/>
              <w:left w:val="single" w:color="4F81BD" w:sz="8" w:space="0"/>
              <w:bottom w:val="single" w:color="4F81BD" w:sz="8" w:space="0"/>
              <w:right w:val="single" w:color="4F81BD" w:sz="8" w:space="0"/>
            </w:tcBorders>
            <w:vAlign w:val="center"/>
          </w:tcPr>
          <w:p w14:paraId="589C6BC7">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3</w:t>
            </w:r>
          </w:p>
        </w:tc>
        <w:tc>
          <w:tcPr>
            <w:tcW w:w="1024" w:type="dxa"/>
            <w:tcBorders>
              <w:top w:val="single" w:color="4F81BD" w:sz="8" w:space="0"/>
              <w:left w:val="single" w:color="4F81BD" w:sz="8" w:space="0"/>
              <w:bottom w:val="single" w:color="4F81BD" w:sz="8" w:space="0"/>
              <w:right w:val="single" w:color="4F81BD" w:sz="8" w:space="0"/>
            </w:tcBorders>
            <w:vAlign w:val="center"/>
          </w:tcPr>
          <w:p w14:paraId="1B457A5D">
            <w:pPr>
              <w:pStyle w:val="49"/>
              <w:rPr>
                <w:rFonts w:hint="eastAsia" w:ascii="宋体" w:hAnsi="宋体" w:eastAsia="宋体" w:cs="宋体"/>
                <w:color w:val="auto"/>
                <w:kern w:val="0"/>
                <w:szCs w:val="24"/>
                <w:highlight w:val="none"/>
                <w:lang w:val="en-US" w:eastAsia="zh-CN"/>
                <w:rtl/>
              </w:rPr>
              <w:bidi/>
            </w:pPr>
            <w:r>
              <w:rPr>
                <w:rFonts w:hint="eastAsia" w:ascii="宋体" w:hAnsi="宋体" w:eastAsia="宋体" w:cs="宋体"/>
                <w:color w:val="auto"/>
                <w:kern w:val="0"/>
                <w:szCs w:val="24"/>
                <w:highlight w:val="none"/>
                <w:lang w:val="en-US" w:eastAsia="zh-CN"/>
                <w:rtl/>
              </w:rPr>
              <w:t>إن استراتيجية استخدام مزيل الاستحلاب غير معقولة.</w:t>
            </w:r>
          </w:p>
        </w:tc>
        <w:tc>
          <w:tcPr>
            <w:tcW w:w="1272" w:type="dxa"/>
            <w:tcBorders>
              <w:top w:val="single" w:color="4F81BD" w:sz="8" w:space="0"/>
              <w:left w:val="single" w:color="4F81BD" w:sz="8" w:space="0"/>
              <w:bottom w:val="single" w:color="4F81BD" w:sz="8" w:space="0"/>
              <w:right w:val="single" w:color="4F81BD" w:sz="8" w:space="0"/>
            </w:tcBorders>
            <w:vAlign w:val="center"/>
          </w:tcPr>
          <w:p w14:paraId="1FF09446">
            <w:pPr>
              <w:pStyle w:val="49"/>
              <w:jc w:val="center"/>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إدارة محسّنة لإعطاء الأدوية وتوزيع رشيد لجرعات الأدوية</w:t>
            </w:r>
          </w:p>
        </w:tc>
        <w:tc>
          <w:tcPr>
            <w:tcW w:w="1441" w:type="dxa"/>
            <w:tcBorders>
              <w:top w:val="single" w:color="4F81BD" w:sz="8" w:space="0"/>
              <w:left w:val="single" w:color="4F81BD" w:sz="8" w:space="0"/>
              <w:bottom w:val="single" w:color="4F81BD" w:sz="8" w:space="0"/>
              <w:right w:val="single" w:color="4F81BD" w:sz="8" w:space="0"/>
            </w:tcBorders>
            <w:shd w:val="clear" w:color="auto" w:fill="auto"/>
            <w:vAlign w:val="center"/>
          </w:tcPr>
          <w:p w14:paraId="04A7F6EA">
            <w:pPr>
              <w:pStyle w:val="49"/>
              <w:jc w:val="center"/>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مع ضمان مؤشرات التصدير، يجب تقليل التركيز الإجمالي لمادة إزالة الاستحلاب المحقونة.</w:t>
            </w:r>
          </w:p>
        </w:tc>
        <w:tc>
          <w:tcPr>
            <w:tcW w:w="2345" w:type="dxa"/>
            <w:tcBorders>
              <w:top w:val="single" w:color="4F81BD" w:sz="8" w:space="0"/>
              <w:left w:val="single" w:color="4F81BD" w:sz="8" w:space="0"/>
              <w:bottom w:val="single" w:color="4F81BD" w:sz="8" w:space="0"/>
              <w:right w:val="single" w:color="4F81BD" w:sz="8" w:space="0"/>
            </w:tcBorders>
          </w:tcPr>
          <w:p w14:paraId="3BF3590A">
            <w:pPr>
              <w:pStyle w:val="49"/>
              <w:numPr>
                <w:ilvl w:val="0"/>
                <w:numId w:val="6"/>
              </w:numPr>
              <w:jc w:val="left"/>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أُجريت اختبارات تحسين حقن مزيل الاستحلاب تباعاً في محطات مختلفة في المنبع؛</w:t>
            </w:r>
          </w:p>
          <w:p w14:paraId="0FB28231">
            <w:pPr>
              <w:pStyle w:val="49"/>
              <w:numPr>
                <w:ilvl w:val="0"/>
                <w:numId w:val="6"/>
              </w:numPr>
              <w:jc w:val="left"/>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أُجريت اختبارات خفض التركيز في محطة المعالجة.</w:t>
            </w:r>
          </w:p>
        </w:tc>
        <w:tc>
          <w:tcPr>
            <w:tcW w:w="721" w:type="dxa"/>
            <w:tcBorders>
              <w:top w:val="single" w:color="4F81BD" w:sz="8" w:space="0"/>
              <w:left w:val="single" w:color="4F81BD" w:sz="8" w:space="0"/>
              <w:bottom w:val="single" w:color="4F81BD" w:sz="8" w:space="0"/>
              <w:right w:val="single" w:color="4F81BD" w:sz="8" w:space="0"/>
            </w:tcBorders>
            <w:vAlign w:val="center"/>
          </w:tcPr>
          <w:p w14:paraId="3324CED9">
            <w:pPr>
              <w:pStyle w:val="49"/>
              <w:rPr>
                <w:rFonts w:hint="eastAsia" w:ascii="宋体" w:hAnsi="宋体" w:eastAsia="宋体" w:cs="宋体"/>
                <w:color w:val="auto"/>
                <w:szCs w:val="24"/>
                <w:highlight w:val="none"/>
                <w:lang w:val="en-US" w:eastAsia="zh-CN"/>
                <w:rtl/>
              </w:rPr>
              <w:bidi/>
            </w:pPr>
            <w:r>
              <w:rPr>
                <w:rFonts w:hint="eastAsia" w:ascii="宋体" w:hAnsi="宋体" w:eastAsia="宋体" w:cs="宋体"/>
                <w:color w:val="auto"/>
                <w:szCs w:val="24"/>
                <w:highlight w:val="none"/>
                <w:lang w:val="en-US" w:eastAsia="zh-CN"/>
                <w:rtl/>
              </w:rPr>
              <w:t>لو شاوبو</w:t>
            </w:r>
          </w:p>
        </w:tc>
        <w:tc>
          <w:tcPr>
            <w:tcW w:w="702" w:type="dxa"/>
            <w:tcBorders>
              <w:top w:val="single" w:color="4F81BD" w:sz="8" w:space="0"/>
              <w:left w:val="single" w:color="4F81BD" w:sz="8" w:space="0"/>
              <w:bottom w:val="single" w:color="4F81BD" w:sz="8" w:space="0"/>
              <w:right w:val="single" w:color="4F81BD" w:sz="8" w:space="0"/>
            </w:tcBorders>
            <w:vAlign w:val="center"/>
          </w:tcPr>
          <w:p w14:paraId="08622218">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rtl/>
              </w:rPr>
              <w:t>موقع حقل نفطي</w:t>
            </w:r>
          </w:p>
        </w:tc>
        <w:tc>
          <w:tcPr>
            <w:tcW w:w="639" w:type="dxa"/>
            <w:tcBorders>
              <w:top w:val="single" w:color="4F81BD" w:sz="8" w:space="0"/>
              <w:left w:val="single" w:color="4F81BD" w:sz="8" w:space="0"/>
              <w:bottom w:val="single" w:color="4F81BD" w:sz="8" w:space="0"/>
              <w:right w:val="single" w:color="4F81BD" w:sz="8" w:space="0"/>
            </w:tcBorders>
            <w:vAlign w:val="center"/>
          </w:tcPr>
          <w:p w14:paraId="6D0D7076">
            <w:pPr>
              <w:pStyle w:val="49"/>
              <w:rPr>
                <w:rFonts w:hint="eastAsia" w:ascii="宋体" w:hAnsi="宋体" w:eastAsia="宋体" w:cs="宋体"/>
                <w:color w:val="auto"/>
                <w:szCs w:val="24"/>
                <w:highlight w:val="none"/>
                <w:rtl/>
              </w:rPr>
              <w:bidi/>
            </w:pPr>
            <w:r>
              <w:rPr>
                <w:rFonts w:hint="eastAsia" w:ascii="宋体" w:hAnsi="宋体" w:eastAsia="宋体" w:cs="宋体"/>
                <w:color w:val="auto"/>
                <w:szCs w:val="24"/>
                <w:highlight w:val="none"/>
                <w:lang w:val="en-US" w:eastAsia="zh-CN"/>
                <w:rtl/>
              </w:rPr>
              <w:t>6 مايو</w:t>
            </w:r>
          </w:p>
        </w:tc>
      </w:tr>
    </w:tbl>
    <w:p w14:paraId="5103EE4F">
      <w:pPr>
        <w:pStyle w:val="49"/>
        <w:snapToGrid w:val="0"/>
        <w:rPr>
          <w:rFonts w:hint="eastAsia" w:ascii="宋体" w:hAnsi="宋体" w:eastAsia="宋体" w:cs="宋体"/>
          <w:b/>
          <w:bCs/>
          <w:color w:val="auto"/>
          <w:sz w:val="21"/>
          <w:szCs w:val="21"/>
          <w:highlight w:val="none"/>
          <w:rtl/>
        </w:rPr>
        <w:bidi/>
      </w:pPr>
      <w:r>
        <w:rPr>
          <w:rFonts w:hint="eastAsia" w:ascii="宋体" w:hAnsi="宋体" w:eastAsia="宋体" w:cs="宋体"/>
          <w:color w:val="auto"/>
          <w:sz w:val="21"/>
          <w:szCs w:val="21"/>
          <w:highlight w:val="none"/>
          <w:rtl/>
        </w:rPr>
        <w:t>الإعداد: Zhang Xuecheng التاريخ: 22 أبريل 2025 تمت المراجعة بواسطة: Li Peizhuo</w:t>
      </w:r>
    </w:p>
    <w:p w14:paraId="25D8BAF7">
      <w:pPr>
        <w:keepNext w:val="0"/>
        <w:keepLines w:val="0"/>
        <w:pageBreakBefore w:val="0"/>
        <w:widowControl w:val="0"/>
        <w:kinsoku/>
        <w:wordWrap/>
        <w:overflowPunct/>
        <w:topLinePunct w:val="0"/>
        <w:autoSpaceDE/>
        <w:autoSpaceDN/>
        <w:adjustRightInd/>
        <w:snapToGrid w:val="0"/>
        <w:ind w:firstLine="480" w:firstLineChars="200"/>
        <w:textAlignment w:val="auto"/>
        <w:rPr>
          <w:rFonts w:hint="eastAsia" w:ascii="宋体" w:hAnsi="宋体" w:eastAsia="宋体" w:cs="宋体"/>
          <w:color w:val="auto"/>
          <w:kern w:val="0"/>
          <w:sz w:val="24"/>
          <w:szCs w:val="24"/>
          <w:highlight w:val="none"/>
          <w:lang w:val="en-US" w:eastAsia="zh-CN" w:bidi="ar-SA"/>
          <w:rtl/>
        </w:rPr>
      </w:pPr>
    </w:p>
    <w:p w14:paraId="6AD69499">
      <w:pPr>
        <w:pStyle w:val="3"/>
        <w:numPr>
          <w:ilvl w:val="0"/>
          <w:numId w:val="1"/>
        </w:numPr>
        <w:ind w:left="210" w:leftChars="0" w:firstLine="420" w:firstLineChars="0"/>
        <w:rPr>
          <w:rFonts w:hint="eastAsia" w:ascii="宋体" w:hAnsi="宋体" w:eastAsia="宋体" w:cs="宋体"/>
          <w:color w:val="auto"/>
          <w:highlight w:val="none"/>
          <w:rtl/>
        </w:rPr>
      </w:pPr>
      <w:bookmarkStart w:id="35" w:name="_Toc21178"/>
      <w:bookmarkStart w:id="36" w:name="_Toc132065834"/>
      <w:r>
        <w:rPr>
          <w:rFonts w:hint="eastAsia" w:ascii="宋体" w:hAnsi="宋体" w:eastAsia="宋体" w:cs="宋体"/>
          <w:color w:val="auto"/>
          <w:highlight w:val="none"/>
          <w:lang w:val="en-US" w:eastAsia="zh-CN"/>
          <w:rtl/>
        </w:rPr>
        <w:t>تنفيذ الاستراتيجية</w:t>
      </w:r>
      <w:bookmarkEnd w:id="35"/>
      <w:bookmarkEnd w:id="36"/>
    </w:p>
    <w:p w14:paraId="740CF357">
      <w:pPr>
        <w:pStyle w:val="4"/>
        <w:rPr>
          <w:rFonts w:hint="eastAsia" w:ascii="宋体" w:hAnsi="宋体" w:eastAsia="宋体" w:cs="宋体"/>
          <w:rtl/>
        </w:rPr>
      </w:pPr>
      <w:bookmarkStart w:id="37" w:name="_Toc5904"/>
      <w:r>
        <w:rPr>
          <w:rFonts w:hint="eastAsia" w:ascii="宋体" w:hAnsi="宋体" w:eastAsia="宋体" w:cs="宋体"/>
          <w:rtl/>
        </w:rPr>
        <w:t>(أ) تنفيذ الاستراتيجية</w:t>
      </w:r>
      <w:bookmarkEnd w:id="37"/>
    </w:p>
    <w:p w14:paraId="103A773F">
      <w:pPr>
        <w:pStyle w:val="5"/>
        <w:rPr>
          <w:rFonts w:hint="eastAsia" w:ascii="宋体" w:hAnsi="宋体" w:eastAsia="宋体" w:cs="宋体"/>
          <w:rtl/>
        </w:rPr>
      </w:pPr>
      <w:r>
        <w:rPr>
          <w:rFonts w:hint="eastAsia" w:ascii="宋体" w:hAnsi="宋体" w:eastAsia="宋体" w:cs="宋体"/>
          <w:rtl/>
        </w:rPr>
        <w:t xml:space="preserve">1.1 زيادة درجة حرارة تسخين زيت نقل الحرارة</w:t>
      </w:r>
    </w:p>
    <w:p w14:paraId="35C4B227">
      <w:pPr>
        <w:pStyle w:val="9"/>
        <w:keepNext w:val="0"/>
        <w:keepLines w:val="0"/>
        <w:pageBreakBefore w:val="0"/>
        <w:widowControl w:val="0"/>
        <w:kinsoku/>
        <w:wordWrap/>
        <w:overflowPunct/>
        <w:topLinePunct w:val="0"/>
        <w:autoSpaceDE/>
        <w:autoSpaceDN/>
        <w:adjustRightInd/>
        <w:spacing w:line="360" w:lineRule="auto"/>
        <w:textAlignment w:val="auto"/>
        <w:rPr>
          <w:rFonts w:hint="eastAsia" w:ascii="宋体" w:hAnsi="宋体" w:eastAsia="宋体" w:cs="宋体"/>
          <w:color w:val="auto"/>
          <w:highlight w:val="none"/>
          <w:lang w:eastAsia="zh-CN"/>
          <w:rtl/>
        </w:rPr>
      </w:pPr>
      <w:r>
        <w:rPr>
          <w:rFonts w:hint="eastAsia" w:ascii="宋体" w:hAnsi="宋体" w:eastAsia="宋体" w:cs="宋体"/>
          <w:color w:val="auto"/>
          <w:highlight w:val="none"/>
          <w:lang w:eastAsia="zh-CN"/>
          <w:rtl/>
        </w:rPr>
        <w:t>سيتم تنفيذ التدابير المضادة في الفترة من 23 أبريل إلى 24 أبريل 2025.</w:t>
      </w:r>
    </w:p>
    <w:p w14:paraId="4283F675">
      <w:pPr>
        <w:keepNext w:val="0"/>
        <w:keepLines w:val="0"/>
        <w:pageBreakBefore w:val="0"/>
        <w:widowControl w:val="0"/>
        <w:kinsoku/>
        <w:wordWrap/>
        <w:overflowPunct/>
        <w:topLinePunct w:val="0"/>
        <w:autoSpaceDE/>
        <w:autoSpaceDN/>
        <w:adjustRightInd/>
        <w:snapToGrid w:val="0"/>
        <w:spacing w:line="360" w:lineRule="auto"/>
        <w:ind w:firstLine="480" w:firstLineChars="200"/>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لمعالجة مشكلة ضعف معالجة مزيل الاستحلاب نتيجة انخفاض درجة حرارة خزان غسل النفط الخام، رُفعت درجة الحرارة المضبوطة لمبادلَي الحرارة في وحدة معالجة النفط الخام من 80 درجة مئوية إلى 83 درجة مئوية. وتمت مراقبة حالة تشغيل المبادلين. بعد 24 ساعة من التشغيل عند 83 درجة مئوية دون أي خلل، رُفعت درجة الحرارة المضبوطة للمبادلين من 83 درجة مئوية إلى 85 درجة مئوية. بعد رفع درجة الحرارة إلى 85 درجة مئوية، ارتفعت درجة حرارة مخرج النفط الخام من المبادلين من 79.5 درجة مئوية إلى 85.8 درجة مئوية، ومن 80 درجة مئوية إلى 85.2 درجة مئوية. كما ارتفعت درجة حرارة خزانَي الغسل من 66.9 درجة مئوية إلى 70.5 درجة مئوية، ومن 66.7 درجة مئوية إلى 69.5 درجة مئوية.</w:t>
      </w:r>
    </w:p>
    <w:p w14:paraId="38BDF712">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2"/>
          <w:sz w:val="21"/>
          <w:szCs w:val="20"/>
          <w:highlight w:val="none"/>
          <w:lang w:val="en-US" w:eastAsia="zh-CN" w:bidi="ar-SA"/>
          <w:rtl/>
        </w:rPr>
      </w:pPr>
      <w:r>
        <w:rPr>
          <w:rFonts w:hint="eastAsia" w:ascii="宋体" w:hAnsi="宋体" w:eastAsia="宋体" w:cs="宋体"/>
          <w:color w:val="auto"/>
          <w:kern w:val="2"/>
          <w:sz w:val="21"/>
          <w:szCs w:val="20"/>
          <w:highlight w:val="none"/>
          <w:lang w:val="en-US" w:eastAsia="zh-CN" w:bidi="ar-SA"/>
          <w:rtl/>
        </w:rPr>
        <w:t>الجدول 8-1: إحصائيات درجة حرارة مخرج النفط الخام قبل وبعد ضبط المبادل الحراري للزيت الحراري</w:t>
      </w:r>
    </w:p>
    <w:tbl>
      <w:tblPr>
        <w:tblStyle w:val="20"/>
        <w:tblW w:w="0" w:type="auto"/>
        <w:tblInd w:w="3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8"/>
        <w:gridCol w:w="3309"/>
        <w:gridCol w:w="3066"/>
      </w:tblGrid>
      <w:tr w14:paraId="20F8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66C14255">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اسم الجهاز</w:t>
            </w:r>
          </w:p>
        </w:tc>
        <w:tc>
          <w:tcPr>
            <w:tcW w:w="3309" w:type="dxa"/>
            <w:vAlign w:val="center"/>
          </w:tcPr>
          <w:p w14:paraId="0AD827F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درجة الحرارة قبل التعديل (°م)</w:t>
            </w:r>
          </w:p>
        </w:tc>
        <w:tc>
          <w:tcPr>
            <w:tcW w:w="3066" w:type="dxa"/>
            <w:vAlign w:val="center"/>
          </w:tcPr>
          <w:p w14:paraId="2C43441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درجة الحرارة المعدلة (°م)</w:t>
            </w:r>
          </w:p>
        </w:tc>
      </w:tr>
      <w:tr w14:paraId="41B01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2E51BE60">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مبادل حراري E-321403</w:t>
            </w:r>
          </w:p>
        </w:tc>
        <w:tc>
          <w:tcPr>
            <w:tcW w:w="3309" w:type="dxa"/>
            <w:vAlign w:val="center"/>
          </w:tcPr>
          <w:p w14:paraId="3B387C72">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79.5</w:t>
            </w:r>
          </w:p>
        </w:tc>
        <w:tc>
          <w:tcPr>
            <w:tcW w:w="3066" w:type="dxa"/>
            <w:vAlign w:val="center"/>
          </w:tcPr>
          <w:p w14:paraId="0E3223CD">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85.8</w:t>
            </w:r>
          </w:p>
        </w:tc>
      </w:tr>
      <w:tr w14:paraId="71AD5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2F692747">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مبادل حراري E-321404</w:t>
            </w:r>
          </w:p>
        </w:tc>
        <w:tc>
          <w:tcPr>
            <w:tcW w:w="3309" w:type="dxa"/>
            <w:vAlign w:val="center"/>
          </w:tcPr>
          <w:p w14:paraId="3F646FCC">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80.1</w:t>
            </w:r>
          </w:p>
        </w:tc>
        <w:tc>
          <w:tcPr>
            <w:tcW w:w="3066" w:type="dxa"/>
            <w:vAlign w:val="center"/>
          </w:tcPr>
          <w:p w14:paraId="251ED835">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85.2</w:t>
            </w:r>
          </w:p>
        </w:tc>
      </w:tr>
      <w:tr w14:paraId="52EE7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51E986EE">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خزان غسيل بالماء WT-321601</w:t>
            </w:r>
          </w:p>
        </w:tc>
        <w:tc>
          <w:tcPr>
            <w:tcW w:w="3309" w:type="dxa"/>
            <w:vAlign w:val="center"/>
          </w:tcPr>
          <w:p w14:paraId="4C70B22B">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66.9</w:t>
            </w:r>
          </w:p>
        </w:tc>
        <w:tc>
          <w:tcPr>
            <w:tcW w:w="3066" w:type="dxa"/>
            <w:vAlign w:val="center"/>
          </w:tcPr>
          <w:p w14:paraId="1E03E19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70.5</w:t>
            </w:r>
          </w:p>
        </w:tc>
      </w:tr>
      <w:tr w14:paraId="4C13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8" w:type="dxa"/>
          </w:tcPr>
          <w:p w14:paraId="08950286">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خزان غسيل بالماء WT-321602</w:t>
            </w:r>
          </w:p>
        </w:tc>
        <w:tc>
          <w:tcPr>
            <w:tcW w:w="3309" w:type="dxa"/>
            <w:vAlign w:val="center"/>
          </w:tcPr>
          <w:p w14:paraId="6FC95D43">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66.7</w:t>
            </w:r>
          </w:p>
        </w:tc>
        <w:tc>
          <w:tcPr>
            <w:tcW w:w="3066" w:type="dxa"/>
            <w:vAlign w:val="center"/>
          </w:tcPr>
          <w:p w14:paraId="2696473D">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69.5</w:t>
            </w:r>
          </w:p>
        </w:tc>
      </w:tr>
    </w:tbl>
    <w:p w14:paraId="416DB20F">
      <w:pPr>
        <w:widowControl/>
        <w:jc w:val="center"/>
        <w:rPr>
          <w:rFonts w:hint="eastAsia" w:ascii="宋体" w:hAnsi="宋体" w:eastAsia="宋体" w:cs="宋体"/>
          <w:color w:val="auto"/>
          <w:kern w:val="0"/>
          <w:sz w:val="21"/>
          <w:szCs w:val="21"/>
          <w:highlight w:val="none"/>
          <w:lang w:val="en-US" w:eastAsia="zh-CN" w:bidi="ar-SA"/>
          <w:rtl/>
        </w:rPr>
        <w:bidi/>
      </w:pPr>
      <w:r>
        <w:rPr>
          <w:rFonts w:hint="eastAsia" w:ascii="宋体" w:hAnsi="宋体" w:eastAsia="宋体" w:cs="宋体"/>
          <w:color w:val="auto"/>
          <w:kern w:val="0"/>
          <w:sz w:val="21"/>
          <w:szCs w:val="21"/>
          <w:highlight w:val="none"/>
          <w:lang w:val="en-US" w:eastAsia="zh-CN" w:bidi="ar-SA"/>
          <w:rtl/>
        </w:rPr>
        <w:t xml:space="preserve"> </w:t>
      </w:r>
      <w:r>
        <w:rPr>
          <w:rFonts w:hint="eastAsia" w:ascii="宋体" w:hAnsi="宋体" w:eastAsia="宋体" w:cs="宋体"/>
          <w:color w:val="auto"/>
          <w:sz w:val="21"/>
          <w:szCs w:val="21"/>
          <w:highlight w:val="none"/>
          <w:rtl/>
        </w:rPr>
        <w:t>إعداد: ليو شياو غوانغ، تاريخ: ٢٥ أبريل ٢٠٢٥، مراجعة: لي بي تشو</w:t>
      </w:r>
    </w:p>
    <w:p w14:paraId="5BBA71A3">
      <w:pPr>
        <w:pStyle w:val="5"/>
        <w:rPr>
          <w:rFonts w:hint="eastAsia" w:ascii="宋体" w:hAnsi="宋体" w:eastAsia="宋体" w:cs="宋体"/>
          <w:lang w:val="en-US" w:eastAsia="zh-CN"/>
          <w:rtl/>
        </w:rPr>
      </w:pPr>
      <w:r>
        <w:rPr>
          <w:rFonts w:hint="eastAsia" w:ascii="宋体" w:hAnsi="宋体" w:eastAsia="宋体" w:cs="宋体"/>
          <w:rtl/>
        </w:rPr>
        <w:t xml:space="preserve">1.2 تنظيف الملفات الداخلية للمبادل الحراري لغلاية حمام الماء</w:t>
      </w:r>
    </w:p>
    <w:p w14:paraId="3D5F3B68">
      <w:pPr>
        <w:pStyle w:val="9"/>
        <w:keepNext w:val="0"/>
        <w:keepLines w:val="0"/>
        <w:pageBreakBefore w:val="0"/>
        <w:widowControl w:val="0"/>
        <w:kinsoku/>
        <w:wordWrap/>
        <w:overflowPunct/>
        <w:topLinePunct w:val="0"/>
        <w:autoSpaceDE/>
        <w:autoSpaceDN/>
        <w:adjustRightInd/>
        <w:snapToGrid/>
        <w:textAlignment w:val="auto"/>
        <w:rPr>
          <w:rFonts w:hint="eastAsia" w:ascii="宋体" w:hAnsi="宋体" w:eastAsia="宋体" w:cs="宋体"/>
          <w:color w:val="auto"/>
          <w:highlight w:val="none"/>
          <w:lang w:eastAsia="zh-CN"/>
          <w:rtl/>
        </w:rPr>
      </w:pPr>
      <w:r>
        <w:rPr>
          <w:rFonts w:hint="eastAsia" w:ascii="宋体" w:hAnsi="宋体" w:eastAsia="宋体" w:cs="宋体"/>
          <w:color w:val="auto"/>
          <w:highlight w:val="none"/>
          <w:lang w:eastAsia="zh-CN"/>
          <w:rtl/>
        </w:rPr>
        <w:t>سيتم تنفيذ التدابير المضادة في الفترة من 23 أبريل إلى 4 مايو 2025.</w:t>
      </w:r>
    </w:p>
    <w:p w14:paraId="4D043992">
      <w:pPr>
        <w:keepNext w:val="0"/>
        <w:keepLines w:val="0"/>
        <w:pageBreakBefore w:val="0"/>
        <w:widowControl w:val="0"/>
        <w:kinsoku/>
        <w:wordWrap/>
        <w:overflowPunct/>
        <w:topLinePunct w:val="0"/>
        <w:autoSpaceDE/>
        <w:autoSpaceDN/>
        <w:adjustRightInd/>
        <w:snapToGrid w:val="0"/>
        <w:spacing w:line="360" w:lineRule="auto"/>
        <w:ind w:firstLine="480" w:firstLineChars="200"/>
        <w:textAlignment w:val="auto"/>
        <w:rPr>
          <w:rFonts w:hint="eastAsia" w:ascii="宋体" w:hAnsi="宋体" w:eastAsia="宋体" w:cs="宋体"/>
          <w:color w:val="auto"/>
          <w:kern w:val="2"/>
          <w:sz w:val="21"/>
          <w:szCs w:val="20"/>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نتيجةً للتشغيل المطوّل، عانى المبادلان الحراريان H-1005 وH-1006 في أفران الحمام المائي من التكويك والتشوه داخل الملفات، مما أدى إلى انخفاض كفاءة التبادل الحراري. فبينما تجاوزت درجة حرارة مخرج الأفران الأربعة الأخرى 78 درجة مئوية، لم تتجاوز درجة حرارة مخرج H-1005 وH-1006 سوى 75 درجة مئوية، مع انخفاض كفاءة التبادل الحراري. ولتحسين كفاءة التبادل الحراري في H-1005 وH-1006، أُجريت عمليات تنظيف للملفات الداخلية للمبادلين الحراريين. وبعد تنظيف الملفات، وصلت درجة حرارة مخرج الزيت الخام من أفران الحمام المائي H-1005 وH-1006 إلى 80 درجة مئوية. وبلغت كفاءة التبادل الحراري في فرن الحمام المائي H-1006 بعد الصيانة 71.13%، مقارنةً بـ 64.77% قبل الصيانة. بلغت كفاءة التبادل الحراري لفرن الحمام المائي H-1005 بعد الإصلاح 63.56٪، مقارنة بـ 41.84٪ قبل الإصلاح، مما يدل على تحسن كبير في كفاءة التبادل الحراري.</w:t>
      </w:r>
    </w:p>
    <w:p w14:paraId="58229069">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2"/>
          <w:sz w:val="21"/>
          <w:szCs w:val="20"/>
          <w:highlight w:val="none"/>
          <w:lang w:val="en-US" w:eastAsia="zh-CN" w:bidi="ar-SA"/>
          <w:rtl/>
        </w:rPr>
        <w:t>الجدول 8-2: إحصائيات درجة حرارة مخرج النفط الخام قبل وبعد تنظيف ملفات المبادل الحراري لفرن الحمام المائي</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0833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6D0428E2">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 xml:space="preserve">اسم الجهاز</w:t>
            </w:r>
          </w:p>
        </w:tc>
        <w:tc>
          <w:tcPr>
            <w:tcW w:w="2321" w:type="dxa"/>
            <w:shd w:val="clear" w:color="auto" w:fill="auto"/>
            <w:vAlign w:val="center"/>
          </w:tcPr>
          <w:p w14:paraId="7C424D09">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درجة الحرارة قبل القياس (°م)</w:t>
            </w:r>
          </w:p>
        </w:tc>
        <w:tc>
          <w:tcPr>
            <w:tcW w:w="2322" w:type="dxa"/>
            <w:shd w:val="clear" w:color="auto" w:fill="auto"/>
            <w:vAlign w:val="center"/>
          </w:tcPr>
          <w:p w14:paraId="0F3515E3">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درجة الحرارة بعد القياسات (°م)</w:t>
            </w:r>
          </w:p>
        </w:tc>
        <w:tc>
          <w:tcPr>
            <w:tcW w:w="2322" w:type="dxa"/>
            <w:shd w:val="clear" w:color="auto" w:fill="auto"/>
            <w:vAlign w:val="center"/>
          </w:tcPr>
          <w:p w14:paraId="04B9E6FA">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آثار التدابير</w:t>
            </w:r>
          </w:p>
        </w:tc>
      </w:tr>
      <w:tr w14:paraId="75F8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5C2C8F1E">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فرن حمام مائي H-1005</w:t>
            </w:r>
          </w:p>
        </w:tc>
        <w:tc>
          <w:tcPr>
            <w:tcW w:w="2321" w:type="dxa"/>
            <w:vAlign w:val="center"/>
          </w:tcPr>
          <w:p w14:paraId="741E8A23">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75</w:t>
            </w:r>
          </w:p>
        </w:tc>
        <w:tc>
          <w:tcPr>
            <w:tcW w:w="2322" w:type="dxa"/>
            <w:vAlign w:val="center"/>
          </w:tcPr>
          <w:p w14:paraId="3356907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80</w:t>
            </w:r>
          </w:p>
        </w:tc>
        <w:tc>
          <w:tcPr>
            <w:tcW w:w="2322" w:type="dxa"/>
            <w:vAlign w:val="center"/>
          </w:tcPr>
          <w:p w14:paraId="02DE5725">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ارتفعت درجة حرارة المخرج بمقدار 5 درجات مئوية</w:t>
            </w:r>
          </w:p>
        </w:tc>
      </w:tr>
      <w:tr w14:paraId="2766C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vAlign w:val="center"/>
          </w:tcPr>
          <w:p w14:paraId="4DC2A656">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فرن حمام مائي H-1006</w:t>
            </w:r>
          </w:p>
        </w:tc>
        <w:tc>
          <w:tcPr>
            <w:tcW w:w="2321" w:type="dxa"/>
            <w:vAlign w:val="center"/>
          </w:tcPr>
          <w:p w14:paraId="2FA1ABCE">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75</w:t>
            </w:r>
          </w:p>
        </w:tc>
        <w:tc>
          <w:tcPr>
            <w:tcW w:w="2322" w:type="dxa"/>
            <w:vAlign w:val="center"/>
          </w:tcPr>
          <w:p w14:paraId="6C4B6FBA">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80</w:t>
            </w:r>
          </w:p>
        </w:tc>
        <w:tc>
          <w:tcPr>
            <w:tcW w:w="2322" w:type="dxa"/>
            <w:vAlign w:val="center"/>
          </w:tcPr>
          <w:p w14:paraId="72B36884">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ارتفعت درجة حرارة المخرج بمقدار 5 درجات مئوية</w:t>
            </w:r>
          </w:p>
        </w:tc>
      </w:tr>
      <w:tr w14:paraId="10FD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4F8F309D">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فرن حمام مائي H-101A</w:t>
            </w:r>
          </w:p>
        </w:tc>
        <w:tc>
          <w:tcPr>
            <w:tcW w:w="2321" w:type="dxa"/>
          </w:tcPr>
          <w:p w14:paraId="483AF877">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shd w:val="clear" w:color="auto" w:fill="auto"/>
            <w:vAlign w:val="top"/>
          </w:tcPr>
          <w:p w14:paraId="1BCB989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tcPr>
          <w:p w14:paraId="60102D2B">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vertAlign w:val="baseline"/>
                <w:lang w:val="en-US" w:eastAsia="zh-CN" w:bidi="ar-SA"/>
                <w:rtl/>
              </w:rPr>
            </w:pPr>
          </w:p>
        </w:tc>
      </w:tr>
      <w:tr w14:paraId="0D5B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03AE289C">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فرن حمام مائي H-101B</w:t>
            </w:r>
          </w:p>
        </w:tc>
        <w:tc>
          <w:tcPr>
            <w:tcW w:w="2321" w:type="dxa"/>
          </w:tcPr>
          <w:p w14:paraId="6E2EA767">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shd w:val="clear" w:color="auto" w:fill="auto"/>
            <w:vAlign w:val="top"/>
          </w:tcPr>
          <w:p w14:paraId="538146C3">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tcPr>
          <w:p w14:paraId="52AFC20B">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vertAlign w:val="baseline"/>
                <w:lang w:val="en-US" w:eastAsia="zh-CN" w:bidi="ar-SA"/>
                <w:rtl/>
              </w:rPr>
            </w:pPr>
          </w:p>
        </w:tc>
      </w:tr>
      <w:tr w14:paraId="1EE1A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580E730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فرن حمام مائي H-311001</w:t>
            </w:r>
          </w:p>
        </w:tc>
        <w:tc>
          <w:tcPr>
            <w:tcW w:w="2321" w:type="dxa"/>
          </w:tcPr>
          <w:p w14:paraId="390469D8">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shd w:val="clear" w:color="auto" w:fill="auto"/>
            <w:vAlign w:val="top"/>
          </w:tcPr>
          <w:p w14:paraId="653399E5">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tcPr>
          <w:p w14:paraId="6AA536EB">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vertAlign w:val="baseline"/>
                <w:lang w:val="en-US" w:eastAsia="zh-CN" w:bidi="ar-SA"/>
                <w:rtl/>
              </w:rPr>
            </w:pPr>
          </w:p>
        </w:tc>
      </w:tr>
      <w:tr w14:paraId="050E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732FA46F">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فرن حمام مائي H-311801</w:t>
            </w:r>
          </w:p>
        </w:tc>
        <w:tc>
          <w:tcPr>
            <w:tcW w:w="2321" w:type="dxa"/>
          </w:tcPr>
          <w:p w14:paraId="26BDDFD0">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shd w:val="clear" w:color="auto" w:fill="auto"/>
            <w:vAlign w:val="top"/>
          </w:tcPr>
          <w:p w14:paraId="6E03B52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78</w:t>
            </w:r>
          </w:p>
        </w:tc>
        <w:tc>
          <w:tcPr>
            <w:tcW w:w="2322" w:type="dxa"/>
          </w:tcPr>
          <w:p w14:paraId="017A549D">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vertAlign w:val="baseline"/>
                <w:lang w:val="en-US" w:eastAsia="zh-CN" w:bidi="ar-SA"/>
                <w:rtl/>
              </w:rPr>
            </w:pPr>
          </w:p>
        </w:tc>
      </w:tr>
      <w:tr w14:paraId="2CD7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016893DE">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خزان غسيل المياه WT-1010</w:t>
            </w:r>
          </w:p>
        </w:tc>
        <w:tc>
          <w:tcPr>
            <w:tcW w:w="2321" w:type="dxa"/>
            <w:shd w:val="clear" w:color="auto" w:fill="auto"/>
            <w:vAlign w:val="top"/>
          </w:tcPr>
          <w:p w14:paraId="33410B3E">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65.8</w:t>
            </w:r>
          </w:p>
        </w:tc>
        <w:tc>
          <w:tcPr>
            <w:tcW w:w="2322" w:type="dxa"/>
          </w:tcPr>
          <w:p w14:paraId="11EB51A8">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68.2</w:t>
            </w:r>
          </w:p>
        </w:tc>
        <w:tc>
          <w:tcPr>
            <w:tcW w:w="2322" w:type="dxa"/>
            <w:vMerge w:val="restart"/>
            <w:vAlign w:val="center"/>
          </w:tcPr>
          <w:p w14:paraId="50EC626A">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يعمل سخان الماء بكامل طاقته، مع زيادة متوسطة في درجة الحرارة قدرها 3.1 درجة مئوية.</w:t>
            </w:r>
          </w:p>
        </w:tc>
      </w:tr>
      <w:tr w14:paraId="2ADC3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14F0C2B8">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خزان غسيل المياه WT-1011</w:t>
            </w:r>
          </w:p>
        </w:tc>
        <w:tc>
          <w:tcPr>
            <w:tcW w:w="2321" w:type="dxa"/>
            <w:shd w:val="clear" w:color="auto" w:fill="auto"/>
            <w:vAlign w:val="top"/>
          </w:tcPr>
          <w:p w14:paraId="0C7077AC">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64.9</w:t>
            </w:r>
          </w:p>
        </w:tc>
        <w:tc>
          <w:tcPr>
            <w:tcW w:w="2322" w:type="dxa"/>
          </w:tcPr>
          <w:p w14:paraId="3C28C1E7">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69.1</w:t>
            </w:r>
          </w:p>
        </w:tc>
        <w:tc>
          <w:tcPr>
            <w:tcW w:w="2322" w:type="dxa"/>
            <w:vMerge w:val="continue"/>
          </w:tcPr>
          <w:p w14:paraId="15C441FB">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vertAlign w:val="baseline"/>
                <w:lang w:val="en-US" w:eastAsia="zh-CN" w:bidi="ar-SA"/>
                <w:rtl/>
              </w:rPr>
            </w:pPr>
          </w:p>
        </w:tc>
      </w:tr>
      <w:tr w14:paraId="6085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2455ECFE">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خزان غسيل المياه WT-1012</w:t>
            </w:r>
          </w:p>
        </w:tc>
        <w:tc>
          <w:tcPr>
            <w:tcW w:w="2321" w:type="dxa"/>
            <w:shd w:val="clear" w:color="auto" w:fill="auto"/>
            <w:vAlign w:val="top"/>
          </w:tcPr>
          <w:p w14:paraId="322CE54F">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66.2</w:t>
            </w:r>
          </w:p>
        </w:tc>
        <w:tc>
          <w:tcPr>
            <w:tcW w:w="2322" w:type="dxa"/>
          </w:tcPr>
          <w:p w14:paraId="36FB386F">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69.3</w:t>
            </w:r>
          </w:p>
        </w:tc>
        <w:tc>
          <w:tcPr>
            <w:tcW w:w="2322" w:type="dxa"/>
            <w:vMerge w:val="continue"/>
          </w:tcPr>
          <w:p w14:paraId="26AED91B">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vertAlign w:val="baseline"/>
                <w:lang w:val="en-US" w:eastAsia="zh-CN" w:bidi="ar-SA"/>
                <w:rtl/>
              </w:rPr>
            </w:pPr>
          </w:p>
        </w:tc>
      </w:tr>
      <w:tr w14:paraId="24BB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shd w:val="clear" w:color="auto" w:fill="auto"/>
            <w:vAlign w:val="center"/>
          </w:tcPr>
          <w:p w14:paraId="2FEEC674">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خزان غسيل المياه WT-1013</w:t>
            </w:r>
          </w:p>
        </w:tc>
        <w:tc>
          <w:tcPr>
            <w:tcW w:w="2321" w:type="dxa"/>
            <w:shd w:val="clear" w:color="auto" w:fill="auto"/>
            <w:vAlign w:val="top"/>
          </w:tcPr>
          <w:p w14:paraId="3BB6D816">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65.9</w:t>
            </w:r>
          </w:p>
        </w:tc>
        <w:tc>
          <w:tcPr>
            <w:tcW w:w="2322" w:type="dxa"/>
          </w:tcPr>
          <w:p w14:paraId="74CBFB8E">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vertAlign w:val="baseline"/>
                <w:lang w:val="en-US" w:eastAsia="zh-CN" w:bidi="ar-SA"/>
                <w:rtl/>
              </w:rPr>
            </w:pPr>
            <w:r>
              <w:rPr>
                <w:rFonts w:hint="eastAsia" w:ascii="宋体" w:hAnsi="宋体" w:eastAsia="宋体" w:cs="宋体"/>
                <w:color w:val="auto"/>
                <w:kern w:val="0"/>
                <w:sz w:val="24"/>
                <w:szCs w:val="24"/>
                <w:highlight w:val="none"/>
                <w:vertAlign w:val="baseline"/>
                <w:lang w:val="en-US" w:eastAsia="zh-CN" w:bidi="ar-SA"/>
                <w:rtl/>
              </w:rPr>
              <w:t>68.5</w:t>
            </w:r>
          </w:p>
        </w:tc>
        <w:tc>
          <w:tcPr>
            <w:tcW w:w="2322" w:type="dxa"/>
            <w:vMerge w:val="continue"/>
          </w:tcPr>
          <w:p w14:paraId="5EEF4A65">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vertAlign w:val="baseline"/>
                <w:lang w:val="en-US" w:eastAsia="zh-CN" w:bidi="ar-SA"/>
                <w:rtl/>
              </w:rPr>
            </w:pPr>
          </w:p>
        </w:tc>
      </w:tr>
    </w:tbl>
    <w:p w14:paraId="14AA51F0">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 xml:space="preserve">         </w:t>
      </w:r>
      <w:r>
        <w:rPr>
          <w:rFonts w:hint="eastAsia" w:ascii="宋体" w:hAnsi="宋体" w:eastAsia="宋体" w:cs="宋体"/>
          <w:color w:val="auto"/>
          <w:sz w:val="21"/>
          <w:szCs w:val="21"/>
          <w:highlight w:val="none"/>
          <w:rtl/>
        </w:rPr>
        <w:t>إعداد: تشانغ هاو، التاريخ: 5 مايو 2025، مراجعة: لي بيزو</w:t>
      </w:r>
    </w:p>
    <w:p w14:paraId="743F2394">
      <w:pPr>
        <w:keepNext w:val="0"/>
        <w:keepLines w:val="0"/>
        <w:pageBreakBefore w:val="0"/>
        <w:widowControl w:val="0"/>
        <w:kinsoku/>
        <w:wordWrap/>
        <w:overflowPunct/>
        <w:topLinePunct w:val="0"/>
        <w:autoSpaceDE/>
        <w:autoSpaceDN/>
        <w:adjustRightInd/>
        <w:snapToGrid w:val="0"/>
        <w:spacing w:line="360" w:lineRule="auto"/>
        <w:ind w:firstLine="480" w:firstLineChars="200"/>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 xml:space="preserve">نتائج الإجراءات: من خلال ضبط الحمل ودرجة الحرارة المحددة لفرن الحمام المائي، ارتفعت درجة حرارة مخرج النفط الخام من كلا المبادلين الحراريين في وحدة معالجة النفط الخام الجديدة بأكثر من 3 درجات مئوية. ومن خلال تنظيف الملفات الداخلية لفرني الحمام المائي H-1005 وH-1006، ارتفعت درجة حرارة مخرج كلا الفرنين بأكثر من 5 درجات مئوية. وبذلك، تحققت أهداف هذه الإجراءات.</w:t>
      </w:r>
    </w:p>
    <w:p w14:paraId="466991C4">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rtl/>
        </w:rPr>
      </w:pPr>
    </w:p>
    <w:p w14:paraId="6D9F5439">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rtl/>
        </w:rPr>
      </w:pPr>
    </w:p>
    <w:p w14:paraId="17BDEFCE">
      <w:pPr>
        <w:widowControl/>
        <w:jc w:val="both"/>
        <w:rPr>
          <w:rFonts w:hint="eastAsia" w:ascii="宋体" w:hAnsi="宋体" w:eastAsia="宋体" w:cs="宋体"/>
          <w:color w:val="auto"/>
          <w:sz w:val="24"/>
          <w:szCs w:val="24"/>
          <w:highlight w:val="none"/>
          <w:rtl/>
        </w:rPr>
        <w:bidi/>
      </w:pPr>
    </w:p>
    <w:p w14:paraId="09691C45">
      <w:pPr>
        <w:widowControl/>
        <w:jc w:val="both"/>
        <w:rPr>
          <w:rFonts w:hint="eastAsia" w:ascii="宋体" w:hAnsi="宋体" w:eastAsia="宋体" w:cs="宋体"/>
          <w:color w:val="auto"/>
          <w:sz w:val="24"/>
          <w:szCs w:val="24"/>
          <w:highlight w:val="none"/>
          <w:lang w:val="en-US" w:eastAsia="zh-CN"/>
          <w:rtl/>
        </w:rPr>
        <w:bidi/>
      </w:pPr>
      <w:r>
        <w:rPr>
          <w:rFonts w:hint="eastAsia" w:ascii="宋体" w:hAnsi="宋体" w:eastAsia="宋体" w:cs="宋体"/>
          <w:color w:val="auto"/>
          <w:sz w:val="24"/>
          <w:szCs w:val="24"/>
          <w:highlight w:val="none"/>
          <w:lang w:val="en-US" w:eastAsia="zh-CN"/>
          <w:rtl/>
        </w:rPr>
        <w:drawing>
          <wp:inline distT="0" distB="0" distL="114300" distR="114300">
            <wp:extent cx="2376170" cy="1783080"/>
            <wp:effectExtent l="0" t="0" r="5080" b="7620"/>
            <wp:docPr id="13" name="图片 13" descr="盘管回装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盘管回装 (2)"/>
                    <pic:cNvPicPr>
                      <a:picLocks noChangeAspect="1"/>
                    </pic:cNvPicPr>
                  </pic:nvPicPr>
                  <pic:blipFill>
                    <a:blip r:embed="rId24"/>
                    <a:stretch>
                      <a:fillRect/>
                    </a:stretch>
                  </pic:blipFill>
                  <pic:spPr>
                    <a:xfrm>
                      <a:off x="0" y="0"/>
                      <a:ext cx="2376170" cy="1783080"/>
                    </a:xfrm>
                    <a:prstGeom prst="rect">
                      <a:avLst/>
                    </a:prstGeom>
                  </pic:spPr>
                </pic:pic>
              </a:graphicData>
            </a:graphic>
          </wp:inline>
        </w:drawing>
      </w:r>
      <w:r>
        <w:rPr>
          <w:rFonts w:hint="eastAsia" w:ascii="宋体" w:hAnsi="宋体" w:eastAsia="宋体" w:cs="宋体"/>
          <w:color w:val="auto"/>
          <w:sz w:val="24"/>
          <w:szCs w:val="24"/>
          <w:highlight w:val="none"/>
          <w:lang w:val="en-US" w:eastAsia="zh-CN"/>
          <w:rtl/>
        </w:rPr>
        <w:t xml:space="preserve">           </w:t>
      </w:r>
      <w:r>
        <w:rPr>
          <w:rFonts w:hint="eastAsia" w:ascii="宋体" w:hAnsi="宋体" w:eastAsia="宋体" w:cs="宋体"/>
          <w:color w:val="auto"/>
          <w:sz w:val="24"/>
          <w:szCs w:val="24"/>
          <w:highlight w:val="none"/>
          <w:lang w:val="en-US" w:eastAsia="zh-CN"/>
          <w:rtl/>
        </w:rPr>
        <w:drawing>
          <wp:inline distT="0" distB="0" distL="114300" distR="114300">
            <wp:extent cx="2316480" cy="1737360"/>
            <wp:effectExtent l="0" t="0" r="7620" b="15240"/>
            <wp:docPr id="14" name="图片 14" descr="盘管变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盘管变形"/>
                    <pic:cNvPicPr>
                      <a:picLocks noChangeAspect="1"/>
                    </pic:cNvPicPr>
                  </pic:nvPicPr>
                  <pic:blipFill>
                    <a:blip r:embed="rId25"/>
                    <a:stretch>
                      <a:fillRect/>
                    </a:stretch>
                  </pic:blipFill>
                  <pic:spPr>
                    <a:xfrm>
                      <a:off x="0" y="0"/>
                      <a:ext cx="2316480" cy="1737360"/>
                    </a:xfrm>
                    <a:prstGeom prst="rect">
                      <a:avLst/>
                    </a:prstGeom>
                  </pic:spPr>
                </pic:pic>
              </a:graphicData>
            </a:graphic>
          </wp:inline>
        </w:drawing>
      </w:r>
    </w:p>
    <w:p w14:paraId="39B6B60A">
      <w:pPr>
        <w:widowControl/>
        <w:jc w:val="center"/>
        <w:rPr>
          <w:rFonts w:hint="eastAsia" w:ascii="宋体" w:hAnsi="宋体" w:eastAsia="宋体" w:cs="宋体"/>
          <w:color w:val="auto"/>
          <w:sz w:val="21"/>
          <w:szCs w:val="21"/>
          <w:highlight w:val="none"/>
          <w:rtl/>
        </w:rPr>
        <w:bidi/>
      </w:pPr>
      <w:r>
        <w:rPr>
          <w:rFonts w:hint="eastAsia" w:ascii="宋体" w:hAnsi="宋体" w:eastAsia="宋体" w:cs="宋体"/>
          <w:color w:val="auto"/>
          <w:sz w:val="21"/>
          <w:szCs w:val="21"/>
          <w:highlight w:val="none"/>
          <w:rtl/>
        </w:rPr>
        <w:t>الشكل 8-1: رسم تخطيطي لتنظيف الملفات الداخلية لفرن الحمام المائي</w:t>
      </w:r>
    </w:p>
    <w:p w14:paraId="5AF109EF">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 xml:space="preserve">   </w:t>
      </w:r>
    </w:p>
    <w:p w14:paraId="76E6DF36">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 xml:space="preserve"> </w:t>
      </w:r>
      <w:r>
        <w:rPr>
          <w:rFonts w:hint="eastAsia" w:ascii="宋体" w:hAnsi="宋体" w:eastAsia="宋体" w:cs="宋体"/>
          <w:color w:val="auto"/>
          <w:kern w:val="0"/>
          <w:sz w:val="24"/>
          <w:szCs w:val="24"/>
          <w:highlight w:val="none"/>
          <w:lang w:val="en-US" w:eastAsia="zh-CN" w:bidi="ar-SA"/>
          <w:rtl/>
        </w:rPr>
        <w:drawing>
          <wp:inline distT="0" distB="0" distL="114300" distR="114300">
            <wp:extent cx="2203450" cy="1490980"/>
            <wp:effectExtent l="0" t="0" r="0" b="0"/>
            <wp:docPr id="2" name="图片 2" descr="H-1006大修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1006大修后"/>
                    <pic:cNvPicPr>
                      <a:picLocks noChangeAspect="1"/>
                    </pic:cNvPicPr>
                  </pic:nvPicPr>
                  <pic:blipFill>
                    <a:blip r:embed="rId26"/>
                    <a:srcRect b="9831"/>
                    <a:stretch>
                      <a:fillRect/>
                    </a:stretch>
                  </pic:blipFill>
                  <pic:spPr>
                    <a:xfrm>
                      <a:off x="0" y="0"/>
                      <a:ext cx="2203450" cy="1490980"/>
                    </a:xfrm>
                    <a:prstGeom prst="rect">
                      <a:avLst/>
                    </a:prstGeom>
                  </pic:spPr>
                </pic:pic>
              </a:graphicData>
            </a:graphic>
          </wp:inline>
        </w:drawing>
      </w:r>
      <w:r>
        <w:rPr>
          <w:rFonts w:hint="eastAsia" w:ascii="宋体" w:hAnsi="宋体" w:eastAsia="宋体" w:cs="宋体"/>
          <w:color w:val="auto"/>
          <w:kern w:val="0"/>
          <w:sz w:val="24"/>
          <w:szCs w:val="24"/>
          <w:highlight w:val="none"/>
          <w:lang w:val="en-US" w:eastAsia="zh-CN" w:bidi="ar-SA"/>
          <w:rtl/>
        </w:rPr>
        <w:t xml:space="preserve">               </w:t>
      </w:r>
      <w:r>
        <w:rPr>
          <w:rFonts w:hint="eastAsia" w:ascii="宋体" w:hAnsi="宋体" w:eastAsia="宋体" w:cs="宋体"/>
          <w:color w:val="auto"/>
          <w:kern w:val="0"/>
          <w:sz w:val="24"/>
          <w:szCs w:val="24"/>
          <w:highlight w:val="none"/>
          <w:lang w:val="en-US" w:eastAsia="zh-CN" w:bidi="ar-SA"/>
          <w:rtl/>
        </w:rPr>
        <w:drawing>
          <wp:inline distT="0" distB="0" distL="114300" distR="114300">
            <wp:extent cx="2204720" cy="1471930"/>
            <wp:effectExtent l="0" t="0" r="0" b="0"/>
            <wp:docPr id="8" name="图片 8" descr="b17ae970e24b9cdeed803620d80e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17ae970e24b9cdeed803620d80e5dd"/>
                    <pic:cNvPicPr>
                      <a:picLocks noChangeAspect="1"/>
                    </pic:cNvPicPr>
                  </pic:nvPicPr>
                  <pic:blipFill>
                    <a:blip r:embed="rId27"/>
                    <a:srcRect b="10983"/>
                    <a:stretch>
                      <a:fillRect/>
                    </a:stretch>
                  </pic:blipFill>
                  <pic:spPr>
                    <a:xfrm>
                      <a:off x="0" y="0"/>
                      <a:ext cx="2204720" cy="1471930"/>
                    </a:xfrm>
                    <a:prstGeom prst="rect">
                      <a:avLst/>
                    </a:prstGeom>
                  </pic:spPr>
                </pic:pic>
              </a:graphicData>
            </a:graphic>
          </wp:inline>
        </w:drawing>
      </w:r>
      <w:r>
        <w:rPr>
          <w:rFonts w:hint="eastAsia" w:ascii="宋体" w:hAnsi="宋体" w:eastAsia="宋体" w:cs="宋体"/>
          <w:color w:val="auto"/>
          <w:kern w:val="0"/>
          <w:sz w:val="24"/>
          <w:szCs w:val="24"/>
          <w:highlight w:val="none"/>
          <w:lang w:val="en-US" w:eastAsia="zh-CN" w:bidi="ar-SA"/>
          <w:rtl/>
        </w:rPr>
        <w:t xml:space="preserve">     </w:t>
      </w:r>
    </w:p>
    <w:p w14:paraId="6A06F027">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 xml:space="preserve">        </w:t>
      </w:r>
      <w:r>
        <w:rPr>
          <w:rFonts w:hint="eastAsia" w:ascii="宋体" w:hAnsi="宋体" w:eastAsia="宋体" w:cs="宋体"/>
          <w:color w:val="auto"/>
          <w:kern w:val="0"/>
          <w:sz w:val="20"/>
          <w:szCs w:val="20"/>
          <w:highlight w:val="none"/>
          <w:lang w:val="en-US" w:eastAsia="zh-CN" w:bidi="ar-SA"/>
          <w:rtl/>
        </w:rPr>
        <w:t>غلاية حمام مائي H-1006 قبل وبعد الإصلاح الشامل</w:t>
      </w:r>
      <w:r>
        <w:rPr>
          <w:rFonts w:hint="eastAsia" w:ascii="宋体" w:hAnsi="宋体" w:eastAsia="宋体" w:cs="宋体"/>
          <w:color w:val="auto"/>
          <w:kern w:val="0"/>
          <w:sz w:val="24"/>
          <w:szCs w:val="24"/>
          <w:highlight w:val="none"/>
          <w:lang w:val="en-US" w:eastAsia="zh-CN" w:bidi="ar-SA"/>
          <w:rtl/>
        </w:rPr>
        <w:t xml:space="preserve">   </w:t>
      </w:r>
    </w:p>
    <w:p w14:paraId="550E2FD6">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kern w:val="0"/>
          <w:sz w:val="24"/>
          <w:szCs w:val="24"/>
          <w:highlight w:val="none"/>
          <w:lang w:val="en-US" w:eastAsia="zh-CN" w:bidi="ar-SA"/>
          <w:rtl/>
        </w:rPr>
      </w:pPr>
    </w:p>
    <w:p w14:paraId="2E9CB391">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drawing>
          <wp:inline distT="0" distB="0" distL="114300" distR="114300">
            <wp:extent cx="2299335" cy="1516380"/>
            <wp:effectExtent l="0" t="0" r="0" b="0"/>
            <wp:docPr id="1" name="图片 1" descr="f425e4db950183831fa09d15e696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425e4db950183831fa09d15e6963d1"/>
                    <pic:cNvPicPr>
                      <a:picLocks noChangeAspect="1"/>
                    </pic:cNvPicPr>
                  </pic:nvPicPr>
                  <pic:blipFill>
                    <a:blip r:embed="rId28"/>
                    <a:srcRect b="12077"/>
                    <a:stretch>
                      <a:fillRect/>
                    </a:stretch>
                  </pic:blipFill>
                  <pic:spPr>
                    <a:xfrm>
                      <a:off x="0" y="0"/>
                      <a:ext cx="2299335" cy="1516380"/>
                    </a:xfrm>
                    <a:prstGeom prst="rect">
                      <a:avLst/>
                    </a:prstGeom>
                  </pic:spPr>
                </pic:pic>
              </a:graphicData>
            </a:graphic>
          </wp:inline>
        </w:drawing>
      </w:r>
      <w:r>
        <w:rPr>
          <w:rFonts w:hint="eastAsia" w:ascii="宋体" w:hAnsi="宋体" w:eastAsia="宋体" w:cs="宋体"/>
          <w:color w:val="auto"/>
          <w:kern w:val="0"/>
          <w:sz w:val="24"/>
          <w:szCs w:val="24"/>
          <w:highlight w:val="none"/>
          <w:lang w:val="en-US" w:eastAsia="zh-CN" w:bidi="ar-SA"/>
          <w:rtl/>
        </w:rPr>
        <w:t xml:space="preserve">               </w:t>
      </w:r>
      <w:r>
        <w:rPr>
          <w:rFonts w:hint="eastAsia" w:ascii="宋体" w:hAnsi="宋体" w:eastAsia="宋体" w:cs="宋体"/>
          <w:color w:val="auto"/>
          <w:kern w:val="0"/>
          <w:sz w:val="24"/>
          <w:szCs w:val="24"/>
          <w:highlight w:val="none"/>
          <w:lang w:val="en-US" w:eastAsia="zh-CN" w:bidi="ar-SA"/>
          <w:rtl/>
        </w:rPr>
        <w:drawing>
          <wp:inline distT="0" distB="0" distL="114300" distR="114300">
            <wp:extent cx="2221230" cy="1542415"/>
            <wp:effectExtent l="0" t="0" r="0" b="0"/>
            <wp:docPr id="11" name="图片 11" descr="7bb40d99b693bea10503ac5b6b9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bb40d99b693bea10503ac5b6b95281"/>
                    <pic:cNvPicPr>
                      <a:picLocks noChangeAspect="1"/>
                    </pic:cNvPicPr>
                  </pic:nvPicPr>
                  <pic:blipFill>
                    <a:blip r:embed="rId29"/>
                    <a:srcRect b="7396"/>
                    <a:stretch>
                      <a:fillRect/>
                    </a:stretch>
                  </pic:blipFill>
                  <pic:spPr>
                    <a:xfrm>
                      <a:off x="0" y="0"/>
                      <a:ext cx="2221230" cy="1542415"/>
                    </a:xfrm>
                    <a:prstGeom prst="rect">
                      <a:avLst/>
                    </a:prstGeom>
                  </pic:spPr>
                </pic:pic>
              </a:graphicData>
            </a:graphic>
          </wp:inline>
        </w:drawing>
      </w:r>
      <w:r>
        <w:rPr>
          <w:rFonts w:hint="eastAsia" w:ascii="宋体" w:hAnsi="宋体" w:eastAsia="宋体" w:cs="宋体"/>
          <w:color w:val="auto"/>
          <w:kern w:val="0"/>
          <w:sz w:val="24"/>
          <w:szCs w:val="24"/>
          <w:highlight w:val="none"/>
          <w:lang w:val="en-US" w:eastAsia="zh-CN" w:bidi="ar-SA"/>
          <w:rtl/>
        </w:rPr>
        <w:t xml:space="preserve">     </w:t>
      </w:r>
    </w:p>
    <w:p w14:paraId="0503E394">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 xml:space="preserve">       </w:t>
      </w:r>
      <w:r>
        <w:rPr>
          <w:rFonts w:hint="eastAsia" w:ascii="宋体" w:hAnsi="宋体" w:eastAsia="宋体" w:cs="宋体"/>
          <w:color w:val="auto"/>
          <w:kern w:val="0"/>
          <w:sz w:val="20"/>
          <w:szCs w:val="20"/>
          <w:highlight w:val="none"/>
          <w:lang w:val="en-US" w:eastAsia="zh-CN" w:bidi="ar-SA"/>
          <w:rtl/>
        </w:rPr>
        <w:t xml:space="preserve">بعد إجراء إصلاح شامل لغلاية حمام الماء H-1005</w:t>
      </w:r>
      <w:r>
        <w:rPr>
          <w:rFonts w:hint="eastAsia" w:ascii="宋体" w:hAnsi="宋体" w:eastAsia="宋体" w:cs="宋体"/>
          <w:color w:val="auto"/>
          <w:kern w:val="0"/>
          <w:sz w:val="24"/>
          <w:szCs w:val="24"/>
          <w:highlight w:val="none"/>
          <w:lang w:val="en-US" w:eastAsia="zh-CN" w:bidi="ar-SA"/>
          <w:rtl/>
        </w:rPr>
        <w:t xml:space="preserve">                           </w:t>
      </w:r>
      <w:r>
        <w:rPr>
          <w:rFonts w:hint="eastAsia" w:ascii="宋体" w:hAnsi="宋体" w:eastAsia="宋体" w:cs="宋体"/>
          <w:color w:val="auto"/>
          <w:kern w:val="0"/>
          <w:sz w:val="20"/>
          <w:szCs w:val="20"/>
          <w:highlight w:val="none"/>
          <w:lang w:val="en-US" w:eastAsia="zh-CN" w:bidi="ar-SA"/>
          <w:rtl/>
        </w:rPr>
        <w:t>قبل إجراء عملية إصلاح شاملة لغلاية حمام الماء H-1005</w:t>
      </w:r>
      <w:r>
        <w:rPr>
          <w:rFonts w:hint="eastAsia" w:ascii="宋体" w:hAnsi="宋体" w:eastAsia="宋体" w:cs="宋体"/>
          <w:color w:val="auto"/>
          <w:kern w:val="0"/>
          <w:sz w:val="24"/>
          <w:szCs w:val="24"/>
          <w:highlight w:val="none"/>
          <w:lang w:val="en-US" w:eastAsia="zh-CN" w:bidi="ar-SA"/>
          <w:rtl/>
        </w:rPr>
        <w:t xml:space="preserve">    </w:t>
      </w:r>
    </w:p>
    <w:p w14:paraId="715F5DBA">
      <w:pPr>
        <w:widowControl/>
        <w:jc w:val="center"/>
        <w:rPr>
          <w:rFonts w:hint="eastAsia" w:ascii="宋体" w:hAnsi="宋体" w:eastAsia="宋体" w:cs="宋体"/>
          <w:color w:val="auto"/>
          <w:sz w:val="21"/>
          <w:szCs w:val="21"/>
          <w:highlight w:val="none"/>
          <w:lang w:val="en-US"/>
          <w:rtl/>
        </w:rPr>
        <w:bidi/>
      </w:pPr>
      <w:r>
        <w:rPr>
          <w:rFonts w:hint="eastAsia" w:ascii="宋体" w:hAnsi="宋体" w:eastAsia="宋体" w:cs="宋体"/>
          <w:color w:val="auto"/>
          <w:sz w:val="21"/>
          <w:szCs w:val="21"/>
          <w:highlight w:val="none"/>
          <w:rtl/>
        </w:rPr>
        <w:t>الشكل 8-2: مقارنة البيانات قبل وبعد عملية إصلاح فرن حمام الماء H-1005/1006</w:t>
      </w:r>
    </w:p>
    <w:p w14:paraId="1DA69967">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kern w:val="0"/>
          <w:sz w:val="24"/>
          <w:szCs w:val="24"/>
          <w:highlight w:val="none"/>
          <w:lang w:val="en-US" w:eastAsia="zh-CN" w:bidi="ar-SA"/>
          <w:rtl/>
        </w:rPr>
        <w:t xml:space="preserve">                                                                                                                                                                                                                                                                                                                                                                                                                                                                                                                                                                       </w:t>
      </w:r>
    </w:p>
    <w:p w14:paraId="36DAE638">
      <w:pPr>
        <w:pStyle w:val="4"/>
        <w:rPr>
          <w:rFonts w:hint="eastAsia" w:ascii="宋体" w:hAnsi="宋体" w:eastAsia="宋体" w:cs="宋体"/>
          <w:rtl/>
        </w:rPr>
      </w:pPr>
      <w:bookmarkStart w:id="38" w:name="_Toc3134"/>
      <w:r>
        <w:rPr>
          <w:rFonts w:hint="eastAsia" w:ascii="宋体" w:hAnsi="宋体" w:eastAsia="宋体" w:cs="宋体"/>
          <w:rtl/>
        </w:rPr>
        <w:t>(II) تنفيذ الاستراتيجية</w:t>
      </w:r>
      <w:bookmarkStart w:id="39" w:name="_Toc26229"/>
      <w:bookmarkEnd w:id="38"/>
    </w:p>
    <w:p w14:paraId="4A7BBA8C">
      <w:pPr>
        <w:pStyle w:val="5"/>
        <w:rPr>
          <w:rFonts w:hint="eastAsia" w:ascii="宋体" w:hAnsi="宋体" w:eastAsia="宋体" w:cs="宋体"/>
          <w:rtl/>
        </w:rPr>
      </w:pPr>
      <w:r>
        <w:rPr>
          <w:rFonts w:hint="eastAsia" w:ascii="宋体" w:hAnsi="宋体" w:eastAsia="宋体" w:cs="宋体"/>
          <w:rtl/>
        </w:rPr>
        <w:t>2.1 تم تعديل BU41 لاستخدام طريقة نقل السوائل المتقطعة ذات الإزاحة الصغيرة.</w:t>
      </w:r>
      <w:bookmarkEnd w:id="39"/>
    </w:p>
    <w:p w14:paraId="4317D062">
      <w:pPr>
        <w:pStyle w:val="9"/>
        <w:keepNext w:val="0"/>
        <w:keepLines w:val="0"/>
        <w:pageBreakBefore w:val="0"/>
        <w:widowControl w:val="0"/>
        <w:kinsoku/>
        <w:wordWrap/>
        <w:overflowPunct/>
        <w:topLinePunct w:val="0"/>
        <w:autoSpaceDE/>
        <w:autoSpaceDN/>
        <w:adjustRightInd/>
        <w:spacing w:line="360" w:lineRule="auto"/>
        <w:textAlignment w:val="auto"/>
        <w:rPr>
          <w:rFonts w:hint="eastAsia" w:ascii="宋体" w:hAnsi="宋体" w:eastAsia="宋体" w:cs="宋体"/>
          <w:color w:val="auto"/>
          <w:highlight w:val="none"/>
          <w:lang w:eastAsia="zh-CN"/>
          <w:rtl/>
        </w:rPr>
      </w:pPr>
      <w:r>
        <w:rPr>
          <w:rFonts w:hint="eastAsia" w:ascii="宋体" w:hAnsi="宋体" w:eastAsia="宋体" w:cs="宋体"/>
          <w:color w:val="auto"/>
          <w:highlight w:val="none"/>
          <w:lang w:eastAsia="zh-CN"/>
          <w:rtl/>
        </w:rPr>
        <w:t>سيتم تنفيذ التدابير المضادة في الفترة من 25 أبريل إلى 12 مايو 2025.</w:t>
      </w:r>
    </w:p>
    <w:p w14:paraId="5F9CD05E">
      <w:pPr>
        <w:keepNext w:val="0"/>
        <w:keepLines w:val="0"/>
        <w:pageBreakBefore w:val="0"/>
        <w:widowControl w:val="0"/>
        <w:kinsoku/>
        <w:wordWrap/>
        <w:overflowPunct/>
        <w:topLinePunct w:val="0"/>
        <w:autoSpaceDE/>
        <w:autoSpaceDN/>
        <w:adjustRightInd/>
        <w:snapToGrid w:val="0"/>
        <w:spacing w:line="360" w:lineRule="auto"/>
        <w:ind w:firstLine="480" w:firstLineChars="200"/>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color w:val="auto"/>
          <w:sz w:val="24"/>
          <w:szCs w:val="24"/>
          <w:highlight w:val="none"/>
          <w:lang w:val="en-US" w:eastAsia="zh-CN"/>
          <w:rtl/>
        </w:rPr>
        <w:t>وفقًا لبيانات اختبار BU41، يتميز سائل BU41 المستخدم في المراحل الأولية بخصائص فيزيائية رديئة ويحتوي على كمية كبيرة من المستحلبات، مما يُصعّب عملية المعالجة. حتى إضافة مُزيلات الاستحلاب عالية التركيز لم تُجدِ نفعًا يُذكر. ولتجنب نقل كميات كبيرة من سائل BU41 المركز، والذي قد يؤدي إلى زيادة الاستحلاب وعدم القدرة على فصل الزيت عن الماء في وحدة معالجة النفط الخام المركزية، بل وحتى التسبب في انقطاع جماعي للتيار الكهربائي في جهاز الترسيب الكهروستاتيكي، تم اتخاذ قرار، بعد التواصل مع موردي المراحل الأولية، باعتماد إجراء نقل متقطع للسائل بكميات قليلة للحد من تأثير المستحلبات على العملية. بعد أسبوعين من اختبار نقل السائل المتقطع بكميات قليلة، لم تشهد وحدة المعالجة المركزية أي زيادة مفاجئة في المستحلبات أو انقطاع جماعي للتيار الكهربائي في جهاز الترسيب الكهروستاتيكي، وبذلك تحققت أهداف الإجراء.</w:t>
      </w:r>
    </w:p>
    <w:p w14:paraId="165D6644">
      <w:pPr>
        <w:keepNext w:val="0"/>
        <w:keepLines w:val="0"/>
        <w:pageBreakBefore w:val="0"/>
        <w:widowControl w:val="0"/>
        <w:kinsoku/>
        <w:wordWrap/>
        <w:overflowPunct/>
        <w:topLinePunct w:val="0"/>
        <w:autoSpaceDE/>
        <w:autoSpaceDN/>
        <w:adjustRightInd/>
        <w:snapToGrid w:val="0"/>
        <w:ind w:firstLine="420" w:firstLineChars="200"/>
        <w:textAlignment w:val="auto"/>
        <w:rPr>
          <w:rFonts w:hint="eastAsia" w:ascii="宋体" w:hAnsi="宋体" w:eastAsia="宋体" w:cs="宋体"/>
          <w:color w:val="auto"/>
          <w:kern w:val="0"/>
          <w:sz w:val="24"/>
          <w:szCs w:val="24"/>
          <w:highlight w:val="none"/>
          <w:lang w:val="en-US" w:eastAsia="zh-CN" w:bidi="ar-SA"/>
          <w:rtl/>
        </w:rPr>
      </w:pPr>
      <w:r>
        <w:rPr>
          <w:rFonts w:hint="eastAsia" w:ascii="宋体" w:hAnsi="宋体" w:eastAsia="宋体" w:cs="宋体"/>
          <w:highlight w:val="none"/>
          <w:rtl/>
        </w:rPr>
        <w:drawing>
          <wp:inline distT="0" distB="0" distL="114300" distR="114300">
            <wp:extent cx="5756275" cy="2547620"/>
            <wp:effectExtent l="0" t="0" r="15875" b="50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0"/>
                    <a:stretch>
                      <a:fillRect/>
                    </a:stretch>
                  </pic:blipFill>
                  <pic:spPr>
                    <a:xfrm>
                      <a:off x="0" y="0"/>
                      <a:ext cx="5756275" cy="2547620"/>
                    </a:xfrm>
                    <a:prstGeom prst="rect">
                      <a:avLst/>
                    </a:prstGeom>
                    <a:noFill/>
                    <a:ln>
                      <a:noFill/>
                    </a:ln>
                  </pic:spPr>
                </pic:pic>
              </a:graphicData>
            </a:graphic>
          </wp:inline>
        </w:drawing>
      </w:r>
    </w:p>
    <w:p w14:paraId="3A511F17">
      <w:pPr>
        <w:widowControl/>
        <w:jc w:val="center"/>
        <w:rPr>
          <w:rFonts w:hint="eastAsia" w:ascii="宋体" w:hAnsi="宋体" w:eastAsia="宋体" w:cs="宋体"/>
          <w:color w:val="auto"/>
          <w:sz w:val="21"/>
          <w:szCs w:val="21"/>
          <w:highlight w:val="none"/>
          <w:lang w:val="en-US"/>
          <w:rtl/>
        </w:rPr>
        <w:bidi/>
      </w:pPr>
      <w:r>
        <w:rPr>
          <w:rFonts w:hint="eastAsia" w:ascii="宋体" w:hAnsi="宋体" w:eastAsia="宋体" w:cs="宋体"/>
          <w:color w:val="auto"/>
          <w:sz w:val="21"/>
          <w:szCs w:val="21"/>
          <w:highlight w:val="none"/>
          <w:rtl/>
        </w:rPr>
        <w:t>الشكل 8-3: سجلات خرج BU41 وحالة عملية الفصل الكهربائي</w:t>
      </w:r>
    </w:p>
    <w:p w14:paraId="559C4E22">
      <w:pPr>
        <w:keepNext w:val="0"/>
        <w:keepLines w:val="0"/>
        <w:pageBreakBefore w:val="0"/>
        <w:widowControl w:val="0"/>
        <w:kinsoku/>
        <w:wordWrap/>
        <w:overflowPunct/>
        <w:topLinePunct w:val="0"/>
        <w:autoSpaceDE/>
        <w:autoSpaceDN/>
        <w:adjustRightInd/>
        <w:snapToGrid w:val="0"/>
        <w:textAlignment w:val="auto"/>
        <w:rPr>
          <w:rFonts w:hint="eastAsia" w:ascii="宋体" w:hAnsi="宋体" w:eastAsia="宋体" w:cs="宋体"/>
          <w:color w:val="auto"/>
          <w:kern w:val="0"/>
          <w:sz w:val="24"/>
          <w:szCs w:val="24"/>
          <w:highlight w:val="none"/>
          <w:lang w:val="en-US" w:eastAsia="zh-CN" w:bidi="ar-SA"/>
          <w:rtl/>
        </w:rPr>
      </w:pPr>
    </w:p>
    <w:p w14:paraId="2E98CE0D">
      <w:pPr>
        <w:pStyle w:val="4"/>
        <w:numPr>
          <w:ilvl w:val="0"/>
          <w:numId w:val="7"/>
        </w:numPr>
        <w:rPr>
          <w:rFonts w:hint="eastAsia" w:ascii="宋体" w:hAnsi="宋体" w:eastAsia="宋体" w:cs="宋体"/>
          <w:lang w:val="en-US" w:eastAsia="zh-CN"/>
          <w:rtl/>
        </w:rPr>
      </w:pPr>
      <w:bookmarkStart w:id="40" w:name="_Toc20439"/>
      <w:r>
        <w:rPr>
          <w:rFonts w:hint="eastAsia" w:ascii="宋体" w:hAnsi="宋体" w:eastAsia="宋体" w:cs="宋体"/>
          <w:lang w:val="en-US" w:eastAsia="zh-CN"/>
          <w:rtl/>
        </w:rPr>
        <w:t>تنفيذ الاستراتيجية الثالثة</w:t>
      </w:r>
      <w:bookmarkEnd w:id="40"/>
    </w:p>
    <w:p w14:paraId="6D27FB2A">
      <w:pPr>
        <w:pStyle w:val="9"/>
        <w:rPr>
          <w:rFonts w:hint="eastAsia" w:ascii="宋体" w:hAnsi="宋体" w:eastAsia="宋体" w:cs="宋体"/>
          <w:color w:val="auto"/>
          <w:highlight w:val="none"/>
          <w:lang w:eastAsia="zh-CN"/>
          <w:rtl/>
        </w:rPr>
        <w:bidi/>
      </w:pPr>
      <w:r>
        <w:rPr>
          <w:rFonts w:hint="eastAsia" w:ascii="宋体" w:hAnsi="宋体" w:eastAsia="宋体" w:cs="宋体"/>
          <w:color w:val="auto"/>
          <w:highlight w:val="none"/>
          <w:lang w:eastAsia="zh-CN"/>
          <w:rtl/>
        </w:rPr>
        <w:t>سيتم تنفيذ التدابير المضادة في الفترة من 24 أبريل إلى 6 مايو 2025.</w:t>
      </w:r>
    </w:p>
    <w:p w14:paraId="0404EE0B">
      <w:pPr>
        <w:pStyle w:val="5"/>
        <w:rPr>
          <w:rFonts w:hint="eastAsia" w:ascii="宋体" w:hAnsi="宋体" w:eastAsia="宋体" w:cs="宋体"/>
          <w:lang w:val="en-US" w:eastAsia="zh-CN"/>
          <w:rtl/>
        </w:rPr>
      </w:pPr>
      <w:r>
        <w:rPr>
          <w:rFonts w:hint="eastAsia" w:ascii="宋体" w:hAnsi="宋体" w:eastAsia="宋体" w:cs="宋体"/>
          <w:lang w:val="en-US" w:eastAsia="zh-CN"/>
          <w:rtl/>
        </w:rPr>
        <w:t>3.1 تحسين معدل حقن الكواشف في محطة إزالة الغازات في المنبع ومنطقة المعالجة المركزية.</w:t>
      </w:r>
    </w:p>
    <w:p w14:paraId="51E3A74B">
      <w:pPr>
        <w:pStyle w:val="49"/>
        <w:keepNext w:val="0"/>
        <w:keepLines w:val="0"/>
        <w:pageBreakBefore w:val="0"/>
        <w:widowControl w:val="0"/>
        <w:kinsoku/>
        <w:wordWrap/>
        <w:overflowPunct/>
        <w:topLinePunct w:val="0"/>
        <w:autoSpaceDE/>
        <w:autoSpaceDN/>
        <w:adjustRightInd/>
        <w:snapToGrid w:val="0"/>
        <w:spacing w:line="360" w:lineRule="auto"/>
        <w:ind w:firstLine="480" w:firstLineChars="200"/>
        <w:jc w:val="both"/>
        <w:textAlignment w:val="auto"/>
        <w:rPr>
          <w:rFonts w:hint="eastAsia" w:ascii="宋体" w:hAnsi="宋体" w:eastAsia="宋体" w:cs="宋体"/>
          <w:color w:val="auto"/>
          <w:szCs w:val="24"/>
          <w:highlight w:val="none"/>
          <w:lang w:val="en-US" w:eastAsia="zh-CN"/>
          <w:rtl/>
        </w:rPr>
      </w:pPr>
      <w:r>
        <w:rPr>
          <w:rFonts w:hint="eastAsia" w:ascii="宋体" w:hAnsi="宋体" w:eastAsia="宋体" w:cs="宋体"/>
          <w:color w:val="auto"/>
          <w:highlight w:val="none"/>
          <w:lang w:val="en-US" w:eastAsia="zh-CN"/>
          <w:rtl/>
        </w:rPr>
        <w:t>استنتج لو شاوبو، أحد أعضاء الفريق، من خلال تحليل بيانات تجفيف FQN في الجدول 6-4، أن زيادة تركيز مُزيل الاستحلاب FQN إلى 60-70 جزءًا في المليون أدت إلى زيادة ملحوظة في كمية التجفيف دون إعادة الاستحلاب. وبناءً على ذلك، قرر الفريق زيادة كمية حقن مُزيل الاستحلاب FQN تدريجيًا إلى 60-70 جزءًا في المليون ومراقبة تأثير التجفيف.</w:t>
      </w:r>
    </w:p>
    <w:p w14:paraId="714A5E6D">
      <w:pPr>
        <w:pStyle w:val="49"/>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18"/>
          <w:szCs w:val="18"/>
          <w:highlight w:val="none"/>
          <w:lang w:val="en-US" w:eastAsia="zh-CN"/>
          <w:rtl/>
        </w:rPr>
      </w:pPr>
      <w:r>
        <w:rPr>
          <w:rFonts w:hint="eastAsia" w:ascii="宋体" w:hAnsi="宋体" w:eastAsia="宋体" w:cs="宋体"/>
          <w:color w:val="auto"/>
          <w:kern w:val="2"/>
          <w:sz w:val="18"/>
          <w:szCs w:val="18"/>
          <w:highlight w:val="none"/>
          <w:lang w:val="en-US" w:eastAsia="zh-CN" w:bidi="ar-SA"/>
          <w:rtl/>
        </w:rPr>
        <w:t xml:space="preserve">الجدول 8-3</w:t>
      </w:r>
      <w:r>
        <w:rPr>
          <w:rFonts w:hint="eastAsia" w:ascii="宋体" w:hAnsi="宋体" w:eastAsia="宋体" w:cs="宋体"/>
          <w:color w:val="auto"/>
          <w:sz w:val="18"/>
          <w:szCs w:val="18"/>
          <w:highlight w:val="none"/>
          <w:lang w:val="en-US" w:eastAsia="zh-CN"/>
          <w:rtl/>
        </w:rPr>
        <w:t>سجل اختبار ضبط مزيل الاستحلاب FQN</w:t>
      </w:r>
    </w:p>
    <w:tbl>
      <w:tblPr>
        <w:tblStyle w:val="19"/>
        <w:tblW w:w="60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51"/>
        <w:gridCol w:w="2660"/>
        <w:gridCol w:w="1090"/>
        <w:gridCol w:w="1159"/>
      </w:tblGrid>
      <w:tr w14:paraId="68E49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73A25">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وقت</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21F51">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تركيز مزيل الاستحلاب (جزء في المليون)</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2AAF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نسبة الرطوبة %</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180AB3">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نسبة المستحلب</w:t>
            </w:r>
          </w:p>
        </w:tc>
      </w:tr>
      <w:tr w14:paraId="49938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6C700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24 أبريل</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06CDF1">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ADCB0">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0</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8133B">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25.5</w:t>
            </w:r>
          </w:p>
        </w:tc>
      </w:tr>
      <w:tr w14:paraId="76A84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60AD3">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25 أبريل</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7239FC">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DC86C">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0.5</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A3815">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أربعة وعشرون</w:t>
            </w:r>
          </w:p>
        </w:tc>
      </w:tr>
      <w:tr w14:paraId="62430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650B6">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26 أبريل</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AADF0C">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8B928">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E9BD0">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25</w:t>
            </w:r>
          </w:p>
        </w:tc>
      </w:tr>
      <w:tr w14:paraId="55FA9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0E654">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27 أبريل</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03B9E3">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38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72A67">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1.6</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8F343">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أربعة وعشرون</w:t>
            </w:r>
          </w:p>
        </w:tc>
      </w:tr>
      <w:tr w14:paraId="23D47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D77DB8">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28 أبريل</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444D4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38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87F0C">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2.5</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EABC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ثلاثة وعشرين</w:t>
            </w:r>
          </w:p>
        </w:tc>
      </w:tr>
      <w:tr w14:paraId="1705C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B48DB8">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29 أبريل</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0CF4F">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48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9B898">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18</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449DC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6</w:t>
            </w:r>
          </w:p>
        </w:tc>
      </w:tr>
      <w:tr w14:paraId="0502E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40E7E">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30 أبريل</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FAF110">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48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0254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10</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D5BCD6">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14</w:t>
            </w:r>
          </w:p>
        </w:tc>
      </w:tr>
      <w:tr w14:paraId="456F8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E4810">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 مايو</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1F66B">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58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4DDA19">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10</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82A3E">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14</w:t>
            </w:r>
          </w:p>
        </w:tc>
      </w:tr>
      <w:tr w14:paraId="34076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1BD46">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2 مايو</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7967C">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58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1124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lang w:val="en-US"/>
                <w:rtl/>
              </w:rPr>
              <w:bidi/>
            </w:pPr>
            <w:r>
              <w:rPr>
                <w:rFonts w:hint="eastAsia" w:ascii="宋体" w:hAnsi="宋体" w:eastAsia="宋体" w:cs="宋体"/>
                <w:i w:val="0"/>
                <w:iCs w:val="0"/>
                <w:color w:val="auto"/>
                <w:kern w:val="0"/>
                <w:sz w:val="22"/>
                <w:szCs w:val="22"/>
                <w:highlight w:val="none"/>
                <w:u w:val="none"/>
                <w:lang w:val="en-US" w:eastAsia="zh-CN" w:bidi="ar"/>
                <w:rtl/>
              </w:rPr>
              <w:t>10</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D1131">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lang w:val="en-US"/>
                <w:rtl/>
              </w:rPr>
              <w:bidi/>
            </w:pPr>
            <w:r>
              <w:rPr>
                <w:rFonts w:hint="eastAsia" w:ascii="宋体" w:hAnsi="宋体" w:eastAsia="宋体" w:cs="宋体"/>
                <w:i w:val="0"/>
                <w:iCs w:val="0"/>
                <w:color w:val="auto"/>
                <w:kern w:val="0"/>
                <w:sz w:val="22"/>
                <w:szCs w:val="22"/>
                <w:highlight w:val="none"/>
                <w:u w:val="none"/>
                <w:lang w:val="en-US" w:eastAsia="zh-CN" w:bidi="ar"/>
                <w:rtl/>
              </w:rPr>
              <w:t>12</w:t>
            </w:r>
          </w:p>
        </w:tc>
      </w:tr>
      <w:tr w14:paraId="352FCB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BCFF4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3 مايو</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D295C">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58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8928E">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lang w:val="en-US"/>
                <w:rtl/>
              </w:rPr>
              <w:bidi/>
            </w:pPr>
            <w:r>
              <w:rPr>
                <w:rFonts w:hint="eastAsia" w:ascii="宋体" w:hAnsi="宋体" w:eastAsia="宋体" w:cs="宋体"/>
                <w:i w:val="0"/>
                <w:iCs w:val="0"/>
                <w:color w:val="auto"/>
                <w:kern w:val="0"/>
                <w:sz w:val="22"/>
                <w:szCs w:val="22"/>
                <w:highlight w:val="none"/>
                <w:u w:val="none"/>
                <w:lang w:val="en-US" w:eastAsia="zh-CN" w:bidi="ar"/>
                <w:rtl/>
              </w:rPr>
              <w:t>11</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9656EF">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lang w:val="en-US"/>
                <w:rtl/>
              </w:rPr>
              <w:bidi/>
            </w:pPr>
            <w:r>
              <w:rPr>
                <w:rFonts w:hint="eastAsia" w:ascii="宋体" w:hAnsi="宋体" w:eastAsia="宋体" w:cs="宋体"/>
                <w:i w:val="0"/>
                <w:iCs w:val="0"/>
                <w:color w:val="auto"/>
                <w:kern w:val="0"/>
                <w:sz w:val="22"/>
                <w:szCs w:val="22"/>
                <w:highlight w:val="none"/>
                <w:u w:val="none"/>
                <w:lang w:val="en-US" w:eastAsia="zh-CN" w:bidi="ar"/>
                <w:rtl/>
              </w:rPr>
              <w:t>13</w:t>
            </w:r>
          </w:p>
        </w:tc>
      </w:tr>
      <w:tr w14:paraId="5EE39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EB0952">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4 مايو</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8D947">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58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3DDA7">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12</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08016">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12</w:t>
            </w:r>
          </w:p>
        </w:tc>
      </w:tr>
      <w:tr w14:paraId="39A17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7BDC0">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5 مايو</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19A7A">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58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B87768">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13</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42217">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10</w:t>
            </w:r>
          </w:p>
        </w:tc>
      </w:tr>
      <w:tr w14:paraId="35147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5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AF283">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6 مايو</w:t>
            </w:r>
          </w:p>
        </w:tc>
        <w:tc>
          <w:tcPr>
            <w:tcW w:w="26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C08BC">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58</w:t>
            </w:r>
          </w:p>
        </w:tc>
        <w:tc>
          <w:tcPr>
            <w:tcW w:w="10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94EA5B">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17</w:t>
            </w:r>
          </w:p>
        </w:tc>
        <w:tc>
          <w:tcPr>
            <w:tcW w:w="11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A9EF8">
            <w:pPr>
              <w:keepNext w:val="0"/>
              <w:keepLines w:val="0"/>
              <w:widowControl/>
              <w:suppressLineNumbers w:val="0"/>
              <w:jc w:val="center"/>
              <w:textAlignment w:val="center"/>
              <w:rPr>
                <w:rFonts w:hint="eastAsia" w:ascii="宋体" w:hAnsi="宋体" w:eastAsia="宋体" w:cs="宋体"/>
                <w:i w:val="0"/>
                <w:iCs w:val="0"/>
                <w:color w:val="auto"/>
                <w:sz w:val="22"/>
                <w:szCs w:val="22"/>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7</w:t>
            </w:r>
          </w:p>
        </w:tc>
      </w:tr>
    </w:tbl>
    <w:p w14:paraId="00776831">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kern w:val="0"/>
          <w:sz w:val="21"/>
          <w:szCs w:val="21"/>
          <w:highlight w:val="none"/>
          <w:lang w:val="en-US" w:eastAsia="zh-CN" w:bidi="ar-SA"/>
          <w:rtl/>
        </w:rPr>
      </w:pPr>
      <w:r>
        <w:rPr>
          <w:rFonts w:hint="eastAsia" w:ascii="宋体" w:hAnsi="宋体" w:eastAsia="宋体" w:cs="宋体"/>
          <w:color w:val="auto"/>
          <w:sz w:val="21"/>
          <w:szCs w:val="21"/>
          <w:highlight w:val="none"/>
          <w:rtl/>
        </w:rPr>
        <w:t>الإعداد: لو شاوبو التاريخ: 6 مايو 2025 تمت المراجعة بواسطة: لي بيتشو</w:t>
      </w:r>
    </w:p>
    <w:p w14:paraId="24C5025B">
      <w:pPr>
        <w:pStyle w:val="49"/>
        <w:keepNext w:val="0"/>
        <w:keepLines w:val="0"/>
        <w:pageBreakBefore w:val="0"/>
        <w:widowControl w:val="0"/>
        <w:kinsoku/>
        <w:wordWrap/>
        <w:overflowPunct/>
        <w:topLinePunct w:val="0"/>
        <w:autoSpaceDE/>
        <w:autoSpaceDN/>
        <w:adjustRightInd/>
        <w:snapToGrid w:val="0"/>
        <w:spacing w:line="360" w:lineRule="auto"/>
        <w:ind w:firstLine="480" w:firstLineChars="200"/>
        <w:jc w:val="left"/>
        <w:textAlignment w:val="auto"/>
        <w:rPr>
          <w:rFonts w:hint="eastAsia" w:ascii="宋体" w:hAnsi="宋体" w:eastAsia="宋体" w:cs="宋体"/>
          <w:color w:val="auto"/>
          <w:szCs w:val="24"/>
          <w:highlight w:val="none"/>
          <w:lang w:val="en-US" w:eastAsia="zh-CN"/>
          <w:rtl/>
        </w:rPr>
      </w:pPr>
      <w:r>
        <w:rPr>
          <w:rFonts w:hint="eastAsia" w:ascii="宋体" w:hAnsi="宋体" w:eastAsia="宋体" w:cs="宋体"/>
          <w:color w:val="auto"/>
          <w:szCs w:val="24"/>
          <w:highlight w:val="none"/>
          <w:lang w:val="en-US" w:eastAsia="zh-CN"/>
          <w:rtl/>
        </w:rPr>
        <w:t>أثناء تعديل حقن FQN، قام الفريق أيضًا بأخذ عينات من السائل الوارد من BUS3 وتحليله، والذي كان يتميز بجودة سائل رديئة.</w:t>
      </w:r>
    </w:p>
    <w:p w14:paraId="6BA4B982">
      <w:pPr>
        <w:keepNext w:val="0"/>
        <w:keepLines w:val="0"/>
        <w:pageBreakBefore w:val="0"/>
        <w:widowControl w:val="0"/>
        <w:kinsoku/>
        <w:wordWrap/>
        <w:overflowPunct/>
        <w:topLinePunct w:val="0"/>
        <w:autoSpaceDE/>
        <w:autoSpaceDN/>
        <w:adjustRightInd/>
        <w:snapToGrid w:val="0"/>
        <w:ind w:firstLine="480" w:firstLineChars="200"/>
        <w:jc w:val="left"/>
        <w:textAlignment w:val="auto"/>
        <w:rPr>
          <w:rFonts w:hint="eastAsia" w:ascii="宋体" w:hAnsi="宋体" w:eastAsia="宋体" w:cs="宋体"/>
          <w:color w:val="auto"/>
          <w:sz w:val="24"/>
          <w:szCs w:val="24"/>
          <w:highlight w:val="none"/>
          <w:lang w:val="en-US" w:eastAsia="zh-CN"/>
          <w:rtl/>
        </w:rPr>
      </w:pPr>
    </w:p>
    <w:p w14:paraId="7A6DF7A5">
      <w:pPr>
        <w:widowControl/>
        <w:jc w:val="center"/>
        <w:rPr>
          <w:rFonts w:hint="eastAsia" w:ascii="宋体" w:hAnsi="宋体" w:eastAsia="宋体" w:cs="宋体"/>
          <w:color w:val="auto"/>
          <w:sz w:val="21"/>
          <w:szCs w:val="21"/>
          <w:highlight w:val="none"/>
          <w:lang w:val="en-US" w:eastAsia="zh-CN"/>
          <w:rtl/>
        </w:rPr>
        <w:bidi/>
      </w:pPr>
      <w:r>
        <w:rPr>
          <w:rFonts w:hint="eastAsia" w:ascii="宋体" w:hAnsi="宋体" w:eastAsia="宋体" w:cs="宋体"/>
          <w:color w:val="auto"/>
          <w:sz w:val="21"/>
          <w:szCs w:val="21"/>
          <w:highlight w:val="none"/>
          <w:rtl/>
        </w:rPr>
        <w:t>الشكل 8-4: مخطط الطرد المركزي لعينة الزيت من الحافلة رقم 3</w:t>
      </w:r>
    </w:p>
    <w:p w14:paraId="290A3D84">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drawing>
          <wp:inline distT="0" distB="0" distL="114300" distR="114300">
            <wp:extent cx="1583055" cy="2879725"/>
            <wp:effectExtent l="0" t="0" r="4445" b="3175"/>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31"/>
                    <a:stretch>
                      <a:fillRect/>
                    </a:stretch>
                  </pic:blipFill>
                  <pic:spPr>
                    <a:xfrm>
                      <a:off x="0" y="0"/>
                      <a:ext cx="1583055" cy="2879725"/>
                    </a:xfrm>
                    <a:prstGeom prst="rect">
                      <a:avLst/>
                    </a:prstGeom>
                  </pic:spPr>
                </pic:pic>
              </a:graphicData>
            </a:graphic>
          </wp:inline>
        </w:drawing>
      </w:r>
    </w:p>
    <w:p w14:paraId="6A11473B">
      <w:pPr>
        <w:keepNext w:val="0"/>
        <w:keepLines w:val="0"/>
        <w:pageBreakBefore w:val="0"/>
        <w:widowControl w:val="0"/>
        <w:kinsoku/>
        <w:wordWrap/>
        <w:overflowPunct/>
        <w:topLinePunct w:val="0"/>
        <w:autoSpaceDE/>
        <w:autoSpaceDN/>
        <w:adjustRightInd/>
        <w:snapToGrid w:val="0"/>
        <w:jc w:val="both"/>
        <w:textAlignment w:val="auto"/>
        <w:rPr>
          <w:rFonts w:hint="eastAsia" w:ascii="宋体" w:hAnsi="宋体" w:eastAsia="宋体" w:cs="宋体"/>
          <w:color w:val="auto"/>
          <w:sz w:val="24"/>
          <w:szCs w:val="24"/>
          <w:highlight w:val="none"/>
          <w:lang w:val="en-US" w:eastAsia="zh-CN"/>
          <w:rtl/>
        </w:rPr>
      </w:pPr>
    </w:p>
    <w:p w14:paraId="54DE6CC6">
      <w:pPr>
        <w:keepNext w:val="0"/>
        <w:keepLines w:val="0"/>
        <w:pageBreakBefore w:val="0"/>
        <w:widowControl w:val="0"/>
        <w:kinsoku/>
        <w:wordWrap/>
        <w:overflowPunct/>
        <w:topLinePunct w:val="0"/>
        <w:autoSpaceDE/>
        <w:autoSpaceDN/>
        <w:adjustRightInd/>
        <w:snapToGrid w:val="0"/>
        <w:spacing w:line="360" w:lineRule="auto"/>
        <w:ind w:firstLine="480" w:firstLineChars="200"/>
        <w:jc w:val="left"/>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أظهرت نتائج الطرد المركزي لعينة الزيت من وحدة BUS3 أن السائل المتدفق منها يتميز بدرجة عالية من الاستحلاب. لذلك، قرر الفريق تجربة تعديل حجم حقن مزيل الاستحلاب في وحدة BUS3 عند محطة إزالة الغازات وفقًا للإجراءات المضادة الموضحة في الجدول 7-1. قبل تعديل حجم حقن مزيل الاستحلاب، أجرى الفريق أولًا اختبار تركيز الكاشف على السائل المتدفق من وحدة BUS3. وفيما يلي نتائج التجربة:</w:t>
      </w:r>
    </w:p>
    <w:p w14:paraId="0E5FCA1C">
      <w:pPr>
        <w:widowControl/>
        <w:jc w:val="center"/>
        <w:rPr>
          <w:rFonts w:hint="eastAsia" w:ascii="宋体" w:hAnsi="宋体" w:eastAsia="宋体" w:cs="宋体"/>
          <w:color w:val="auto"/>
          <w:sz w:val="21"/>
          <w:szCs w:val="21"/>
          <w:highlight w:val="none"/>
          <w:lang w:val="en-US" w:eastAsia="zh-CN"/>
          <w:rtl/>
        </w:rPr>
        <w:bidi/>
      </w:pPr>
      <w:r>
        <w:rPr>
          <w:rFonts w:hint="eastAsia" w:ascii="宋体" w:hAnsi="宋体" w:eastAsia="宋体" w:cs="宋体"/>
          <w:color w:val="auto"/>
          <w:sz w:val="21"/>
          <w:szCs w:val="21"/>
          <w:highlight w:val="none"/>
          <w:rtl/>
        </w:rPr>
        <w:t>الشكل 8-5: نتائج اختبار تركيز مزيل الاستحلاب للنفط الخام BUS3</w:t>
      </w:r>
    </w:p>
    <w:p w14:paraId="4EDC1A08">
      <w:pPr>
        <w:snapToGrid w:val="0"/>
        <w:jc w:val="center"/>
        <w:rPr>
          <w:rFonts w:hint="eastAsia" w:ascii="宋体" w:hAnsi="宋体" w:eastAsia="宋体" w:cs="宋体"/>
          <w:color w:val="auto"/>
          <w:sz w:val="24"/>
          <w:szCs w:val="24"/>
          <w:highlight w:val="none"/>
          <w:lang w:val="en-US" w:eastAsia="zh-CN"/>
          <w:rtl/>
        </w:rPr>
        <w:bidi/>
      </w:pPr>
      <w:r>
        <w:rPr>
          <w:rFonts w:hint="eastAsia" w:ascii="宋体" w:hAnsi="宋体" w:eastAsia="宋体" w:cs="宋体"/>
          <w:color w:val="auto"/>
          <w:sz w:val="24"/>
          <w:szCs w:val="24"/>
          <w:highlight w:val="none"/>
          <w:lang w:val="en-US" w:eastAsia="zh-CN"/>
          <w:rtl/>
        </w:rPr>
        <w:drawing>
          <wp:inline distT="0" distB="0" distL="114300" distR="114300">
            <wp:extent cx="1609725" cy="2879725"/>
            <wp:effectExtent l="0" t="0" r="3175" b="3175"/>
            <wp:docPr id="4"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2"/>
                    <pic:cNvPicPr>
                      <a:picLocks noChangeAspect="1"/>
                    </pic:cNvPicPr>
                  </pic:nvPicPr>
                  <pic:blipFill>
                    <a:blip r:embed="rId32"/>
                    <a:stretch>
                      <a:fillRect/>
                    </a:stretch>
                  </pic:blipFill>
                  <pic:spPr>
                    <a:xfrm>
                      <a:off x="0" y="0"/>
                      <a:ext cx="1609725" cy="2879725"/>
                    </a:xfrm>
                    <a:prstGeom prst="rect">
                      <a:avLst/>
                    </a:prstGeom>
                  </pic:spPr>
                </pic:pic>
              </a:graphicData>
            </a:graphic>
          </wp:inline>
        </w:drawing>
      </w:r>
      <w:r>
        <w:rPr>
          <w:rFonts w:hint="eastAsia" w:ascii="宋体" w:hAnsi="宋体" w:eastAsia="宋体" w:cs="宋体"/>
          <w:color w:val="auto"/>
          <w:sz w:val="24"/>
          <w:szCs w:val="24"/>
          <w:highlight w:val="none"/>
          <w:lang w:val="en-US" w:eastAsia="zh-CN"/>
          <w:rtl/>
        </w:rPr>
        <w:drawing>
          <wp:inline distT="0" distB="0" distL="114300" distR="114300">
            <wp:extent cx="1584960" cy="2848610"/>
            <wp:effectExtent l="0" t="0" r="2540" b="8890"/>
            <wp:docPr id="5" name="图片 5"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3"/>
                    <pic:cNvPicPr>
                      <a:picLocks noChangeAspect="1"/>
                    </pic:cNvPicPr>
                  </pic:nvPicPr>
                  <pic:blipFill>
                    <a:blip r:embed="rId33"/>
                    <a:stretch>
                      <a:fillRect/>
                    </a:stretch>
                  </pic:blipFill>
                  <pic:spPr>
                    <a:xfrm>
                      <a:off x="0" y="0"/>
                      <a:ext cx="1584960" cy="2848610"/>
                    </a:xfrm>
                    <a:prstGeom prst="rect">
                      <a:avLst/>
                    </a:prstGeom>
                  </pic:spPr>
                </pic:pic>
              </a:graphicData>
            </a:graphic>
          </wp:inline>
        </w:drawing>
      </w:r>
    </w:p>
    <w:p w14:paraId="14B04A83">
      <w:pPr>
        <w:keepNext w:val="0"/>
        <w:keepLines w:val="0"/>
        <w:pageBreakBefore w:val="0"/>
        <w:widowControl w:val="0"/>
        <w:kinsoku/>
        <w:wordWrap/>
        <w:overflowPunct/>
        <w:topLinePunct w:val="0"/>
        <w:autoSpaceDE/>
        <w:autoSpaceDN/>
        <w:adjustRightInd/>
        <w:snapToGrid w:val="0"/>
        <w:spacing w:line="360" w:lineRule="auto"/>
        <w:ind w:firstLine="480" w:firstLineChars="200"/>
        <w:jc w:val="left"/>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أظهرت نتائج اختبار الزجاجة أن فصل الماء كان واضحًا عندما بلغ تركيز مزيل الاستحلاب BUS3 20 جزءًا في المليون، وانخفضت كمية المستحلب إلى النصف تقريبًا عندما بلغ التركيز 100 جزء في المليون، مما يشير إلى تحسن فعالية فصل الزيت عن الماء مع زيادة تركيز مزيل الاستحلاب. وبناءً على نتائج اختبار الزجاجة، قام الفريق بزيادة تركيز حقن مزيل الاستحلاب BUS3 تدريجيًا بدءًا من 20 جزءًا في المليون.</w:t>
      </w:r>
    </w:p>
    <w:p w14:paraId="6859BF15">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kern w:val="2"/>
          <w:sz w:val="21"/>
          <w:szCs w:val="20"/>
          <w:highlight w:val="none"/>
          <w:lang w:val="en-US" w:eastAsia="zh-CN" w:bidi="ar-SA"/>
          <w:rtl/>
        </w:rPr>
        <w:t xml:space="preserve">الجدول 8-4</w:t>
      </w:r>
      <w:r>
        <w:rPr>
          <w:rFonts w:hint="eastAsia" w:ascii="宋体" w:hAnsi="宋体" w:eastAsia="宋体" w:cs="宋体"/>
          <w:color w:val="auto"/>
          <w:sz w:val="21"/>
          <w:szCs w:val="21"/>
          <w:highlight w:val="none"/>
          <w:lang w:val="en-US" w:eastAsia="zh-CN"/>
          <w:rtl/>
        </w:rPr>
        <w:t>سجل ضبط جهاز إزالة الاستحلاب BUS3</w:t>
      </w:r>
    </w:p>
    <w:tbl>
      <w:tblPr>
        <w:tblStyle w:val="19"/>
        <w:tblW w:w="742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55"/>
        <w:gridCol w:w="1884"/>
        <w:gridCol w:w="2070"/>
        <w:gridCol w:w="2315"/>
      </w:tblGrid>
      <w:tr w14:paraId="23605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6A63B">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وقت</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72EB58">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(جزء في المليون) داخل محطة الحافلة رقم 3</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E13AA">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نسبة الرطوبة %</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74EBB8">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2"/>
                <w:szCs w:val="22"/>
                <w:highlight w:val="none"/>
                <w:u w:val="none"/>
                <w:lang w:val="en-US" w:eastAsia="zh-CN" w:bidi="ar"/>
                <w:rtl/>
              </w:rPr>
              <w:t>نسبة المستحلب</w:t>
            </w:r>
          </w:p>
        </w:tc>
      </w:tr>
      <w:tr w14:paraId="5A3C3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9DAB6">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29 أبريل</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E6FD4">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20</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1FFBA2">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lang w:val="en-US" w:eastAsia="zh-CN"/>
                <w:rtl/>
              </w:rPr>
              <w:bidi/>
            </w:pPr>
            <w:r>
              <w:rPr>
                <w:rFonts w:hint="eastAsia" w:ascii="宋体" w:hAnsi="宋体" w:eastAsia="宋体" w:cs="宋体"/>
                <w:i w:val="0"/>
                <w:iCs w:val="0"/>
                <w:color w:val="auto"/>
                <w:sz w:val="24"/>
                <w:szCs w:val="24"/>
                <w:highlight w:val="none"/>
                <w:u w:val="none"/>
                <w:lang w:val="en-US" w:eastAsia="zh-CN"/>
                <w:rtl/>
              </w:rPr>
              <w:t>4</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C78EE">
            <w:pPr>
              <w:keepNext w:val="0"/>
              <w:keepLines w:val="0"/>
              <w:widowControl/>
              <w:suppressLineNumbers w:val="0"/>
              <w:jc w:val="center"/>
              <w:textAlignment w:val="center"/>
              <w:rPr>
                <w:rFonts w:hint="eastAsia" w:ascii="宋体" w:hAnsi="宋体" w:eastAsia="宋体" w:cs="宋体"/>
                <w:b w:val="0"/>
                <w:bCs w:val="0"/>
                <w:i w:val="0"/>
                <w:iCs w:val="0"/>
                <w:color w:val="auto"/>
                <w:sz w:val="24"/>
                <w:szCs w:val="24"/>
                <w:highlight w:val="none"/>
                <w:u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16</w:t>
            </w:r>
          </w:p>
        </w:tc>
      </w:tr>
      <w:tr w14:paraId="4CC24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C5284">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30 أبريل</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792F11">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20</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2C262">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4</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9E38F4">
            <w:pPr>
              <w:keepNext w:val="0"/>
              <w:keepLines w:val="0"/>
              <w:widowControl/>
              <w:suppressLineNumbers w:val="0"/>
              <w:jc w:val="center"/>
              <w:textAlignment w:val="center"/>
              <w:rPr>
                <w:rFonts w:hint="eastAsia" w:ascii="宋体" w:hAnsi="宋体" w:eastAsia="宋体" w:cs="宋体"/>
                <w:b w:val="0"/>
                <w:bCs w:val="0"/>
                <w:i w:val="0"/>
                <w:iCs w:val="0"/>
                <w:color w:val="auto"/>
                <w:sz w:val="24"/>
                <w:szCs w:val="24"/>
                <w:highlight w:val="none"/>
                <w:u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17</w:t>
            </w:r>
          </w:p>
        </w:tc>
      </w:tr>
      <w:tr w14:paraId="7FFA3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4DE814">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1 مايو</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CE323">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20</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1D8BC">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3</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57E41">
            <w:pPr>
              <w:keepNext w:val="0"/>
              <w:keepLines w:val="0"/>
              <w:widowControl/>
              <w:suppressLineNumbers w:val="0"/>
              <w:jc w:val="center"/>
              <w:textAlignment w:val="center"/>
              <w:rPr>
                <w:rFonts w:hint="eastAsia" w:ascii="宋体" w:hAnsi="宋体" w:eastAsia="宋体" w:cs="宋体"/>
                <w:b w:val="0"/>
                <w:bCs w:val="0"/>
                <w:i w:val="0"/>
                <w:iCs w:val="0"/>
                <w:color w:val="auto"/>
                <w:sz w:val="24"/>
                <w:szCs w:val="24"/>
                <w:highlight w:val="none"/>
                <w:u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w:t>
            </w:r>
          </w:p>
        </w:tc>
      </w:tr>
      <w:tr w14:paraId="6E112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A2651">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2 مايو</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A8C2F">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56</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E1CD39">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6</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EB97F">
            <w:pPr>
              <w:keepNext w:val="0"/>
              <w:keepLines w:val="0"/>
              <w:widowControl/>
              <w:suppressLineNumbers w:val="0"/>
              <w:jc w:val="center"/>
              <w:textAlignment w:val="center"/>
              <w:rPr>
                <w:rFonts w:hint="eastAsia" w:ascii="宋体" w:hAnsi="宋体" w:eastAsia="宋体" w:cs="宋体"/>
                <w:b w:val="0"/>
                <w:bCs w:val="0"/>
                <w:i w:val="0"/>
                <w:iCs w:val="0"/>
                <w:color w:val="auto"/>
                <w:sz w:val="24"/>
                <w:szCs w:val="24"/>
                <w:highlight w:val="none"/>
                <w:u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15</w:t>
            </w:r>
          </w:p>
        </w:tc>
      </w:tr>
      <w:tr w14:paraId="428EA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184AFE">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3 مايو</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72D958">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58</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9F0A35">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lang w:val="en-US"/>
                <w:rtl/>
              </w:rPr>
              <w:bidi/>
            </w:pPr>
            <w:r>
              <w:rPr>
                <w:rFonts w:hint="eastAsia" w:ascii="宋体" w:hAnsi="宋体" w:eastAsia="宋体" w:cs="宋体"/>
                <w:i w:val="0"/>
                <w:iCs w:val="0"/>
                <w:color w:val="auto"/>
                <w:kern w:val="0"/>
                <w:sz w:val="24"/>
                <w:szCs w:val="24"/>
                <w:highlight w:val="none"/>
                <w:u w:val="none"/>
                <w:lang w:val="en-US" w:eastAsia="zh-CN" w:bidi="ar"/>
                <w:rtl/>
              </w:rPr>
              <w:t>6</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4584C">
            <w:pPr>
              <w:keepNext w:val="0"/>
              <w:keepLines w:val="0"/>
              <w:widowControl/>
              <w:suppressLineNumbers w:val="0"/>
              <w:jc w:val="center"/>
              <w:textAlignment w:val="center"/>
              <w:rPr>
                <w:rFonts w:hint="eastAsia" w:ascii="宋体" w:hAnsi="宋体" w:eastAsia="宋体" w:cs="宋体"/>
                <w:b w:val="0"/>
                <w:bCs w:val="0"/>
                <w:i w:val="0"/>
                <w:iCs w:val="0"/>
                <w:color w:val="auto"/>
                <w:sz w:val="24"/>
                <w:szCs w:val="24"/>
                <w:highlight w:val="none"/>
                <w:u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15</w:t>
            </w:r>
          </w:p>
        </w:tc>
      </w:tr>
      <w:tr w14:paraId="25F2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3D560">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4 مايو</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C13E3">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65</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AF76ED">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lang w:val="en-US" w:eastAsia="zh-CN"/>
                <w:rtl/>
              </w:rPr>
              <w:bidi/>
            </w:pPr>
            <w:r>
              <w:rPr>
                <w:rFonts w:hint="eastAsia" w:ascii="宋体" w:hAnsi="宋体" w:eastAsia="宋体" w:cs="宋体"/>
                <w:i w:val="0"/>
                <w:iCs w:val="0"/>
                <w:color w:val="auto"/>
                <w:sz w:val="24"/>
                <w:szCs w:val="24"/>
                <w:highlight w:val="none"/>
                <w:u w:val="none"/>
                <w:lang w:val="en-US" w:eastAsia="zh-CN"/>
                <w:rtl/>
              </w:rPr>
              <w:t>7</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0D6D1">
            <w:pPr>
              <w:keepNext w:val="0"/>
              <w:keepLines w:val="0"/>
              <w:widowControl/>
              <w:suppressLineNumbers w:val="0"/>
              <w:jc w:val="center"/>
              <w:textAlignment w:val="center"/>
              <w:rPr>
                <w:rFonts w:hint="eastAsia" w:ascii="宋体" w:hAnsi="宋体" w:eastAsia="宋体" w:cs="宋体"/>
                <w:b w:val="0"/>
                <w:bCs w:val="0"/>
                <w:i w:val="0"/>
                <w:iCs w:val="0"/>
                <w:color w:val="auto"/>
                <w:sz w:val="24"/>
                <w:szCs w:val="24"/>
                <w:highlight w:val="none"/>
                <w:u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13</w:t>
            </w:r>
          </w:p>
        </w:tc>
      </w:tr>
      <w:tr w14:paraId="2D0071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1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595CE">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5 مايو</w:t>
            </w:r>
          </w:p>
        </w:tc>
        <w:tc>
          <w:tcPr>
            <w:tcW w:w="188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CDDA9">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rtl/>
              </w:rPr>
              <w:bidi/>
            </w:pPr>
            <w:r>
              <w:rPr>
                <w:rFonts w:hint="eastAsia" w:ascii="宋体" w:hAnsi="宋体" w:eastAsia="宋体" w:cs="宋体"/>
                <w:i w:val="0"/>
                <w:iCs w:val="0"/>
                <w:color w:val="auto"/>
                <w:kern w:val="0"/>
                <w:sz w:val="24"/>
                <w:szCs w:val="24"/>
                <w:highlight w:val="none"/>
                <w:u w:val="none"/>
                <w:lang w:val="en-US" w:eastAsia="zh-CN" w:bidi="ar"/>
                <w:rtl/>
              </w:rPr>
              <w:t>75</w:t>
            </w:r>
          </w:p>
        </w:tc>
        <w:tc>
          <w:tcPr>
            <w:tcW w:w="20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5D360">
            <w:pPr>
              <w:keepNext w:val="0"/>
              <w:keepLines w:val="0"/>
              <w:widowControl/>
              <w:suppressLineNumbers w:val="0"/>
              <w:jc w:val="center"/>
              <w:textAlignment w:val="center"/>
              <w:rPr>
                <w:rFonts w:hint="eastAsia" w:ascii="宋体" w:hAnsi="宋体" w:eastAsia="宋体" w:cs="宋体"/>
                <w:i w:val="0"/>
                <w:iCs w:val="0"/>
                <w:color w:val="auto"/>
                <w:sz w:val="24"/>
                <w:szCs w:val="24"/>
                <w:highlight w:val="none"/>
                <w:u w:val="none"/>
                <w:lang w:val="en-US" w:eastAsia="zh-CN"/>
                <w:rtl/>
              </w:rPr>
              <w:bidi/>
            </w:pPr>
            <w:r>
              <w:rPr>
                <w:rFonts w:hint="eastAsia" w:ascii="宋体" w:hAnsi="宋体" w:eastAsia="宋体" w:cs="宋体"/>
                <w:i w:val="0"/>
                <w:iCs w:val="0"/>
                <w:color w:val="auto"/>
                <w:sz w:val="24"/>
                <w:szCs w:val="24"/>
                <w:highlight w:val="none"/>
                <w:u w:val="none"/>
                <w:lang w:val="en-US" w:eastAsia="zh-CN"/>
                <w:rtl/>
              </w:rPr>
              <w:t>9</w:t>
            </w:r>
          </w:p>
        </w:tc>
        <w:tc>
          <w:tcPr>
            <w:tcW w:w="23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EB953">
            <w:pPr>
              <w:keepNext w:val="0"/>
              <w:keepLines w:val="0"/>
              <w:widowControl/>
              <w:suppressLineNumbers w:val="0"/>
              <w:jc w:val="center"/>
              <w:textAlignment w:val="center"/>
              <w:rPr>
                <w:rFonts w:hint="eastAsia" w:ascii="宋体" w:hAnsi="宋体" w:eastAsia="宋体" w:cs="宋体"/>
                <w:b w:val="0"/>
                <w:bCs w:val="0"/>
                <w:i w:val="0"/>
                <w:iCs w:val="0"/>
                <w:color w:val="auto"/>
                <w:sz w:val="24"/>
                <w:szCs w:val="24"/>
                <w:highlight w:val="none"/>
                <w:u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11</w:t>
            </w:r>
          </w:p>
        </w:tc>
      </w:tr>
    </w:tbl>
    <w:p w14:paraId="6979B48A">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sz w:val="21"/>
          <w:szCs w:val="21"/>
          <w:highlight w:val="none"/>
          <w:rtl/>
        </w:rPr>
        <w:t>الإعداد: لو شاوبو التاريخ: 6 مايو 2025 تمت المراجعة بواسطة: لي بيتشو</w:t>
      </w:r>
    </w:p>
    <w:p w14:paraId="74889B13">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p>
    <w:p w14:paraId="010F969F">
      <w:pPr>
        <w:pStyle w:val="49"/>
        <w:keepNext w:val="0"/>
        <w:keepLines w:val="0"/>
        <w:pageBreakBefore w:val="0"/>
        <w:widowControl w:val="0"/>
        <w:kinsoku/>
        <w:wordWrap/>
        <w:overflowPunct/>
        <w:topLinePunct w:val="0"/>
        <w:autoSpaceDE/>
        <w:autoSpaceDN/>
        <w:adjustRightInd/>
        <w:snapToGrid w:val="0"/>
        <w:spacing w:line="360" w:lineRule="auto"/>
        <w:ind w:firstLine="480" w:firstLineChars="200"/>
        <w:jc w:val="left"/>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szCs w:val="24"/>
          <w:highlight w:val="none"/>
          <w:lang w:val="en-US" w:eastAsia="zh-CN"/>
          <w:rtl/>
        </w:rPr>
        <w:t>بعد ضبط مُزيلات الاستحلاب FQN وBUS3، تحسّن أداء معالجة النفط الخام في محطة المعالجة المركزية بشكل ملحوظ. ويتجلى ذلك في انخفاض سماكة طبقة المستحلب في كل خزان غسيل بالماء، واستقرار تشغيل المرسب الكهروستاتيكي، والتحسن التدريجي في فصل الماء في كل مرحلة من مراحل الفصل، وانعدام المياه السوداء. وتسير عملية المعالجة الحالية بكفاءة عالية.</w:t>
      </w:r>
    </w:p>
    <w:p w14:paraId="13FBFB3B">
      <w:pPr>
        <w:keepNext w:val="0"/>
        <w:keepLines w:val="0"/>
        <w:pageBreakBefore w:val="0"/>
        <w:widowControl w:val="0"/>
        <w:kinsoku/>
        <w:wordWrap/>
        <w:overflowPunct/>
        <w:topLinePunct w:val="0"/>
        <w:autoSpaceDE/>
        <w:autoSpaceDN/>
        <w:adjustRightInd/>
        <w:snapToGrid w:val="0"/>
        <w:spacing w:line="360" w:lineRule="auto"/>
        <w:ind w:firstLine="480" w:firstLineChars="200"/>
        <w:jc w:val="left"/>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أكدت التجارب الناجحة في محطتي FQN وBUS3 أن استراتيجية حقن مناسبة للمواد الكيميائية قادرة على تحسين جودة السائل بشكل ملحوظ. وباتباع النهج العام المتمثل في "زيادة تركيز مزيل الاستحلاب بشكل مناسب في المراحل الأولية وخفضه في محطة المعالجة"، قام الفريق بتحسين تركيز الحقن. وفي نهاية المطاف، مع ضمان مطابقة جودة النفط الخام المصدر للمعايير وسلاسة سير العملية، تم التحكم في تركيز المواد الكيميائية في منطقة المعالجة المركزية بشكل مستقر عند حوالي 250 جزءًا في المليون، محققًا بذلك الهدف المنشود بنجاح.</w:t>
      </w:r>
    </w:p>
    <w:p w14:paraId="0BAEEB42">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kern w:val="2"/>
          <w:sz w:val="21"/>
          <w:szCs w:val="20"/>
          <w:highlight w:val="none"/>
          <w:lang w:val="en-US" w:eastAsia="zh-CN" w:bidi="ar-SA"/>
          <w:rtl/>
        </w:rPr>
        <w:t>الجدول 8-5 قبل وبعد التحسين</w:t>
      </w:r>
      <w:r>
        <w:rPr>
          <w:rFonts w:hint="eastAsia" w:ascii="宋体" w:hAnsi="宋体" w:eastAsia="宋体" w:cs="宋体"/>
          <w:color w:val="auto"/>
          <w:sz w:val="21"/>
          <w:szCs w:val="21"/>
          <w:highlight w:val="none"/>
          <w:lang w:val="en-US" w:eastAsia="zh-CN"/>
          <w:rtl/>
        </w:rPr>
        <w:t>مقارنة تركيزات مزيل الاستحلاب (الوحدة: جزء في المليون)</w:t>
      </w:r>
    </w:p>
    <w:p w14:paraId="02D18BF5">
      <w:pPr>
        <w:keepNext w:val="0"/>
        <w:keepLines w:val="0"/>
        <w:pageBreakBefore w:val="0"/>
        <w:widowControl w:val="0"/>
        <w:kinsoku/>
        <w:wordWrap/>
        <w:overflowPunct/>
        <w:topLinePunct w:val="0"/>
        <w:autoSpaceDE/>
        <w:autoSpaceDN/>
        <w:adjustRightInd/>
        <w:snapToGrid w:val="0"/>
        <w:ind w:firstLine="480" w:firstLineChars="200"/>
        <w:jc w:val="left"/>
        <w:textAlignment w:val="auto"/>
        <w:rPr>
          <w:rFonts w:hint="eastAsia" w:ascii="宋体" w:hAnsi="宋体" w:eastAsia="宋体" w:cs="宋体"/>
          <w:color w:val="auto"/>
          <w:sz w:val="24"/>
          <w:szCs w:val="24"/>
          <w:highlight w:val="none"/>
          <w:lang w:val="en-US" w:eastAsia="zh-CN"/>
          <w:rtl/>
        </w:rPr>
      </w:pPr>
    </w:p>
    <w:tbl>
      <w:tblPr>
        <w:tblStyle w:val="19"/>
        <w:tblW w:w="80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36"/>
        <w:gridCol w:w="2890"/>
        <w:gridCol w:w="3294"/>
      </w:tblGrid>
      <w:tr w14:paraId="73C61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60" w:hRule="atLeast"/>
          <w:jc w:val="center"/>
        </w:trPr>
        <w:tc>
          <w:tcPr>
            <w:tcW w:w="1680" w:type="dxa"/>
            <w:tcBorders>
              <w:top w:val="double" w:color="000000" w:sz="4" w:space="0"/>
              <w:left w:val="double" w:color="000000" w:sz="4" w:space="0"/>
              <w:bottom w:val="single" w:color="000000" w:sz="4" w:space="0"/>
              <w:right w:val="single" w:color="000000" w:sz="4" w:space="0"/>
              <w:tl2br w:val="nil"/>
            </w:tcBorders>
            <w:shd w:val="clear" w:color="auto" w:fill="FFFFFF"/>
            <w:tcMar>
              <w:left w:w="108" w:type="dxa"/>
              <w:right w:w="108" w:type="dxa"/>
            </w:tcMar>
            <w:vAlign w:val="center"/>
          </w:tcPr>
          <w:p w14:paraId="0AD386AD">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bCs/>
                <w:color w:val="000000"/>
                <w:sz w:val="28"/>
                <w:szCs w:val="28"/>
                <w:rtl/>
              </w:rPr>
              <w:t>منشأة</w:t>
            </w:r>
          </w:p>
        </w:tc>
        <w:tc>
          <w:tcPr>
            <w:tcW w:w="2960" w:type="dxa"/>
            <w:tcBorders>
              <w:top w:val="doub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477C9193">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bCs/>
                <w:color w:val="000000"/>
                <w:sz w:val="28"/>
                <w:szCs w:val="28"/>
                <w:rtl/>
              </w:rPr>
              <w:t>تحسين تركيز المادة المذيبة قبل إزالة المستحلب (جزء في المليون)</w:t>
            </w:r>
          </w:p>
        </w:tc>
        <w:tc>
          <w:tcPr>
            <w:tcW w:w="3380" w:type="dxa"/>
            <w:tcBorders>
              <w:top w:val="doub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5E23A1C0">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bCs/>
                <w:color w:val="000000"/>
                <w:sz w:val="28"/>
                <w:szCs w:val="28"/>
                <w:rtl/>
              </w:rPr>
              <w:t>تركيز مزيل الاستحلاب الأمثل (جزء في المليون)</w:t>
            </w:r>
          </w:p>
        </w:tc>
      </w:tr>
      <w:tr w14:paraId="50DC1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7087B839">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الحافلة رقم 1</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0BEC4A17">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12</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005582C6">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114</w:t>
            </w:r>
          </w:p>
        </w:tc>
      </w:tr>
      <w:tr w14:paraId="30FDD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39FF0139">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الحافلة رقم 2</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139FEBF0">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0</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4A8139AC">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28</w:t>
            </w:r>
          </w:p>
        </w:tc>
      </w:tr>
      <w:tr w14:paraId="118E2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3C772D44">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الحافلة رقم 3</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5C23C437">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35</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38263457">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88</w:t>
            </w:r>
          </w:p>
        </w:tc>
      </w:tr>
      <w:tr w14:paraId="3B694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27FC1594">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كعكة</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504AC871">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10</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357CFEF5">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40</w:t>
            </w:r>
          </w:p>
        </w:tc>
      </w:tr>
      <w:tr w14:paraId="6B498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078C199D">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FQS</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27DDDD4D">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47</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4145DB26">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152</w:t>
            </w:r>
          </w:p>
        </w:tc>
      </w:tr>
      <w:tr w14:paraId="0649A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141622BB">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FQN</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449A6287">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18</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5AE4906B">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68</w:t>
            </w:r>
          </w:p>
        </w:tc>
      </w:tr>
      <w:tr w14:paraId="359C5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58CAB0D0">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AGS1</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4EF69136">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141</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4D105EF4">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117</w:t>
            </w:r>
          </w:p>
        </w:tc>
      </w:tr>
      <w:tr w14:paraId="3CB28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4F00B13F">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إجمالي عدد المرضى الخارجيين</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0864FDBB">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35</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59458EB1">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73</w:t>
            </w:r>
          </w:p>
        </w:tc>
      </w:tr>
      <w:tr w14:paraId="74D3E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0" w:hRule="atLeast"/>
          <w:jc w:val="center"/>
        </w:trPr>
        <w:tc>
          <w:tcPr>
            <w:tcW w:w="1680" w:type="dxa"/>
            <w:tcBorders>
              <w:top w:val="single" w:color="000000" w:sz="4" w:space="0"/>
              <w:left w:val="double" w:color="000000" w:sz="4" w:space="0"/>
              <w:bottom w:val="single" w:color="000000" w:sz="4" w:space="0"/>
              <w:right w:val="single" w:color="000000" w:sz="4" w:space="0"/>
            </w:tcBorders>
            <w:shd w:val="clear" w:color="auto" w:fill="FFFFFF"/>
            <w:tcMar>
              <w:left w:w="108" w:type="dxa"/>
              <w:right w:w="108" w:type="dxa"/>
            </w:tcMar>
            <w:vAlign w:val="center"/>
          </w:tcPr>
          <w:p w14:paraId="0042E7DC">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CPF &amp; BUT</w:t>
            </w:r>
          </w:p>
        </w:tc>
        <w:tc>
          <w:tcPr>
            <w:tcW w:w="2960" w:type="dxa"/>
            <w:tcBorders>
              <w:top w:val="single" w:color="000000" w:sz="4" w:space="0"/>
              <w:left w:val="single" w:color="000000" w:sz="4" w:space="0"/>
              <w:bottom w:val="single" w:color="000000" w:sz="4" w:space="0"/>
              <w:right w:val="single" w:color="000000" w:sz="4" w:space="0"/>
            </w:tcBorders>
            <w:shd w:val="clear" w:color="auto" w:fill="FFFFFF"/>
            <w:tcMar>
              <w:left w:w="108" w:type="dxa"/>
              <w:right w:w="108" w:type="dxa"/>
            </w:tcMar>
            <w:vAlign w:val="center"/>
          </w:tcPr>
          <w:p w14:paraId="4ED77C84">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255</w:t>
            </w:r>
          </w:p>
        </w:tc>
        <w:tc>
          <w:tcPr>
            <w:tcW w:w="3380" w:type="dxa"/>
            <w:tcBorders>
              <w:top w:val="single" w:color="000000" w:sz="4" w:space="0"/>
              <w:left w:val="single" w:color="000000" w:sz="4" w:space="0"/>
              <w:bottom w:val="single" w:color="000000" w:sz="4" w:space="0"/>
              <w:right w:val="double" w:color="000000" w:sz="4" w:space="0"/>
            </w:tcBorders>
            <w:shd w:val="clear" w:color="auto" w:fill="FFFFFF"/>
            <w:tcMar>
              <w:left w:w="108" w:type="dxa"/>
              <w:right w:w="108" w:type="dxa"/>
            </w:tcMar>
            <w:vAlign w:val="center"/>
          </w:tcPr>
          <w:p w14:paraId="33D2441E">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4"/>
                <w:szCs w:val="24"/>
                <w:rtl/>
              </w:rPr>
              <w:t>178</w:t>
            </w:r>
          </w:p>
        </w:tc>
      </w:tr>
      <w:tr w14:paraId="203E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0" w:hRule="atLeast"/>
          <w:jc w:val="center"/>
        </w:trPr>
        <w:tc>
          <w:tcPr>
            <w:tcW w:w="1680" w:type="dxa"/>
            <w:tcBorders>
              <w:top w:val="single" w:color="000000" w:sz="4" w:space="0"/>
              <w:left w:val="double" w:color="000000" w:sz="4" w:space="0"/>
              <w:bottom w:val="double" w:color="000000" w:sz="4" w:space="0"/>
              <w:right w:val="single" w:color="000000" w:sz="4" w:space="0"/>
            </w:tcBorders>
            <w:shd w:val="clear" w:color="auto" w:fill="FFFFFF"/>
            <w:tcMar>
              <w:left w:w="108" w:type="dxa"/>
              <w:right w:w="108" w:type="dxa"/>
            </w:tcMar>
            <w:vAlign w:val="center"/>
          </w:tcPr>
          <w:p w14:paraId="60EB4925">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color w:val="000000"/>
                <w:sz w:val="28"/>
                <w:szCs w:val="28"/>
                <w:rtl/>
              </w:rPr>
              <w:t>المجموع</w:t>
            </w:r>
          </w:p>
        </w:tc>
        <w:tc>
          <w:tcPr>
            <w:tcW w:w="2960" w:type="dxa"/>
            <w:tcBorders>
              <w:top w:val="single" w:color="000000" w:sz="4" w:space="0"/>
              <w:left w:val="single" w:color="000000" w:sz="4" w:space="0"/>
              <w:bottom w:val="double" w:color="000000" w:sz="4" w:space="0"/>
              <w:right w:val="single" w:color="000000" w:sz="4" w:space="0"/>
            </w:tcBorders>
            <w:shd w:val="clear" w:color="auto" w:fill="FFFFFF"/>
            <w:tcMar>
              <w:left w:w="108" w:type="dxa"/>
              <w:right w:w="108" w:type="dxa"/>
            </w:tcMar>
            <w:vAlign w:val="center"/>
          </w:tcPr>
          <w:p w14:paraId="29D176F5">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bCs/>
                <w:color w:val="000000"/>
                <w:sz w:val="28"/>
                <w:szCs w:val="28"/>
                <w:rtl/>
              </w:rPr>
              <w:t>290</w:t>
            </w:r>
          </w:p>
        </w:tc>
        <w:tc>
          <w:tcPr>
            <w:tcW w:w="3380" w:type="dxa"/>
            <w:tcBorders>
              <w:top w:val="single" w:color="000000" w:sz="4" w:space="0"/>
              <w:left w:val="single" w:color="000000" w:sz="4" w:space="0"/>
              <w:bottom w:val="double" w:color="000000" w:sz="4" w:space="0"/>
              <w:right w:val="double" w:color="000000" w:sz="4" w:space="0"/>
            </w:tcBorders>
            <w:shd w:val="clear" w:color="auto" w:fill="FFFFFF"/>
            <w:tcMar>
              <w:left w:w="108" w:type="dxa"/>
              <w:right w:w="108" w:type="dxa"/>
            </w:tcMar>
            <w:vAlign w:val="center"/>
          </w:tcPr>
          <w:p w14:paraId="562BC616">
            <w:pPr>
              <w:pStyle w:val="17"/>
              <w:keepNext w:val="0"/>
              <w:keepLines w:val="0"/>
              <w:widowControl/>
              <w:suppressLineNumbers w:val="0"/>
              <w:kinsoku/>
              <w:wordWrap/>
              <w:overflowPunct/>
              <w:jc w:val="center"/>
              <w:rPr>
                <w:rFonts w:hint="eastAsia" w:ascii="宋体" w:hAnsi="宋体" w:eastAsia="宋体" w:cs="宋体"/>
                <w:b w:val="0"/>
                <w:color w:val="000000"/>
                <w:rtl/>
              </w:rPr>
              <w:bidi/>
            </w:pPr>
            <w:r>
              <w:rPr>
                <w:rFonts w:hint="eastAsia" w:ascii="宋体" w:hAnsi="宋体" w:eastAsia="宋体" w:cs="宋体"/>
                <w:b w:val="0"/>
                <w:bCs/>
                <w:color w:val="000000"/>
                <w:sz w:val="28"/>
                <w:szCs w:val="28"/>
                <w:rtl/>
              </w:rPr>
              <w:t>251</w:t>
            </w:r>
          </w:p>
        </w:tc>
      </w:tr>
    </w:tbl>
    <w:p w14:paraId="1FEA6316">
      <w:pPr>
        <w:keepNext w:val="0"/>
        <w:keepLines w:val="0"/>
        <w:pageBreakBefore w:val="0"/>
        <w:widowControl w:val="0"/>
        <w:kinsoku/>
        <w:wordWrap/>
        <w:overflowPunct/>
        <w:topLinePunct w:val="0"/>
        <w:autoSpaceDE/>
        <w:autoSpaceDN/>
        <w:adjustRightInd/>
        <w:snapToGrid w:val="0"/>
        <w:ind w:firstLine="420" w:firstLineChars="200"/>
        <w:jc w:val="left"/>
        <w:textAlignment w:val="auto"/>
        <w:rPr>
          <w:rFonts w:hint="eastAsia" w:ascii="宋体" w:hAnsi="宋体" w:eastAsia="宋体" w:cs="宋体"/>
          <w:rtl/>
        </w:rPr>
      </w:pPr>
    </w:p>
    <w:p w14:paraId="76568C8C">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sz w:val="21"/>
          <w:szCs w:val="21"/>
          <w:highlight w:val="none"/>
          <w:rtl/>
        </w:rPr>
        <w:t>الإعداد: لو شاوبو التاريخ: 6 مايو 2025 تمت المراجعة بواسطة: لي بيتشو</w:t>
      </w:r>
    </w:p>
    <w:p w14:paraId="7373C8FD">
      <w:pPr>
        <w:keepNext w:val="0"/>
        <w:keepLines w:val="0"/>
        <w:pageBreakBefore w:val="0"/>
        <w:widowControl w:val="0"/>
        <w:kinsoku/>
        <w:wordWrap/>
        <w:overflowPunct/>
        <w:topLinePunct w:val="0"/>
        <w:autoSpaceDE/>
        <w:autoSpaceDN/>
        <w:adjustRightInd/>
        <w:snapToGrid w:val="0"/>
        <w:ind w:firstLine="420" w:firstLineChars="200"/>
        <w:jc w:val="left"/>
        <w:textAlignment w:val="auto"/>
        <w:rPr>
          <w:rFonts w:hint="eastAsia" w:ascii="宋体" w:hAnsi="宋体" w:eastAsia="宋体" w:cs="宋体"/>
          <w:lang w:val="en-US" w:eastAsia="zh-CN"/>
          <w:rtl/>
        </w:rPr>
      </w:pPr>
    </w:p>
    <w:p w14:paraId="3B0103FF">
      <w:pPr>
        <w:pStyle w:val="3"/>
        <w:numPr>
          <w:ilvl w:val="0"/>
          <w:numId w:val="1"/>
        </w:numPr>
        <w:ind w:left="210" w:leftChars="0" w:firstLine="420" w:firstLineChars="0"/>
        <w:rPr>
          <w:rFonts w:hint="eastAsia" w:ascii="宋体" w:hAnsi="宋体" w:eastAsia="宋体" w:cs="宋体"/>
          <w:color w:val="auto"/>
          <w:highlight w:val="none"/>
          <w:lang w:val="en-US" w:eastAsia="zh-CN"/>
          <w:rtl/>
        </w:rPr>
      </w:pPr>
      <w:bookmarkStart w:id="41" w:name="_Toc7823"/>
      <w:r>
        <w:rPr>
          <w:rFonts w:hint="eastAsia" w:ascii="宋体" w:hAnsi="宋体" w:eastAsia="宋体" w:cs="宋体"/>
          <w:color w:val="auto"/>
          <w:highlight w:val="none"/>
          <w:lang w:val="en-US" w:eastAsia="zh-CN"/>
          <w:rtl/>
        </w:rPr>
        <w:t>فحص التأثيرات</w:t>
      </w:r>
      <w:bookmarkEnd w:id="41"/>
    </w:p>
    <w:p w14:paraId="3129DDB4">
      <w:pPr>
        <w:pStyle w:val="4"/>
        <w:rPr>
          <w:rFonts w:hint="eastAsia" w:ascii="宋体" w:hAnsi="宋体" w:eastAsia="宋体" w:cs="宋体"/>
          <w:lang w:val="en-US" w:eastAsia="zh-CN"/>
          <w:rtl/>
        </w:rPr>
      </w:pPr>
      <w:bookmarkStart w:id="42" w:name="_Toc7437"/>
      <w:r>
        <w:rPr>
          <w:rFonts w:hint="eastAsia" w:ascii="宋体" w:hAnsi="宋体" w:eastAsia="宋体" w:cs="宋体"/>
          <w:lang w:val="en-US" w:eastAsia="zh-CN"/>
          <w:rtl/>
        </w:rPr>
        <w:t>(أ) التحقق من فعالية الاستراتيجية</w:t>
      </w:r>
      <w:bookmarkEnd w:id="42"/>
    </w:p>
    <w:p w14:paraId="167A2AF9">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وللتحقق من فعالية الاستراتيجيات الثلاث، قام عضوا الفريق نيو يانمينغ وليو شياوغوانغ بتتبع وتحليل تركيز مزيل الاستحلاب إحصائياً على مدى الأشهر الثلاثة التالية.</w:t>
      </w:r>
    </w:p>
    <w:p w14:paraId="563E38DD">
      <w:pPr>
        <w:pStyle w:val="9"/>
        <w:ind w:firstLine="0" w:firstLineChars="0"/>
        <w:jc w:val="center"/>
        <w:rPr>
          <w:rFonts w:hint="eastAsia" w:ascii="宋体" w:hAnsi="宋体" w:eastAsia="宋体" w:cs="宋体"/>
          <w:color w:val="auto"/>
          <w:sz w:val="21"/>
          <w:szCs w:val="21"/>
          <w:highlight w:val="none"/>
          <w:lang w:eastAsia="zh-CN"/>
          <w:rtl/>
        </w:rPr>
        <w:bidi/>
      </w:pPr>
      <w:r>
        <w:rPr>
          <w:rFonts w:hint="eastAsia" w:ascii="宋体" w:hAnsi="宋体" w:eastAsia="宋体" w:cs="宋体"/>
          <w:color w:val="auto"/>
          <w:sz w:val="21"/>
          <w:szCs w:val="21"/>
          <w:highlight w:val="none"/>
          <w:lang w:eastAsia="zh-CN"/>
          <w:rtl/>
        </w:rPr>
        <w:t xml:space="preserve">الجدول 9-1: جدول إحصائي لتتبع تركيز مزيل الاستحلاب في منطقة المعالجة المركزية (الوحدة: جزء في المليون)</w:t>
      </w:r>
    </w:p>
    <w:tbl>
      <w:tblPr>
        <w:tblStyle w:val="19"/>
        <w:tblpPr w:leftFromText="180" w:rightFromText="180" w:vertAnchor="text" w:horzAnchor="page" w:tblpX="1651" w:tblpY="115"/>
        <w:tblOverlap w:val="never"/>
        <w:tblW w:w="85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35"/>
        <w:gridCol w:w="2042"/>
        <w:gridCol w:w="2146"/>
        <w:gridCol w:w="2347"/>
      </w:tblGrid>
      <w:tr w14:paraId="7ED86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000000" w:sz="6" w:space="0"/>
              <w:left w:val="single" w:color="000000" w:sz="6" w:space="0"/>
              <w:bottom w:val="single" w:color="auto" w:sz="6" w:space="0"/>
              <w:right w:val="single" w:color="auto" w:sz="6" w:space="0"/>
              <w:tl2br w:val="nil"/>
              <w:tr2bl w:val="nil"/>
            </w:tcBorders>
            <w:noWrap w:val="0"/>
            <w:vAlign w:val="center"/>
          </w:tcPr>
          <w:p w14:paraId="1F8C389D">
            <w:pPr>
              <w:spacing w:beforeLines="0" w:afterLines="0"/>
              <w:jc w:val="center"/>
              <w:rPr>
                <w:rFonts w:hint="eastAsia" w:ascii="宋体" w:hAnsi="宋体" w:eastAsia="宋体" w:cs="宋体"/>
                <w:color w:val="auto"/>
                <w:sz w:val="24"/>
                <w:szCs w:val="24"/>
                <w:highlight w:val="none"/>
                <w:rtl/>
              </w:rPr>
              <w:bidi/>
            </w:pPr>
            <w:r>
              <w:rPr>
                <w:rFonts w:hint="eastAsia" w:ascii="宋体" w:hAnsi="宋体" w:eastAsia="宋体" w:cs="宋体"/>
                <w:color w:val="auto"/>
                <w:sz w:val="24"/>
                <w:szCs w:val="24"/>
                <w:highlight w:val="none"/>
                <w:rtl/>
              </w:rPr>
              <w:t>وقت</w:t>
            </w:r>
          </w:p>
        </w:tc>
        <w:tc>
          <w:tcPr>
            <w:tcW w:w="2042" w:type="dxa"/>
            <w:tcBorders>
              <w:top w:val="single" w:color="000000" w:sz="6" w:space="0"/>
              <w:left w:val="single" w:color="auto" w:sz="6" w:space="0"/>
              <w:bottom w:val="single" w:color="auto" w:sz="6" w:space="0"/>
              <w:right w:val="single" w:color="auto" w:sz="6" w:space="0"/>
              <w:tl2br w:val="nil"/>
              <w:tr2bl w:val="nil"/>
            </w:tcBorders>
            <w:noWrap w:val="0"/>
            <w:vAlign w:val="center"/>
          </w:tcPr>
          <w:p w14:paraId="7FEDD77B">
            <w:pPr>
              <w:spacing w:beforeLines="0" w:afterLines="0"/>
              <w:jc w:val="center"/>
              <w:rPr>
                <w:rFonts w:hint="eastAsia" w:ascii="宋体" w:hAnsi="宋体" w:eastAsia="宋体" w:cs="宋体"/>
                <w:color w:val="auto"/>
                <w:sz w:val="24"/>
                <w:szCs w:val="24"/>
                <w:highlight w:val="none"/>
                <w:rtl/>
              </w:rPr>
              <w:bidi/>
            </w:pPr>
            <w:r>
              <w:rPr>
                <w:rFonts w:hint="eastAsia" w:ascii="宋体" w:hAnsi="宋体" w:eastAsia="宋体" w:cs="宋体"/>
                <w:color w:val="auto"/>
                <w:sz w:val="24"/>
                <w:szCs w:val="24"/>
                <w:highlight w:val="none"/>
                <w:rtl/>
              </w:rPr>
              <w:t>محطة إزالة الغازات في المنبع (جزء في المليون)</w:t>
            </w:r>
          </w:p>
        </w:tc>
        <w:tc>
          <w:tcPr>
            <w:tcW w:w="2146" w:type="dxa"/>
            <w:tcBorders>
              <w:top w:val="single" w:color="000000" w:sz="6" w:space="0"/>
              <w:left w:val="single" w:color="auto" w:sz="6" w:space="0"/>
              <w:bottom w:val="single" w:color="auto" w:sz="6" w:space="0"/>
              <w:right w:val="single" w:color="auto" w:sz="6" w:space="0"/>
              <w:tl2br w:val="nil"/>
              <w:tr2bl w:val="nil"/>
            </w:tcBorders>
            <w:noWrap w:val="0"/>
            <w:vAlign w:val="center"/>
          </w:tcPr>
          <w:p w14:paraId="77ED0CA1">
            <w:pPr>
              <w:spacing w:beforeLines="0" w:afterLines="0"/>
              <w:jc w:val="center"/>
              <w:rPr>
                <w:rFonts w:hint="eastAsia" w:ascii="宋体" w:hAnsi="宋体" w:eastAsia="宋体" w:cs="宋体"/>
                <w:color w:val="auto"/>
                <w:sz w:val="24"/>
                <w:szCs w:val="24"/>
                <w:highlight w:val="none"/>
                <w:rtl/>
              </w:rPr>
              <w:bidi/>
            </w:pPr>
            <w:r>
              <w:rPr>
                <w:rFonts w:hint="eastAsia" w:ascii="宋体" w:hAnsi="宋体" w:eastAsia="宋体" w:cs="宋体"/>
                <w:color w:val="auto"/>
                <w:sz w:val="24"/>
                <w:szCs w:val="24"/>
                <w:highlight w:val="none"/>
                <w:rtl/>
              </w:rPr>
              <w:t>منطقة المعالجة المركزية (جزء في المليون)</w:t>
            </w:r>
          </w:p>
        </w:tc>
        <w:tc>
          <w:tcPr>
            <w:tcW w:w="2347" w:type="dxa"/>
            <w:tcBorders>
              <w:top w:val="single" w:color="000000" w:sz="6" w:space="0"/>
              <w:left w:val="single" w:color="auto" w:sz="6" w:space="0"/>
              <w:bottom w:val="single" w:color="auto" w:sz="6" w:space="0"/>
              <w:right w:val="single" w:color="auto" w:sz="6" w:space="0"/>
              <w:tl2br w:val="nil"/>
              <w:tr2bl w:val="nil"/>
            </w:tcBorders>
            <w:noWrap w:val="0"/>
            <w:vAlign w:val="center"/>
          </w:tcPr>
          <w:p w14:paraId="346D3654">
            <w:pPr>
              <w:spacing w:beforeLines="0" w:afterLines="0"/>
              <w:jc w:val="center"/>
              <w:rPr>
                <w:rFonts w:hint="eastAsia" w:ascii="宋体" w:hAnsi="宋体" w:eastAsia="宋体" w:cs="宋体"/>
                <w:color w:val="auto"/>
                <w:sz w:val="24"/>
                <w:szCs w:val="24"/>
                <w:highlight w:val="none"/>
                <w:rtl/>
              </w:rPr>
              <w:bidi/>
            </w:pPr>
            <w:r>
              <w:rPr>
                <w:rFonts w:hint="eastAsia" w:ascii="宋体" w:hAnsi="宋体" w:eastAsia="宋体" w:cs="宋体"/>
                <w:color w:val="auto"/>
                <w:sz w:val="24"/>
                <w:szCs w:val="24"/>
                <w:highlight w:val="none"/>
                <w:rtl/>
              </w:rPr>
              <w:t>التركيز الكلي لمزيل الاستحلاب (جزء في المليون)</w:t>
            </w:r>
          </w:p>
        </w:tc>
      </w:tr>
      <w:tr w14:paraId="3987F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B3D8722">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26 أبريل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548376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65</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CF350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190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BADAD5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255</w:t>
            </w:r>
          </w:p>
        </w:tc>
      </w:tr>
      <w:tr w14:paraId="6F9FB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BDE7328">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27 أبريل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80CD70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lang w:val="en-US" w:eastAsia="zh-CN"/>
                <w:rtl/>
              </w:rPr>
              <w:bidi/>
            </w:pPr>
            <w:r>
              <w:rPr>
                <w:rFonts w:hint="eastAsia" w:ascii="宋体" w:hAnsi="宋体" w:eastAsia="宋体" w:cs="宋体"/>
                <w:b w:val="0"/>
                <w:bCs w:val="0"/>
                <w:color w:val="auto"/>
                <w:sz w:val="24"/>
                <w:szCs w:val="24"/>
                <w:highlight w:val="none"/>
                <w:lang w:val="en-US" w:eastAsia="zh-CN"/>
                <w:rtl/>
              </w:rPr>
              <w:t>67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2B218C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C0EE74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253</w:t>
            </w:r>
          </w:p>
        </w:tc>
      </w:tr>
      <w:tr w14:paraId="17325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4E7FB5A">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28 أبريل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B1BE8A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71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FA32BB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1B0701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257</w:t>
            </w:r>
          </w:p>
        </w:tc>
      </w:tr>
      <w:tr w14:paraId="7609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108F14C">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29 أبريل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4C0029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73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A9848E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B4F246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256</w:t>
            </w:r>
          </w:p>
        </w:tc>
      </w:tr>
      <w:tr w14:paraId="1CBE0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5E05016">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30 أبريل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2E7BE0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68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4AD98E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E301F7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251</w:t>
            </w:r>
          </w:p>
        </w:tc>
      </w:tr>
      <w:tr w14:paraId="796CA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21D2658">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4FBF4C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282F0D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340E0D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252</w:t>
            </w:r>
          </w:p>
        </w:tc>
      </w:tr>
      <w:tr w14:paraId="310A0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4C7E4267">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685180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72</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D5E279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F62A61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252</w:t>
            </w:r>
          </w:p>
        </w:tc>
      </w:tr>
      <w:tr w14:paraId="74A38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474D758D">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3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8A4A33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lang w:val="en-US" w:eastAsia="zh-CN"/>
                <w:rtl/>
              </w:rPr>
              <w:bidi/>
            </w:pPr>
            <w:r>
              <w:rPr>
                <w:rFonts w:hint="eastAsia" w:ascii="宋体" w:hAnsi="宋体" w:eastAsia="宋体" w:cs="宋体"/>
                <w:b w:val="0"/>
                <w:bCs w:val="0"/>
                <w:color w:val="auto"/>
                <w:sz w:val="24"/>
                <w:szCs w:val="24"/>
                <w:highlight w:val="none"/>
                <w:lang w:val="en-US" w:eastAsia="zh-CN"/>
                <w:rtl/>
              </w:rPr>
              <w:t>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F0BF8E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928203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257</w:t>
            </w:r>
          </w:p>
        </w:tc>
      </w:tr>
      <w:tr w14:paraId="082F7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8F81278">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4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D0AE82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75</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4CFDC2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178</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4CF07D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252</w:t>
            </w:r>
          </w:p>
        </w:tc>
      </w:tr>
      <w:tr w14:paraId="1D5AA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B4CC67C">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5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1FB533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75</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67DA7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CC38F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254</w:t>
            </w:r>
          </w:p>
        </w:tc>
      </w:tr>
      <w:tr w14:paraId="03EA7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A9DF3EF">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6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A9F415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E2DD94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178</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78FAFB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399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EECE02B">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7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A5A4A3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44C2CB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894BE5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254</w:t>
            </w:r>
          </w:p>
        </w:tc>
      </w:tr>
      <w:tr w14:paraId="55227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D8B0B02">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8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188C3D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DDBD8B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E55038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252</w:t>
            </w:r>
          </w:p>
        </w:tc>
      </w:tr>
      <w:tr w14:paraId="659CE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2D33FD4">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9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50E079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9619E3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18103D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256</w:t>
            </w:r>
          </w:p>
        </w:tc>
      </w:tr>
      <w:tr w14:paraId="38FEA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4DEF2AFD">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10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74E515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74</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C85053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F72952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253</w:t>
            </w:r>
          </w:p>
        </w:tc>
      </w:tr>
      <w:tr w14:paraId="7119D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32D131B">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11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6A1CEB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72</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3F5C64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416896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4EF3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C7E10BA">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12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7AF655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6C8ABD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lang w:val="en-US"/>
                <w:rtl/>
              </w:rPr>
              <w:bidi/>
            </w:pPr>
            <w:r>
              <w:rPr>
                <w:rFonts w:hint="eastAsia" w:ascii="宋体" w:hAnsi="宋体" w:eastAsia="宋体" w:cs="宋体"/>
                <w:b w:val="0"/>
                <w:bCs w:val="0"/>
                <w:i w:val="0"/>
                <w:iCs w:val="0"/>
                <w:color w:val="000000"/>
                <w:kern w:val="0"/>
                <w:sz w:val="22"/>
                <w:szCs w:val="22"/>
                <w:highlight w:val="none"/>
                <w:u w:val="none"/>
                <w:lang w:val="en-US" w:eastAsia="zh-CN" w:bidi="ar"/>
                <w:rtl/>
              </w:rPr>
              <w:t>182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26C835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69369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5717A0C">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13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82A5F3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AC7C6E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352ACB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249</w:t>
            </w:r>
          </w:p>
        </w:tc>
      </w:tr>
      <w:tr w14:paraId="7F047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DA54E72">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14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C6D5D6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0C756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85BEAB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2BB73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10C7FF4">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15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26C195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64</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669665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E44E47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243</w:t>
            </w:r>
          </w:p>
        </w:tc>
      </w:tr>
      <w:tr w14:paraId="7A57E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F34868B">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16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08DCB2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C2E6C2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2809B1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245</w:t>
            </w:r>
          </w:p>
        </w:tc>
      </w:tr>
      <w:tr w14:paraId="2D407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4598D6DB">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17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EF78DA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0833C3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268165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243</w:t>
            </w:r>
          </w:p>
        </w:tc>
      </w:tr>
      <w:tr w14:paraId="32B39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974CC4F">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18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4CD580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E90EAA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5C8361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244</w:t>
            </w:r>
          </w:p>
        </w:tc>
      </w:tr>
      <w:tr w14:paraId="4C2E3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58D8D7F">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19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7CAD52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6E9EF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95A912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243</w:t>
            </w:r>
          </w:p>
        </w:tc>
      </w:tr>
      <w:tr w14:paraId="4FD9D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DECF314">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20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DE97C0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DE6F6F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6786A2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252</w:t>
            </w:r>
          </w:p>
        </w:tc>
      </w:tr>
      <w:tr w14:paraId="7734B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558B3AA">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21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04969E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4D2983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187</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FF4AC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256</w:t>
            </w:r>
          </w:p>
        </w:tc>
      </w:tr>
      <w:tr w14:paraId="540A8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8570CC1">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22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2D387A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CA131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B9F4CB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249</w:t>
            </w:r>
          </w:p>
        </w:tc>
      </w:tr>
      <w:tr w14:paraId="7C97B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FECBB6C">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23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7B7362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F581D5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53F042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253</w:t>
            </w:r>
          </w:p>
        </w:tc>
      </w:tr>
      <w:tr w14:paraId="19C76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01E2236">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24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0A1598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F46012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187</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1F5EFE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257</w:t>
            </w:r>
          </w:p>
        </w:tc>
      </w:tr>
      <w:tr w14:paraId="1FB07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88B20F3">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25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4D51ED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7CF353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89BCFF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256</w:t>
            </w:r>
          </w:p>
        </w:tc>
      </w:tr>
      <w:tr w14:paraId="5B77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01C40CA">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26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68AB0C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92BD99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A815E0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256</w:t>
            </w:r>
          </w:p>
        </w:tc>
      </w:tr>
      <w:tr w14:paraId="6CB53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48BE6D55">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27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EB1A2F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72</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E84BB9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FFF726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256</w:t>
            </w:r>
          </w:p>
        </w:tc>
      </w:tr>
      <w:tr w14:paraId="11BBA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8B85BF1">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28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B8A9F9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72</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E5FE24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3ADFC5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257</w:t>
            </w:r>
          </w:p>
        </w:tc>
      </w:tr>
      <w:tr w14:paraId="2A703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0F0CCE4">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29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6FB5EC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A9BE73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188</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3D4C0F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257</w:t>
            </w:r>
          </w:p>
        </w:tc>
      </w:tr>
      <w:tr w14:paraId="46A22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A819B23">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30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8BE133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CF2240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68BC01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255</w:t>
            </w:r>
          </w:p>
        </w:tc>
      </w:tr>
      <w:tr w14:paraId="59C69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6270A7A">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31 مايو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710239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6AA48C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95A89C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237</w:t>
            </w:r>
          </w:p>
        </w:tc>
      </w:tr>
      <w:tr w14:paraId="6D738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A5C1A11">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F97E9D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B93C3C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178</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836D81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244</w:t>
            </w:r>
          </w:p>
        </w:tc>
      </w:tr>
      <w:tr w14:paraId="0615F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BD229D0">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2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834473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B4F18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562ED7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255</w:t>
            </w:r>
          </w:p>
        </w:tc>
      </w:tr>
      <w:tr w14:paraId="65999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F887960">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3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45B486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BA0369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4C078A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255</w:t>
            </w:r>
          </w:p>
        </w:tc>
      </w:tr>
      <w:tr w14:paraId="0D3C4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2A21A11">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4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810383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90F34D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96B3B1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00B49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27D668E">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5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1D4D22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F58C26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EED1D9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244</w:t>
            </w:r>
          </w:p>
        </w:tc>
      </w:tr>
      <w:tr w14:paraId="5825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CD2E6EB">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6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916144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522031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01E5CD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249</w:t>
            </w:r>
          </w:p>
        </w:tc>
      </w:tr>
      <w:tr w14:paraId="3991D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6AC5AA1">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7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89A483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D36B90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23A959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253</w:t>
            </w:r>
          </w:p>
        </w:tc>
      </w:tr>
      <w:tr w14:paraId="20E18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F379292">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8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D159A3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4A275F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607F92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253</w:t>
            </w:r>
          </w:p>
        </w:tc>
      </w:tr>
      <w:tr w14:paraId="033B9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C41A308">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9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87F6FD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15059C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13F39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253</w:t>
            </w:r>
          </w:p>
        </w:tc>
      </w:tr>
      <w:tr w14:paraId="0292B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EC92489">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10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0CEF0F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C518CB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BD4A7A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0E3DD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9394C00">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11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156660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9FE8EA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2F2666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7460E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9406BB0">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12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5963D9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94DA3E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09D6E0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248</w:t>
            </w:r>
          </w:p>
        </w:tc>
      </w:tr>
      <w:tr w14:paraId="7767E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0354B91">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13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FED6F0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E0FABB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177</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386343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5C361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187F04A">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14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36E46B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91B350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174</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6F6F60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7AB22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3E811A8">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15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C7F710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501FB6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168</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2C812E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245</w:t>
            </w:r>
          </w:p>
        </w:tc>
      </w:tr>
      <w:tr w14:paraId="3F6AE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4211599">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16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C01484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095D6C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166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979731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244</w:t>
            </w:r>
          </w:p>
        </w:tc>
      </w:tr>
      <w:tr w14:paraId="3C000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72A1247">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17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09DE66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6E45F5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BE2168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44A00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5ABB07A">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18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16F416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FB3798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169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84CC4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246</w:t>
            </w:r>
          </w:p>
        </w:tc>
      </w:tr>
      <w:tr w14:paraId="3CFE4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FA7BAD1">
            <w:pPr>
              <w:keepNext w:val="0"/>
              <w:keepLines w:val="0"/>
              <w:widowControl/>
              <w:suppressLineNumbers w:val="0"/>
              <w:jc w:val="center"/>
              <w:textAlignment w:val="center"/>
              <w:rPr>
                <w:rFonts w:hint="eastAsia" w:ascii="宋体" w:hAnsi="宋体" w:eastAsia="宋体" w:cs="宋体"/>
                <w:color w:val="auto"/>
                <w:sz w:val="24"/>
                <w:szCs w:val="24"/>
                <w:highlight w:val="none"/>
                <w:rtl/>
              </w:rPr>
              <w:bidi/>
            </w:pPr>
            <w:r>
              <w:rPr>
                <w:rFonts w:hint="eastAsia" w:ascii="宋体" w:hAnsi="宋体" w:eastAsia="宋体" w:cs="宋体"/>
                <w:i w:val="0"/>
                <w:iCs w:val="0"/>
                <w:color w:val="000000"/>
                <w:kern w:val="0"/>
                <w:sz w:val="22"/>
                <w:szCs w:val="22"/>
                <w:highlight w:val="none"/>
                <w:u w:val="none"/>
                <w:lang w:val="en-US" w:eastAsia="zh-CN" w:bidi="ar"/>
                <w:rtl/>
              </w:rPr>
              <w:t>19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4B523F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597AB2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049DBE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253</w:t>
            </w:r>
          </w:p>
        </w:tc>
      </w:tr>
      <w:tr w14:paraId="3EC55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6D2B27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20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878901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B9614E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177</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1438F2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254</w:t>
            </w:r>
          </w:p>
        </w:tc>
      </w:tr>
      <w:tr w14:paraId="663EA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03D162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21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9544BF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426B5A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D66483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254</w:t>
            </w:r>
          </w:p>
        </w:tc>
      </w:tr>
      <w:tr w14:paraId="7B16E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B55C31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22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44BBA5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74</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3C52E5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9B30B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254</w:t>
            </w:r>
          </w:p>
        </w:tc>
      </w:tr>
      <w:tr w14:paraId="47E8A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EEB709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23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9999E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74</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4D1C21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180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0E9E2C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254</w:t>
            </w:r>
          </w:p>
        </w:tc>
      </w:tr>
      <w:tr w14:paraId="2C21F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9B39F1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24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77B461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80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B63791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82D64E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256</w:t>
            </w:r>
          </w:p>
        </w:tc>
      </w:tr>
      <w:tr w14:paraId="3443D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101B1E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25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53DA5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80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714C8E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159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0A2AA9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240</w:t>
            </w:r>
          </w:p>
        </w:tc>
      </w:tr>
      <w:tr w14:paraId="5D8D5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138502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26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453A09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D6DF21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177</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82CB78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248</w:t>
            </w:r>
          </w:p>
        </w:tc>
      </w:tr>
      <w:tr w14:paraId="2636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14BBA5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27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56EFAE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74</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0C2C76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167</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75BD96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241</w:t>
            </w:r>
          </w:p>
        </w:tc>
      </w:tr>
      <w:tr w14:paraId="5B76E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37F577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28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260E4E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6FD0DD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174</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07914F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35ABD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BC9818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29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D5E830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D5D5EA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69251F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252</w:t>
            </w:r>
          </w:p>
        </w:tc>
      </w:tr>
      <w:tr w14:paraId="3A0FC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AE36F7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30 يونيو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E76E57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D31480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FE0D28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43419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07566A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5AB1EA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75</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25E68F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688D82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23E58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5DD5DB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AFB09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31672D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174</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6F8635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60430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44C64F9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3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3C20F1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D06DAE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7380F9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247</w:t>
            </w:r>
          </w:p>
        </w:tc>
      </w:tr>
      <w:tr w14:paraId="4B03E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365471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4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2DD750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E2E5CE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A8158E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254</w:t>
            </w:r>
          </w:p>
        </w:tc>
      </w:tr>
      <w:tr w14:paraId="17818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C21630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5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6D151A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7A95E1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7AD50C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666C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1D91B1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6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2C1CE4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190303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174</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F5D173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252</w:t>
            </w:r>
          </w:p>
        </w:tc>
      </w:tr>
      <w:tr w14:paraId="303C0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756668E">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7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03198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F62C26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D4DAFA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1FDB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AB9B4C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8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8C0F3B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CC92BC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284ED7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76C5F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22509E96">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9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F363F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5E128A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8B26E8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4D5EA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6C39E9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10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DDAA7A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BF81CB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38A4AE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250</w:t>
            </w:r>
          </w:p>
        </w:tc>
      </w:tr>
      <w:tr w14:paraId="7B3B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553210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11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98C95C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3C7507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04ACFB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249</w:t>
            </w:r>
          </w:p>
        </w:tc>
      </w:tr>
      <w:tr w14:paraId="36DED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D5A7E5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12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DF37B8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F39A0D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169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52961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249</w:t>
            </w:r>
          </w:p>
        </w:tc>
      </w:tr>
      <w:tr w14:paraId="41E57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0C5A87B">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13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8A7DCF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5E46EA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07A94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248</w:t>
            </w:r>
          </w:p>
        </w:tc>
      </w:tr>
      <w:tr w14:paraId="43587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80E8BC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14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9D798A5">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916D31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CA0D92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248</w:t>
            </w:r>
          </w:p>
        </w:tc>
      </w:tr>
      <w:tr w14:paraId="59193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50AE74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15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5F8BAB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77</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9926D9A">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170</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5EE1F4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248</w:t>
            </w:r>
          </w:p>
        </w:tc>
      </w:tr>
      <w:tr w14:paraId="6815C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77FFB3C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16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28075B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83</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8A3418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168</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AC11B4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5E27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A193D7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17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DDE0FC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76</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6F8EA2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5F6364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01B1C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5C96EC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18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5C7ED4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75</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00E73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7CC807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247</w:t>
            </w:r>
          </w:p>
        </w:tc>
      </w:tr>
      <w:tr w14:paraId="32C3F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175A539">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19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7775FD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ED2F56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363CE1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245</w:t>
            </w:r>
          </w:p>
        </w:tc>
      </w:tr>
      <w:tr w14:paraId="3EEBD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FAF976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20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2494E6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341994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174</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C6C128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244</w:t>
            </w:r>
          </w:p>
        </w:tc>
      </w:tr>
      <w:tr w14:paraId="7ED7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6F6B649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21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90C8A9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E18CEE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174</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EB3D04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243</w:t>
            </w:r>
          </w:p>
        </w:tc>
      </w:tr>
      <w:tr w14:paraId="369E7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2206454">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22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AF8C2F6">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F96E37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87D84B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242</w:t>
            </w:r>
          </w:p>
        </w:tc>
      </w:tr>
      <w:tr w14:paraId="40367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8408FCD">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23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23EFF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E55CB5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171</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EEDDCB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241</w:t>
            </w:r>
          </w:p>
        </w:tc>
      </w:tr>
      <w:tr w14:paraId="06E42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F86C51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24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39D438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82A367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172</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F0635C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242</w:t>
            </w:r>
          </w:p>
        </w:tc>
      </w:tr>
      <w:tr w14:paraId="3FD78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1BF89A2">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25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B59B0D1">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68</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3AB8133">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175</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B5CC77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243</w:t>
            </w:r>
          </w:p>
        </w:tc>
      </w:tr>
      <w:tr w14:paraId="47DDE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DECF347">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26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AF9EE8B">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DD08B7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179</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9FF1FE8">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251</w:t>
            </w:r>
          </w:p>
        </w:tc>
      </w:tr>
      <w:tr w14:paraId="0AE44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5EEEAA51">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27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E4FEF2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A3D2F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177</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3D0D95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248</w:t>
            </w:r>
          </w:p>
        </w:tc>
      </w:tr>
      <w:tr w14:paraId="2C055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00524A1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28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0851867">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71</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FF9E0A2">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691E69E">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247</w:t>
            </w:r>
          </w:p>
        </w:tc>
      </w:tr>
      <w:tr w14:paraId="7E5CE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340080A0">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29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AFFB399">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69</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0D7968F">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173</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3D4D4BC">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242</w:t>
            </w:r>
          </w:p>
        </w:tc>
      </w:tr>
      <w:tr w14:paraId="70D3D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035" w:type="dxa"/>
            <w:tcBorders>
              <w:top w:val="single" w:color="auto" w:sz="6" w:space="0"/>
              <w:left w:val="single" w:color="000000" w:sz="6" w:space="0"/>
              <w:bottom w:val="single" w:color="auto" w:sz="6" w:space="0"/>
              <w:right w:val="single" w:color="auto" w:sz="6" w:space="0"/>
              <w:tl2br w:val="nil"/>
              <w:tr2bl w:val="nil"/>
            </w:tcBorders>
            <w:noWrap w:val="0"/>
            <w:vAlign w:val="center"/>
          </w:tcPr>
          <w:p w14:paraId="1CF57AA3">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tl/>
              </w:rPr>
              <w:bidi/>
            </w:pPr>
            <w:r>
              <w:rPr>
                <w:rFonts w:hint="eastAsia" w:ascii="宋体" w:hAnsi="宋体" w:eastAsia="宋体" w:cs="宋体"/>
                <w:i w:val="0"/>
                <w:iCs w:val="0"/>
                <w:color w:val="000000"/>
                <w:kern w:val="0"/>
                <w:sz w:val="22"/>
                <w:szCs w:val="22"/>
                <w:highlight w:val="none"/>
                <w:u w:val="none"/>
                <w:lang w:val="en-US" w:eastAsia="zh-CN" w:bidi="ar"/>
                <w:rtl/>
              </w:rPr>
              <w:t>30 يوليو 2025</w:t>
            </w:r>
          </w:p>
        </w:tc>
        <w:tc>
          <w:tcPr>
            <w:tcW w:w="2042"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94A1324">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70</w:t>
            </w:r>
          </w:p>
        </w:tc>
        <w:tc>
          <w:tcPr>
            <w:tcW w:w="2146"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04D5F00">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176</w:t>
            </w:r>
          </w:p>
        </w:tc>
        <w:tc>
          <w:tcPr>
            <w:tcW w:w="2347"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C7632AD">
            <w:pPr>
              <w:keepNext w:val="0"/>
              <w:keepLines w:val="0"/>
              <w:widowControl/>
              <w:suppressLineNumbers w:val="0"/>
              <w:jc w:val="center"/>
              <w:textAlignment w:val="center"/>
              <w:rPr>
                <w:rFonts w:hint="eastAsia" w:ascii="宋体" w:hAnsi="宋体" w:eastAsia="宋体" w:cs="宋体"/>
                <w:b w:val="0"/>
                <w:bCs w:val="0"/>
                <w:color w:val="auto"/>
                <w:sz w:val="24"/>
                <w:szCs w:val="24"/>
                <w:highlight w:val="none"/>
                <w:rtl/>
              </w:rPr>
              <w:bidi/>
            </w:pPr>
            <w:r>
              <w:rPr>
                <w:rFonts w:hint="eastAsia" w:ascii="宋体" w:hAnsi="宋体" w:eastAsia="宋体" w:cs="宋体"/>
                <w:b w:val="0"/>
                <w:bCs w:val="0"/>
                <w:i w:val="0"/>
                <w:iCs w:val="0"/>
                <w:color w:val="000000"/>
                <w:kern w:val="0"/>
                <w:sz w:val="22"/>
                <w:szCs w:val="22"/>
                <w:highlight w:val="none"/>
                <w:u w:val="none"/>
                <w:lang w:val="en-US" w:eastAsia="zh-CN" w:bidi="ar"/>
                <w:rtl/>
              </w:rPr>
              <w:t xml:space="preserve">245</w:t>
            </w:r>
          </w:p>
        </w:tc>
      </w:tr>
    </w:tbl>
    <w:p w14:paraId="6DCC89A3">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sz w:val="21"/>
          <w:szCs w:val="21"/>
          <w:highlight w:val="none"/>
          <w:rtl/>
        </w:rPr>
        <w:t>الإعداد بواسطة: Niu Yanming التاريخ: 31 يوليو 2025 تمت المراجعة بواسطة: Li Peizhuo</w:t>
      </w:r>
    </w:p>
    <w:p w14:paraId="5417914F">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p>
    <w:p w14:paraId="6E4602AC">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p>
    <w:p w14:paraId="77243920">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p>
    <w:p w14:paraId="2312E23F">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p>
    <w:p w14:paraId="1DFEE04B">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p>
    <w:p w14:paraId="786D8BE5">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rtl/>
        </w:rPr>
      </w:pPr>
      <w:r>
        <w:rPr>
          <w:rFonts w:hint="eastAsia" w:ascii="宋体" w:hAnsi="宋体" w:eastAsia="宋体" w:cs="宋体"/>
          <w:rtl/>
        </w:rPr>
        <w:drawing>
          <wp:inline distT="0" distB="0" distL="114300" distR="114300">
            <wp:extent cx="4826000" cy="2681605"/>
            <wp:effectExtent l="0" t="0" r="0" b="0"/>
            <wp:docPr id="17" name="图表 2" descr="7b0a202020202263686172745265734964223a20223230343736363934220a7d0a"/>
            <wp:cNvGraphicFramePr/>
            <a:graphic xmlns:a="http://schemas.openxmlformats.org/drawingml/2006/main">
              <a:graphicData uri="http://schemas.openxmlformats.org/drawingml/2006/chart">
                <c:chart xmlns:c="http://schemas.openxmlformats.org/drawingml/2006/chart" r:id="rId34"/>
              </a:graphicData>
            </a:graphic>
          </wp:inline>
        </w:drawing>
      </w:r>
    </w:p>
    <w:p w14:paraId="53AEC0E6">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sz w:val="21"/>
          <w:szCs w:val="21"/>
          <w:highlight w:val="none"/>
          <w:rtl/>
        </w:rPr>
        <w:t>رسام الخرائط: نيو يانمينغ التاريخ: 31 يوليو 2025 المراجع: لي بيتشو</w:t>
      </w:r>
    </w:p>
    <w:p w14:paraId="38F4274D">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rtl/>
        </w:rPr>
      </w:pPr>
    </w:p>
    <w:p w14:paraId="46078FE3">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lang w:val="en-US" w:eastAsia="zh-CN"/>
          <w:rtl/>
        </w:rPr>
      </w:pPr>
    </w:p>
    <w:p w14:paraId="2CC59D77">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من خلال تتبع وتحليل تركيزات حقن الدواء اليومية إحصائيًا على مدى الأشهر الثلاثة التالية لتطبيق الإجراءات، تبيّن أن متوسط ​​التركيز الكلي اليومي لمادة مزيل الاستحلاب بلغ 249 جزءًا في المليون في الفترة من 26 أبريل إلى 30 يوليو، ومنذ أواخر يوليو، انخفض متوسط ​​التركيز الكلي اليومي لمادة مزيل الاستحلاب إلى أقل من 250 جزءًا في المليون. علاوة على ذلك، ومع التحسين المستمر للعملية، يمكن الاستنتاج أنه من تاريخ تطبيق الإجراءات في 26 أبريل وحتى نهاية عام 2025، سيظل التركيز الكلي لمادة مزيل الاستحلاب في الحقن أقل من 250 جزءًا في المليون، مما يدل على فعالية سلسلة إجراءات التحسين.</w:t>
      </w:r>
    </w:p>
    <w:p w14:paraId="4D83352E">
      <w:pPr>
        <w:keepNext w:val="0"/>
        <w:keepLines w:val="0"/>
        <w:pageBreakBefore w:val="0"/>
        <w:widowControl w:val="0"/>
        <w:numPr>
          <w:ilvl w:val="0"/>
          <w:numId w:val="0"/>
        </w:numPr>
        <w:kinsoku/>
        <w:wordWrap/>
        <w:overflowPunct/>
        <w:topLinePunct w:val="0"/>
        <w:autoSpaceDE/>
        <w:autoSpaceDN/>
        <w:adjustRightInd/>
        <w:snapToGrid/>
        <w:ind w:firstLine="480" w:firstLineChars="200"/>
        <w:textAlignment w:val="auto"/>
        <w:rPr>
          <w:rFonts w:hint="eastAsia" w:ascii="宋体" w:hAnsi="宋体" w:eastAsia="宋体" w:cs="宋体"/>
          <w:color w:val="auto"/>
          <w:sz w:val="24"/>
          <w:szCs w:val="24"/>
          <w:highlight w:val="none"/>
          <w:lang w:val="en-US" w:eastAsia="zh-CN"/>
          <w:rtl/>
        </w:rPr>
      </w:pPr>
    </w:p>
    <w:p w14:paraId="3E125F4B">
      <w:pPr>
        <w:keepNext w:val="0"/>
        <w:keepLines w:val="0"/>
        <w:pageBreakBefore w:val="0"/>
        <w:widowControl w:val="0"/>
        <w:numPr>
          <w:ilvl w:val="0"/>
          <w:numId w:val="0"/>
        </w:numPr>
        <w:kinsoku/>
        <w:wordWrap/>
        <w:overflowPunct/>
        <w:topLinePunct w:val="0"/>
        <w:autoSpaceDE/>
        <w:autoSpaceDN/>
        <w:adjustRightInd/>
        <w:snapToGrid/>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sz w:val="21"/>
          <w:szCs w:val="21"/>
          <w:highlight w:val="none"/>
          <w:lang w:eastAsia="zh-CN"/>
          <w:rtl/>
        </w:rPr>
        <w:t>الجدول 9-2: تركيز الكواشف المحقونة قبل وبعد أنشطة مراقبة الجودة</w:t>
      </w:r>
    </w:p>
    <w:p w14:paraId="7FA60ED6">
      <w:pPr>
        <w:keepNext w:val="0"/>
        <w:keepLines w:val="0"/>
        <w:pageBreakBefore w:val="0"/>
        <w:widowControl w:val="0"/>
        <w:numPr>
          <w:ilvl w:val="0"/>
          <w:numId w:val="0"/>
        </w:numPr>
        <w:kinsoku/>
        <w:wordWrap/>
        <w:overflowPunct/>
        <w:topLinePunct w:val="0"/>
        <w:autoSpaceDE/>
        <w:autoSpaceDN/>
        <w:adjustRightInd/>
        <w:snapToGrid/>
        <w:textAlignment w:val="auto"/>
        <w:rPr>
          <w:rFonts w:hint="eastAsia" w:ascii="宋体" w:hAnsi="宋体" w:eastAsia="宋体" w:cs="宋体"/>
          <w:color w:val="auto"/>
          <w:highlight w:val="none"/>
          <w:rtl/>
        </w:rPr>
      </w:pPr>
      <w:r>
        <w:rPr>
          <w:rFonts w:hint="eastAsia" w:ascii="宋体" w:hAnsi="宋体" w:eastAsia="宋体" w:cs="宋体"/>
          <w:color w:val="auto"/>
          <w:highlight w:val="none"/>
          <w:lang w:val="en-US" w:eastAsia="zh-CN"/>
          <w:rtl/>
        </w:rPr>
        <w:t xml:space="preserve">       </w:t>
      </w:r>
      <w:r>
        <w:rPr>
          <w:rFonts w:hint="eastAsia" w:ascii="宋体" w:hAnsi="宋体" w:eastAsia="宋体" w:cs="宋体"/>
          <w:color w:val="auto"/>
          <w:highlight w:val="none"/>
          <w:rtl/>
        </w:rPr>
        <w:drawing>
          <wp:inline distT="0" distB="0" distL="114300" distR="114300">
            <wp:extent cx="4824730" cy="2743200"/>
            <wp:effectExtent l="4445" t="4445" r="9525" b="8255"/>
            <wp:docPr id="1081" name="图表 1"/>
            <wp:cNvGraphicFramePr/>
            <a:graphic xmlns:a="http://schemas.openxmlformats.org/drawingml/2006/main">
              <a:graphicData uri="http://schemas.openxmlformats.org/drawingml/2006/chart">
                <c:chart xmlns:c="http://schemas.openxmlformats.org/drawingml/2006/chart" r:id="rId35"/>
              </a:graphicData>
            </a:graphic>
          </wp:inline>
        </w:drawing>
      </w:r>
    </w:p>
    <w:p w14:paraId="62D73BA7">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r>
        <w:rPr>
          <w:rFonts w:hint="eastAsia" w:ascii="宋体" w:hAnsi="宋体" w:eastAsia="宋体" w:cs="宋体"/>
          <w:color w:val="auto"/>
          <w:sz w:val="21"/>
          <w:szCs w:val="21"/>
          <w:highlight w:val="none"/>
          <w:rtl/>
        </w:rPr>
        <w:t>رسم الخرائط: ليو شياو غوانغ، التاريخ: 31 يوليو 2025، المراجعة: لي بي تشو</w:t>
      </w:r>
    </w:p>
    <w:p w14:paraId="0D9F636C">
      <w:pPr>
        <w:keepNext w:val="0"/>
        <w:keepLines w:val="0"/>
        <w:pageBreakBefore w:val="0"/>
        <w:widowControl w:val="0"/>
        <w:kinsoku/>
        <w:wordWrap/>
        <w:overflowPunct/>
        <w:topLinePunct w:val="0"/>
        <w:autoSpaceDE/>
        <w:autoSpaceDN/>
        <w:adjustRightInd/>
        <w:snapToGrid w:val="0"/>
        <w:jc w:val="center"/>
        <w:textAlignment w:val="auto"/>
        <w:rPr>
          <w:rFonts w:hint="eastAsia" w:ascii="宋体" w:hAnsi="宋体" w:eastAsia="宋体" w:cs="宋体"/>
          <w:color w:val="auto"/>
          <w:sz w:val="21"/>
          <w:szCs w:val="21"/>
          <w:highlight w:val="none"/>
          <w:lang w:val="en-US" w:eastAsia="zh-CN"/>
          <w:rtl/>
        </w:rPr>
      </w:pPr>
    </w:p>
    <w:p w14:paraId="34CDCB4F">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الخلاصة: بعد ثلاثة أشهر من التحقق، ومن خلال تحليل معمق لخصائص السائل واتجاهات الاستحلاب في كل محطة من محطات إزالة الغازات، تم تطبيق استراتيجية مزدوجة تقوم على "المعالجة المسبقة في المرحلة الأولى + خفض التركيز في المرحلة النهائية". وقد عزز هذا التعاون بين مراحل الإنتاج والتوزيع، وعدّل تدفق العمليات في محطة المعالجة النهائية، مما حقق المعالجة المسبقة في المرحلة الأولى وخفض التركيز في المرحلة النهائية. بلغ متوسط ​​تركيز حقن مزيل الاستحلاب 249 جزءًا في المليون، وبعد تطبيق هذه الإجراءات، لم يتجاوز متوسط ​​تركيز الحقن اليومي 250 جزءًا في المليون، محققًا بذلك هدف خفض تركيز مزيل الاستحلاب إلى 250 جزءًا في المليون أو أقل، وملبيًا بذلك متطلبات العميل.</w:t>
      </w:r>
    </w:p>
    <w:p w14:paraId="2CC4E2B6">
      <w:pPr>
        <w:pStyle w:val="4"/>
        <w:rPr>
          <w:rFonts w:hint="eastAsia" w:ascii="宋体" w:hAnsi="宋体" w:eastAsia="宋体" w:cs="宋体"/>
          <w:lang w:val="en-US" w:eastAsia="zh-CN"/>
          <w:rtl/>
        </w:rPr>
      </w:pPr>
      <w:bookmarkStart w:id="43" w:name="_Toc31767"/>
      <w:r>
        <w:rPr>
          <w:rFonts w:hint="eastAsia" w:ascii="宋体" w:hAnsi="宋体" w:eastAsia="宋体" w:cs="宋体"/>
          <w:lang w:val="en-US" w:eastAsia="zh-CN"/>
          <w:rtl/>
        </w:rPr>
        <w:t>(٢) فوائد التدابير</w:t>
      </w:r>
      <w:bookmarkEnd w:id="43"/>
    </w:p>
    <w:p w14:paraId="3288F081">
      <w:pPr>
        <w:pStyle w:val="5"/>
        <w:rPr>
          <w:rFonts w:hint="eastAsia" w:ascii="宋体" w:hAnsi="宋体" w:eastAsia="宋体" w:cs="宋体"/>
          <w:lang w:val="en-US" w:eastAsia="zh-CN"/>
          <w:rtl/>
        </w:rPr>
      </w:pPr>
      <w:r>
        <w:rPr>
          <w:rFonts w:hint="eastAsia" w:ascii="宋体" w:hAnsi="宋体" w:eastAsia="宋体" w:cs="宋体"/>
          <w:lang w:val="en-US" w:eastAsia="zh-CN"/>
          <w:rtl/>
        </w:rPr>
        <w:t>1. الفوائد الاقتصادية</w:t>
      </w:r>
    </w:p>
    <w:p w14:paraId="4B36C3D5">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لتحقيق هدف إنتاج حقل ميسان النفطي في العراق لعام 2025، والبالغ 110.5 مليون برميل، أجرى الفريق تحليلاً منهجياً لعملية الإنتاج واستخدام المواد الكيميائية، وطبّق سلسلة من إجراءات التحسين. بعد إجراء هذه التعديلات، انخفض تركيز مادة فصل الاستحلاب المحقونة في الحقل بنجاح من 311 جزءًا في المليون إلى 249 جزءًا في المليون، أي بانخفاض تراكمي قدره 62 جزءًا في المليون. لم يقتصر هذا التحسين على الحفاظ على استقرار عملية الإنتاج وكفاءة فصل النفط فحسب، بل ساهم أيضًا في خفض الكمية الإجمالية للمواد الكيميائية المستخدمة، محققًا بذلك وفورات كبيرة في الموارد.</w:t>
      </w:r>
    </w:p>
    <w:p w14:paraId="2FC2808B">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استنادًا إلى أهداف الإنتاج، يمكن أن يؤدي هذا التركيز المنخفض للمادة المحقونة إلى خفض استهلاك مزيل الاستحلاب بحوالي 1087 مترًا مكعبًا. وبناءً على أسعار الشراء، يُترجم هذا إلى وفورات سنوية تُقدر بحوالي 3 ملايين دولار.</w:t>
      </w:r>
    </w:p>
    <w:p w14:paraId="6EFE406D">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color w:val="auto"/>
          <w:sz w:val="24"/>
          <w:szCs w:val="24"/>
          <w:highlight w:val="none"/>
          <w:lang w:val="en-US" w:eastAsia="zh-CN"/>
          <w:rtl/>
        </w:rPr>
      </w:pPr>
    </w:p>
    <w:p w14:paraId="7A79FFEB">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center"/>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1087 م³ × 2800 = 3,040,000</w:t>
      </w:r>
    </w:p>
    <w:p w14:paraId="1DD7782C">
      <w:pPr>
        <w:pStyle w:val="5"/>
        <w:numPr>
          <w:ilvl w:val="0"/>
          <w:numId w:val="8"/>
        </w:numPr>
        <w:rPr>
          <w:rFonts w:hint="eastAsia" w:ascii="宋体" w:hAnsi="宋体" w:eastAsia="宋体" w:cs="宋体"/>
          <w:lang w:val="en-US" w:eastAsia="zh-CN"/>
          <w:rtl/>
        </w:rPr>
      </w:pPr>
      <w:r>
        <w:rPr>
          <w:rFonts w:hint="eastAsia" w:ascii="宋体" w:hAnsi="宋体" w:eastAsia="宋体" w:cs="宋体"/>
          <w:lang w:val="en-US" w:eastAsia="zh-CN"/>
          <w:rtl/>
        </w:rPr>
        <w:t>المنافع الاجتماعية</w:t>
      </w:r>
    </w:p>
    <w:p w14:paraId="6068E033">
      <w:pPr>
        <w:keepNext w:val="0"/>
        <w:keepLines w:val="0"/>
        <w:pageBreakBefore w:val="0"/>
        <w:widowControl w:val="0"/>
        <w:numPr>
          <w:ilvl w:val="0"/>
          <w:numId w:val="9"/>
        </w:numPr>
        <w:kinsoku/>
        <w:wordWrap/>
        <w:overflowPunct/>
        <w:topLinePunct w:val="0"/>
        <w:autoSpaceDE/>
        <w:autoSpaceDN/>
        <w:adjustRightInd/>
        <w:snapToGrid/>
        <w:spacing w:line="360" w:lineRule="auto"/>
        <w:ind w:firstLine="480" w:firstLineChars="200"/>
        <w:jc w:val="both"/>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من خلال ترشيد استخدام مُزيل الاستحلاب، نجح الفريق في خفض تكاليف إنتاج حقول النفط ورفع كفاءتها. وبالنسبة للعراق، الذي يعتمد كلياً على صناعة النفط، فإن هذا الإجراء لا يُسهم فقط في تحسين وتطوير قطاع الطاقة العراقي، بل يُعزز أيضاً التنمية المستدامة لصناعة النفط المحلية.</w:t>
      </w:r>
    </w:p>
    <w:p w14:paraId="77A84B99">
      <w:pPr>
        <w:keepNext w:val="0"/>
        <w:keepLines w:val="0"/>
        <w:pageBreakBefore w:val="0"/>
        <w:widowControl w:val="0"/>
        <w:numPr>
          <w:ilvl w:val="0"/>
          <w:numId w:val="9"/>
        </w:numPr>
        <w:kinsoku/>
        <w:wordWrap/>
        <w:overflowPunct/>
        <w:topLinePunct w:val="0"/>
        <w:autoSpaceDE/>
        <w:autoSpaceDN/>
        <w:adjustRightInd/>
        <w:snapToGrid/>
        <w:spacing w:line="360" w:lineRule="auto"/>
        <w:ind w:firstLine="480" w:firstLineChars="200"/>
        <w:jc w:val="both"/>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تُمثل التدابير التقنية لتحسين أداء مُزيلات الاستحلاب تطبيقًا عمليًا لمبادرة الحزام والطريق في قطاع الطاقة. فمن خلال الابتكار التكنولوجي والتعاون المحلي، تم جلب التكنولوجيا المتقدمة والخبرات الإدارية إلى العراق، مما عزز التعاون المعمق بين الصين والعراق في مجال الطاقة. ولم يُسهم نموذج التعاون هذا في تعزيز قدرات العراق على تطوير الطاقة فحسب، بل شكّل أيضًا مثالًا يُحتذى به للدول الواقعة على طول مبادرة الحزام والطريق.</w:t>
      </w:r>
    </w:p>
    <w:p w14:paraId="30C5E229">
      <w:pPr>
        <w:keepNext w:val="0"/>
        <w:keepLines w:val="0"/>
        <w:pageBreakBefore w:val="0"/>
        <w:widowControl w:val="0"/>
        <w:numPr>
          <w:ilvl w:val="0"/>
          <w:numId w:val="9"/>
        </w:numPr>
        <w:kinsoku/>
        <w:wordWrap/>
        <w:overflowPunct/>
        <w:topLinePunct w:val="0"/>
        <w:autoSpaceDE/>
        <w:autoSpaceDN/>
        <w:adjustRightInd/>
        <w:snapToGrid/>
        <w:spacing w:line="360" w:lineRule="auto"/>
        <w:ind w:firstLine="480" w:firstLineChars="200"/>
        <w:jc w:val="both"/>
        <w:textAlignment w:val="auto"/>
        <w:rPr>
          <w:rFonts w:hint="eastAsia" w:ascii="宋体" w:hAnsi="宋体" w:eastAsia="宋体" w:cs="宋体"/>
          <w:color w:val="auto"/>
          <w:sz w:val="24"/>
          <w:szCs w:val="24"/>
          <w:highlight w:val="none"/>
          <w:lang w:val="en-US" w:eastAsia="zh-CN"/>
          <w:rtl/>
        </w:rPr>
      </w:pPr>
      <w:r>
        <w:rPr>
          <w:rFonts w:hint="eastAsia" w:ascii="宋体" w:hAnsi="宋体" w:eastAsia="宋体" w:cs="宋体"/>
          <w:color w:val="auto"/>
          <w:sz w:val="24"/>
          <w:szCs w:val="24"/>
          <w:highlight w:val="none"/>
          <w:lang w:val="en-US" w:eastAsia="zh-CN"/>
          <w:rtl/>
        </w:rPr>
        <w:t>من خلال المناقشات المشتركة والعروض التوضيحية المتكررة، شجع البرنامج بنشاط مشاركة المهندسين العراقيين المحليين بشكل فعّال. وبفضل برنامج الإرشاد، تمّ تأهيل مجموعة من الكوادر الفنية عالية الكفاءة تدريجياً، مما عزز اكتفاء العراق الذاتي في قطاع الطاقة. ولم يقتصر هذا على تقوية القوى العاملة الفنية المحلية فحسب، بل ضخّ أيضاً حيوية جديدة في التنمية المستدامة لقطاع الطاقة العراقي.</w:t>
      </w:r>
    </w:p>
    <w:p w14:paraId="1FCAF4F8">
      <w:pPr>
        <w:pStyle w:val="3"/>
        <w:numPr>
          <w:ilvl w:val="0"/>
          <w:numId w:val="1"/>
        </w:numPr>
        <w:ind w:left="210" w:leftChars="0" w:firstLine="420" w:firstLineChars="0"/>
        <w:rPr>
          <w:rFonts w:hint="eastAsia" w:ascii="宋体" w:hAnsi="宋体" w:eastAsia="宋体" w:cs="宋体"/>
          <w:color w:val="auto"/>
          <w:highlight w:val="none"/>
          <w:lang w:val="en-US" w:eastAsia="zh-CN"/>
          <w:rtl/>
        </w:rPr>
      </w:pPr>
      <w:bookmarkStart w:id="44" w:name="_Toc16411"/>
      <w:r>
        <w:rPr>
          <w:rFonts w:hint="eastAsia" w:ascii="宋体" w:hAnsi="宋体" w:eastAsia="宋体" w:cs="宋体"/>
          <w:color w:val="auto"/>
          <w:highlight w:val="none"/>
          <w:lang w:val="en-US" w:eastAsia="zh-CN"/>
          <w:rtl/>
        </w:rPr>
        <w:t>تدابير التوحيد</w:t>
      </w:r>
      <w:bookmarkEnd w:id="44"/>
    </w:p>
    <w:p w14:paraId="517ECC7C">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لضمان استمرار فعالية إنجاز مراقبة الجودة المتمثل في "تقليل تركيز مزيل الاستحلاب المحقون في منطقة المعالجة المركزية"، قام الفريق بدمج التدابير التقنية والممارسات الإدارية الفعالة والمثبتة من هذا النشاط بشكل منهجي في إجراءات التشغيل ومعايير التشغيل وأنظمة الإدارة ذات الصلة. وفيما يلي تدابير التوحيد المحددة:</w:t>
      </w:r>
    </w:p>
    <w:p w14:paraId="1868D470">
      <w:pPr>
        <w:pStyle w:val="4"/>
        <w:rPr>
          <w:rFonts w:hint="eastAsia" w:ascii="宋体" w:hAnsi="宋体" w:eastAsia="宋体" w:cs="宋体"/>
          <w:lang w:val="en-US" w:eastAsia="zh-CN"/>
          <w:rtl/>
        </w:rPr>
      </w:pPr>
      <w:bookmarkStart w:id="45" w:name="_Toc16022"/>
      <w:r>
        <w:rPr>
          <w:rFonts w:hint="eastAsia" w:ascii="宋体" w:hAnsi="宋体" w:eastAsia="宋体" w:cs="宋体"/>
          <w:lang w:val="en-US" w:eastAsia="zh-CN"/>
          <w:rtl/>
        </w:rPr>
        <w:t>1. وضع معايير تشغيل مثالية لأجهزة إزالة المستحلبات.</w:t>
      </w:r>
      <w:bookmarkEnd w:id="45"/>
    </w:p>
    <w:p w14:paraId="680A6026">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1.1 بناءً على التدابير المضادة التي تم تطويرها وتنفيذها بنجاح في الجزء 7 من مراقبة الجودة، سيتم مراجعة متطلبات التشغيل التالية وتوحيدها في "قواعد إدارة حقن مزيل الاستحلاب" و"إجراءات التشغيل الموحدة لمنطقة المعالجة المركزية":</w:t>
      </w:r>
    </w:p>
    <w:p w14:paraId="4E8DA73E">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1) تدابير تحسين نظام التبادل الحراري: زيادة نقطة ضبط درجة حرارة مخرج مبادل حرارة زيت نقل الحرارة إلى 85 درجة مئوية، والاهتمام بدرجة حرارة التسخين وكفاءة التبادل الحراري لفرن الحمام المائي، وتنظيف ملفات فرن الحمام المائي بانتظام، والتأكد من أن درجة حرارة خزان غسل الماء مستقرة فوق 70 درجة مئوية.</w:t>
      </w:r>
    </w:p>
    <w:p w14:paraId="3C402B91">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2) متطلبات التحكم في نقل السوائل في وحدة BU41: يجب أن تعمل وحدة BU41 بنظام نقل السوائل المتقطع ذي الإزاحة الصغيرة. أثناء نقل السوائل، يجب الحفاظ على تيار التشغيل الكهربائي للفصل الكهربائي ثابتًا عند أقل من 60 أمبير لمنع تفاقم استحلاب النفط الخام.</w:t>
      </w:r>
    </w:p>
    <w:p w14:paraId="05357B94">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3) استراتيجية تحسين حقن مزيل الاستحلاب: تنفيذ وضع "الجرعة المسبقة في الطرف الأمامي + تقليل التركيز النهائي"، وضبط تركيز حقن مزيل الاستحلاب لمحطات إزالة الغازات مثل FQN وBUS3 بمرونة وفقًا لدرجة استحلاب السائل الوارد لضمان التحكم في إجمالي تركيز الحقن بأقل من 250 جزءًا في المليون.</w:t>
      </w:r>
    </w:p>
    <w:p w14:paraId="173BAACB">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تم إعداد المحتوى المذكور أعلاه من قبل منطقة المعالجة المركزية، بالاشتراك مع قسم تطوير آبار النفط في المنبع والمختبر، لمراجعة وتنفيذ وثائق التشغيل المحدثة.</w:t>
      </w:r>
    </w:p>
    <w:p w14:paraId="13B48529">
      <w:pPr>
        <w:keepNext w:val="0"/>
        <w:keepLines w:val="0"/>
        <w:pageBreakBefore w:val="0"/>
        <w:widowControl w:val="0"/>
        <w:numPr>
          <w:ilvl w:val="0"/>
          <w:numId w:val="0"/>
        </w:numPr>
        <w:kinsoku/>
        <w:wordWrap/>
        <w:overflowPunct/>
        <w:topLinePunct w:val="0"/>
        <w:autoSpaceDE/>
        <w:autoSpaceDN/>
        <w:adjustRightInd/>
        <w:snapToGrid/>
        <w:ind w:firstLine="420" w:firstLineChars="200"/>
        <w:jc w:val="left"/>
        <w:textAlignment w:val="auto"/>
        <w:rPr>
          <w:rFonts w:hint="eastAsia" w:ascii="宋体" w:hAnsi="宋体" w:eastAsia="宋体" w:cs="宋体"/>
          <w:highlight w:val="none"/>
          <w:rtl/>
        </w:rPr>
      </w:pPr>
      <w:r>
        <w:rPr>
          <w:rFonts w:hint="eastAsia" w:ascii="宋体" w:hAnsi="宋体" w:eastAsia="宋体" w:cs="宋体"/>
          <w:highlight w:val="none"/>
          <w:rtl/>
        </w:rPr>
        <w:drawing>
          <wp:inline distT="0" distB="0" distL="114300" distR="114300">
            <wp:extent cx="5133975" cy="7400925"/>
            <wp:effectExtent l="0" t="0" r="952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6"/>
                    <a:stretch>
                      <a:fillRect/>
                    </a:stretch>
                  </pic:blipFill>
                  <pic:spPr>
                    <a:xfrm>
                      <a:off x="0" y="0"/>
                      <a:ext cx="5133975" cy="7400925"/>
                    </a:xfrm>
                    <a:prstGeom prst="rect">
                      <a:avLst/>
                    </a:prstGeom>
                    <a:noFill/>
                    <a:ln>
                      <a:noFill/>
                    </a:ln>
                  </pic:spPr>
                </pic:pic>
              </a:graphicData>
            </a:graphic>
          </wp:inline>
        </w:drawing>
      </w:r>
    </w:p>
    <w:p w14:paraId="4F7DBA4B">
      <w:pPr>
        <w:keepNext w:val="0"/>
        <w:keepLines w:val="0"/>
        <w:pageBreakBefore w:val="0"/>
        <w:widowControl w:val="0"/>
        <w:numPr>
          <w:ilvl w:val="0"/>
          <w:numId w:val="0"/>
        </w:numPr>
        <w:kinsoku/>
        <w:wordWrap/>
        <w:overflowPunct/>
        <w:topLinePunct w:val="0"/>
        <w:autoSpaceDE/>
        <w:autoSpaceDN/>
        <w:adjustRightInd/>
        <w:snapToGrid/>
        <w:ind w:firstLine="420" w:firstLineChars="200"/>
        <w:jc w:val="left"/>
        <w:textAlignment w:val="auto"/>
        <w:rPr>
          <w:rFonts w:hint="eastAsia" w:ascii="宋体" w:hAnsi="宋体" w:eastAsia="宋体" w:cs="宋体"/>
          <w:highlight w:val="none"/>
          <w:lang w:val="en-US" w:eastAsia="zh-CN"/>
          <w:rtl/>
        </w:rPr>
      </w:pPr>
      <w:r>
        <w:rPr>
          <w:rFonts w:hint="eastAsia" w:ascii="宋体" w:hAnsi="宋体" w:eastAsia="宋体" w:cs="宋体"/>
          <w:highlight w:val="none"/>
          <w:rtl/>
        </w:rPr>
        <w:drawing>
          <wp:inline distT="0" distB="0" distL="114300" distR="114300">
            <wp:extent cx="5758815" cy="5511800"/>
            <wp:effectExtent l="0" t="0" r="13335" b="1270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37"/>
                    <a:stretch>
                      <a:fillRect/>
                    </a:stretch>
                  </pic:blipFill>
                  <pic:spPr>
                    <a:xfrm>
                      <a:off x="0" y="0"/>
                      <a:ext cx="5758815" cy="5511800"/>
                    </a:xfrm>
                    <a:prstGeom prst="rect">
                      <a:avLst/>
                    </a:prstGeom>
                    <a:noFill/>
                    <a:ln>
                      <a:noFill/>
                    </a:ln>
                  </pic:spPr>
                </pic:pic>
              </a:graphicData>
            </a:graphic>
          </wp:inline>
        </w:drawing>
      </w:r>
    </w:p>
    <w:p w14:paraId="05188429">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1.2 تطوير وتنفيذ إجراءات تشغيل موحدة لإضافة مزيل الاستحلاب، وتحديد خطوات التشغيل بوضوح، والتحكم في الجرعات والمعايير الرئيسية، والتأكد من أن جميع الموظفين المعنيين يتبعونها بدقة لتجنب حدوث ارتداد في الاستهلاك بسبب الاختلافات في التشغيل.</w:t>
      </w:r>
    </w:p>
    <w:p w14:paraId="2E536EAC">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1.3 تدريب الموظفين: تنظيم تدريب لجميع الموظفين لضمان أن يكون الجميع على دراية بعملية إضافة مزيل الاستحلاب وطريقة التعديل وإتقانها، وتجنب زيادة كمية مزيل الاستحلاب المستخدم بسبب التشغيل غير السليم، وتحسين وعي الموظفين بالتوفير، وتعزيز مفهوم "الجرعة الفعالة الدنيا".</w:t>
      </w:r>
    </w:p>
    <w:p w14:paraId="1B8F76E7">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1.4 التفتيش والإشراف المنتظم: تعيين موظفين متخصصين للتفتيش بانتظام للتأكد من أن العمليات ذات الصلة لموظفي الصيدلية تتوافق مع الإجراءات الموحدة وتصحيح أي سلوكيات تشغيلية غير قياسية على الفور.</w:t>
      </w:r>
    </w:p>
    <w:p w14:paraId="548CC20A">
      <w:pPr>
        <w:pStyle w:val="4"/>
        <w:rPr>
          <w:rFonts w:hint="eastAsia" w:ascii="宋体" w:hAnsi="宋体" w:eastAsia="宋体" w:cs="宋体"/>
          <w:lang w:val="en-US" w:eastAsia="zh-CN"/>
          <w:rtl/>
        </w:rPr>
      </w:pPr>
      <w:bookmarkStart w:id="46" w:name="_Toc22976"/>
      <w:r>
        <w:rPr>
          <w:rFonts w:hint="eastAsia" w:ascii="宋体" w:hAnsi="宋体" w:eastAsia="宋体" w:cs="宋体"/>
          <w:lang w:val="en-US" w:eastAsia="zh-CN"/>
          <w:rtl/>
        </w:rPr>
        <w:t>2. إنشاء آلية روتينية للمراقبة والتقييم.</w:t>
      </w:r>
      <w:bookmarkEnd w:id="46"/>
    </w:p>
    <w:p w14:paraId="373DD2EF">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2.1 أخذ عينات واختبار محتوى الماء في النفط الخام، وسمك المستحلب في خزانات غسل المياه، وتركيز مزيل الاستحلاب يوميًا، وإنشاء مخططات اتجاه البيانات، وتعديل استراتيجيات الجرعات بشكل ديناميكي.</w:t>
      </w:r>
    </w:p>
    <w:p w14:paraId="0139F59F">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2.2 بدء "آلية تقييم شهرية لاستخدام مزيل الاستحلاب"، مع الفريق الفني المسؤول عن تجميع الإحصاءات المتعلقة بكفاءة استخدام مزيل الاستحلاب واستهلاك العامل، وتقديم البيانات إلى مدير منطقة المعالجة في المركز للمراجعة واقتراحات التحسين.</w:t>
      </w:r>
    </w:p>
    <w:p w14:paraId="60D93177">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2.3 تعزيز التعاون مع المختبرات لإجراء اختبارات صغيرة النطاق على التغيرات في الخصائص الفيزيائية لأنواع النفط الخام المختلفة، وتحسين نقاط الحقن ونسب الجرعات، وضمان توافق الاستراتيجيات التشغيلية دائمًا مع ظروف الحقل الفعلية.</w:t>
      </w:r>
    </w:p>
    <w:p w14:paraId="7309BFF5">
      <w:pPr>
        <w:pStyle w:val="4"/>
        <w:rPr>
          <w:rFonts w:hint="eastAsia" w:ascii="宋体" w:hAnsi="宋体" w:eastAsia="宋体" w:cs="宋体"/>
          <w:lang w:val="en-US" w:eastAsia="zh-CN"/>
          <w:rtl/>
        </w:rPr>
      </w:pPr>
      <w:bookmarkStart w:id="47" w:name="_Toc8680"/>
      <w:r>
        <w:rPr>
          <w:rFonts w:hint="eastAsia" w:ascii="宋体" w:hAnsi="宋体" w:eastAsia="宋体" w:cs="宋体"/>
          <w:lang w:val="en-US" w:eastAsia="zh-CN"/>
          <w:rtl/>
        </w:rPr>
        <w:t>3. تعزيز التدريب الموحد وحوافز الأداء.</w:t>
      </w:r>
      <w:bookmarkEnd w:id="47"/>
    </w:p>
    <w:p w14:paraId="12AE63E9">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3.1 سيتم دمج عملية حقن مزيل الاستحلاب المحسّنة في خطة التدريب السنوية على المهارات التشغيلية، وسيتم تدريب جميع المشغلين وتقييمهم على دفعات لضمان تنفيذ المعيار بشكل فعال.</w:t>
      </w:r>
    </w:p>
    <w:p w14:paraId="400CBC60">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3.2 دمج أداء توفير الأدوية في تقييم أداء الفريق، والإشادة بالمشغلين المتميزين ومكافأتهم لخلق جو من الحفاظ على الطاقة وتقليل الاستهلاك لجميع الموظفين.</w:t>
      </w:r>
    </w:p>
    <w:p w14:paraId="3F3177F2">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3.3 إنشاء قناة لتلقي ملاحظات الموظفين لتشجيعهم على تقديم اقتراحات لتحسين العمليات. وفي حال اعتماد هذه الاقتراحات، سيتم مكافأتها وإدراجها في إجراءات التشغيل المعدلة.</w:t>
      </w:r>
    </w:p>
    <w:p w14:paraId="609E57C9">
      <w:pPr>
        <w:pStyle w:val="4"/>
        <w:rPr>
          <w:rFonts w:hint="eastAsia" w:ascii="宋体" w:hAnsi="宋体" w:eastAsia="宋体" w:cs="宋体"/>
          <w:lang w:val="en-US" w:eastAsia="zh-CN"/>
          <w:rtl/>
        </w:rPr>
      </w:pPr>
      <w:bookmarkStart w:id="48" w:name="_Toc9261"/>
      <w:r>
        <w:rPr>
          <w:rFonts w:hint="eastAsia" w:ascii="宋体" w:hAnsi="宋体" w:eastAsia="宋体" w:cs="宋体"/>
          <w:lang w:val="en-US" w:eastAsia="zh-CN"/>
          <w:rtl/>
        </w:rPr>
        <w:t>4. تحسين إدارة مخزون الأدوية وعمليات الشراء</w:t>
      </w:r>
      <w:bookmarkEnd w:id="48"/>
    </w:p>
    <w:p w14:paraId="4CC382FD">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4.1 بناءً على الاحتياجات الفعلية بعد خفض التكاليف وتوفير الاستهلاك، أعد تقييم خطة الشراء الشهرية ومخزون مزيلات الاستحلاب لضمان وجود مخزون معقول ودوران في الوقت المناسب.</w:t>
      </w:r>
    </w:p>
    <w:p w14:paraId="2CEA5C34">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4.2 إنشاء آلية ديناميكية لمراقبة الاستهلاك والإنذار المبكر لمزيلات الاستحلاب لتجنب عدم التحكم في الفعالية أو إهدار المواد بسبب اختلافات المخزون.</w:t>
      </w:r>
    </w:p>
    <w:p w14:paraId="36372D07">
      <w:pPr>
        <w:pStyle w:val="4"/>
        <w:rPr>
          <w:rFonts w:hint="eastAsia" w:ascii="宋体" w:hAnsi="宋体" w:eastAsia="宋体" w:cs="宋体"/>
          <w:lang w:val="en-US" w:eastAsia="zh-CN"/>
          <w:rtl/>
        </w:rPr>
      </w:pPr>
      <w:bookmarkStart w:id="49" w:name="_Toc22038"/>
      <w:r>
        <w:rPr>
          <w:rFonts w:hint="eastAsia" w:ascii="宋体" w:hAnsi="宋体" w:eastAsia="宋体" w:cs="宋体"/>
          <w:lang w:val="en-US" w:eastAsia="zh-CN"/>
          <w:rtl/>
        </w:rPr>
        <w:t>5. المراجعة الدورية والتحسين المستمر</w:t>
      </w:r>
      <w:bookmarkEnd w:id="49"/>
    </w:p>
    <w:p w14:paraId="0F80938A">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b w:val="0"/>
          <w:bCs w:val="0"/>
          <w:color w:val="auto"/>
          <w:sz w:val="24"/>
          <w:szCs w:val="24"/>
          <w:highlight w:val="none"/>
          <w:lang w:val="en-US" w:eastAsia="zh-CN"/>
          <w:rtl/>
        </w:rPr>
      </w:pPr>
      <w:r>
        <w:rPr>
          <w:rFonts w:hint="eastAsia" w:ascii="宋体" w:hAnsi="宋体" w:eastAsia="宋体" w:cs="宋体"/>
          <w:b w:val="0"/>
          <w:bCs w:val="0"/>
          <w:color w:val="auto"/>
          <w:sz w:val="24"/>
          <w:szCs w:val="24"/>
          <w:highlight w:val="none"/>
          <w:lang w:val="en-US" w:eastAsia="zh-CN"/>
          <w:rtl/>
        </w:rPr>
        <w:t>5.1 سيقود فريق مراقبة الجودة "الجودة والحيوية الجديدة" اجتماع مراجعة كل ثلاثة أشهر لتحليل تأثير تغييرات العملية على استخدام مزيلات الاستحلاب وتحديث استراتيجيات التحكم في الوقت المناسب.</w:t>
      </w:r>
    </w:p>
    <w:p w14:paraId="1A284174">
      <w:pPr>
        <w:keepNext w:val="0"/>
        <w:keepLines w:val="0"/>
        <w:pageBreakBefore w:val="0"/>
        <w:widowControl w:val="0"/>
        <w:numPr>
          <w:ilvl w:val="0"/>
          <w:numId w:val="0"/>
        </w:numPr>
        <w:kinsoku/>
        <w:wordWrap/>
        <w:overflowPunct/>
        <w:topLinePunct w:val="0"/>
        <w:autoSpaceDE/>
        <w:autoSpaceDN/>
        <w:adjustRightInd/>
        <w:snapToGrid/>
        <w:spacing w:line="360" w:lineRule="auto"/>
        <w:ind w:firstLine="480" w:firstLineChars="200"/>
        <w:jc w:val="left"/>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b w:val="0"/>
          <w:bCs w:val="0"/>
          <w:color w:val="auto"/>
          <w:sz w:val="24"/>
          <w:szCs w:val="24"/>
          <w:highlight w:val="none"/>
          <w:lang w:val="en-US" w:eastAsia="zh-CN"/>
          <w:rtl/>
        </w:rPr>
        <w:t>5.2 توسيع نتائج التحسين لتشمل مجالات إدارة العوامل المساعدة الأخرى (مثل مثبطات التآكل) لتحقيق تبادل الخبرات الإدارية وتكرار النتائج والترويج لها.</w:t>
      </w:r>
    </w:p>
    <w:p w14:paraId="4163ABFF">
      <w:pPr>
        <w:pStyle w:val="3"/>
        <w:numPr>
          <w:ilvl w:val="0"/>
          <w:numId w:val="1"/>
        </w:numPr>
        <w:ind w:left="210" w:leftChars="0" w:firstLine="420" w:firstLineChars="0"/>
        <w:rPr>
          <w:rFonts w:hint="eastAsia" w:ascii="宋体" w:hAnsi="宋体" w:eastAsia="宋体" w:cs="宋体"/>
          <w:color w:val="auto"/>
          <w:highlight w:val="none"/>
          <w:lang w:val="en-US" w:eastAsia="zh-CN"/>
          <w:rtl/>
        </w:rPr>
      </w:pPr>
      <w:bookmarkStart w:id="50" w:name="_Toc31588"/>
      <w:r>
        <w:rPr>
          <w:rFonts w:hint="eastAsia" w:ascii="宋体" w:hAnsi="宋体" w:eastAsia="宋体" w:cs="宋体"/>
          <w:color w:val="auto"/>
          <w:highlight w:val="none"/>
          <w:lang w:val="en-US" w:eastAsia="zh-CN"/>
          <w:rtl/>
        </w:rPr>
        <w:t>ملخص والخطوات التالية</w:t>
      </w:r>
      <w:bookmarkEnd w:id="50"/>
    </w:p>
    <w:p w14:paraId="1C5BF14D">
      <w:pPr>
        <w:keepNext w:val="0"/>
        <w:keepLines w:val="0"/>
        <w:pageBreakBefore w:val="0"/>
        <w:widowControl w:val="0"/>
        <w:kinsoku/>
        <w:wordWrap/>
        <w:overflowPunct/>
        <w:topLinePunct w:val="0"/>
        <w:autoSpaceDE/>
        <w:autoSpaceDN/>
        <w:adjustRightInd/>
        <w:snapToGrid/>
        <w:spacing w:line="240" w:lineRule="auto"/>
        <w:ind w:firstLine="482" w:firstLineChars="200"/>
        <w:textAlignment w:val="auto"/>
        <w:rPr>
          <w:rFonts w:hint="eastAsia" w:ascii="宋体" w:hAnsi="宋体" w:eastAsia="宋体" w:cs="宋体"/>
          <w:b/>
          <w:bCs/>
          <w:color w:val="auto"/>
          <w:kern w:val="2"/>
          <w:sz w:val="24"/>
          <w:szCs w:val="24"/>
          <w:highlight w:val="none"/>
          <w:lang w:val="en-US" w:eastAsia="zh-CN" w:bidi="ar-SA"/>
          <w:rtl/>
        </w:rPr>
      </w:pPr>
      <w:r>
        <w:rPr>
          <w:rFonts w:hint="eastAsia" w:ascii="宋体" w:hAnsi="宋体" w:eastAsia="宋体" w:cs="宋体"/>
          <w:b/>
          <w:bCs/>
          <w:color w:val="auto"/>
          <w:kern w:val="2"/>
          <w:sz w:val="24"/>
          <w:szCs w:val="24"/>
          <w:highlight w:val="none"/>
          <w:lang w:val="en-US" w:eastAsia="zh-CN" w:bidi="ar-SA"/>
          <w:rtl/>
        </w:rPr>
        <w:t>لخص:</w:t>
      </w:r>
    </w:p>
    <w:p w14:paraId="707B42F2">
      <w:pPr>
        <w:keepNext w:val="0"/>
        <w:keepLines w:val="0"/>
        <w:pageBreakBefore w:val="0"/>
        <w:widowControl w:val="0"/>
        <w:kinsoku/>
        <w:wordWrap/>
        <w:overflowPunct/>
        <w:topLinePunct w:val="0"/>
        <w:autoSpaceDE/>
        <w:autoSpaceDN/>
        <w:adjustRightInd/>
        <w:snapToGrid/>
        <w:spacing w:line="240" w:lineRule="auto"/>
        <w:ind w:firstLine="420" w:firstLineChars="200"/>
        <w:textAlignment w:val="auto"/>
        <w:rPr>
          <w:rFonts w:hint="eastAsia" w:ascii="宋体" w:hAnsi="宋体" w:eastAsia="宋体" w:cs="宋体"/>
          <w:b/>
          <w:bCs/>
          <w:color w:val="auto"/>
          <w:kern w:val="2"/>
          <w:sz w:val="24"/>
          <w:szCs w:val="24"/>
          <w:highlight w:val="none"/>
          <w:lang w:val="en-US" w:eastAsia="zh-CN" w:bidi="ar-SA"/>
          <w:rtl/>
        </w:rPr>
      </w:pPr>
      <w:r>
        <w:rPr>
          <w:rFonts w:hint="eastAsia" w:ascii="宋体" w:hAnsi="宋体" w:eastAsia="宋体" w:cs="宋体"/>
          <w:rtl/>
        </w:rPr>
        <w:drawing>
          <wp:inline distT="0" distB="0" distL="114300" distR="114300">
            <wp:extent cx="5749925" cy="2419350"/>
            <wp:effectExtent l="0" t="0" r="3175"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38"/>
                    <a:stretch>
                      <a:fillRect/>
                    </a:stretch>
                  </pic:blipFill>
                  <pic:spPr>
                    <a:xfrm>
                      <a:off x="0" y="0"/>
                      <a:ext cx="5749925" cy="2419350"/>
                    </a:xfrm>
                    <a:prstGeom prst="rect">
                      <a:avLst/>
                    </a:prstGeom>
                    <a:noFill/>
                    <a:ln>
                      <a:noFill/>
                    </a:ln>
                  </pic:spPr>
                </pic:pic>
              </a:graphicData>
            </a:graphic>
          </wp:inline>
        </w:drawing>
      </w:r>
    </w:p>
    <w:p w14:paraId="53C8FF0C">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1) قام فريق مراقبة الجودة "الجودة والحيوية الجديدتان"، الذي ركز على موضوع "تقليل تركيز مزيل الاستحلاب المحقون في منطقة المعالجة المركزية"، بإجراء بحث معمق وتجارب عملية وتطبيق ميداني لأكثر من خمسة أشهر. وقد حدد الفريق بشكل منهجي العوامل الرئيسية التي تؤثر على كفاءة استخدام مزيل الاستحلاب، بما في ذلك انخفاض درجة حرارة المعالجة، وضعف خصائص النفط الخام، واستراتيجيات الحقن غير المناسبة.</w:t>
      </w:r>
    </w:p>
    <w:p w14:paraId="430FC48F">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٢) من خلال صياغة وتطبيق ثلاثة تدابير أساسية مضادة - "رفع درجة حرارة عملية تكرير النفط الخام"، و"تحسين طريقة نقل السائل BU41"، و"تعديل استراتيجية حقن مزيل الاستحلاب" - نجح الفريق في خفض التركيز الكلي لمزيل الاستحلاب من ٣١١ جزءًا في المليون إلى ٢٤٩ جزءًا في المليون دون التأثير على جودة تكرير النفط الخام. وقد أسفر ذلك عن توفير ١٩.٩٪ من المواد الكيميائية، وتوفير سنوي يقارب ١٠٨٧ مترًا مكعبًا من مزيل الاستحلاب، محققًا بذلك الأهداف المرجوة بنجاح.</w:t>
      </w:r>
    </w:p>
    <w:p w14:paraId="7A955AC5">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3) لم يقتصر هذا النشاط على خفض تكاليف تشغيل حقول النفط وتحسين كفاءة معالجة النفط الخام فحسب، بل ساهم أيضاً في بناء قدرات الكفاءات المحلية من خلال التعاون التقني مع المهندسين العراقيين، مما يُجسد الممارسة الإيجابية للتعاون في مجال الطاقة في إطار مبادرة الحزام والطريق. وفي الوقت نفسه، شهدت كفاءة أعضاء الفريق ومهاراتهم في تطبيق أساليب مراقبة الجودة تحسناً شاملاً خلال هذا النشاط، مما أرسى أساساً متيناً لأعمال إدارة الجودة اللاحقة.</w:t>
      </w:r>
    </w:p>
    <w:p w14:paraId="367BCDF0">
      <w:pPr>
        <w:keepNext w:val="0"/>
        <w:keepLines w:val="0"/>
        <w:pageBreakBefore w:val="0"/>
        <w:widowControl w:val="0"/>
        <w:kinsoku/>
        <w:wordWrap/>
        <w:overflowPunct/>
        <w:topLinePunct w:val="0"/>
        <w:autoSpaceDE/>
        <w:autoSpaceDN/>
        <w:adjustRightInd/>
        <w:snapToGrid/>
        <w:spacing w:line="240" w:lineRule="auto"/>
        <w:ind w:firstLine="482" w:firstLineChars="200"/>
        <w:textAlignment w:val="auto"/>
        <w:rPr>
          <w:rFonts w:hint="eastAsia" w:ascii="宋体" w:hAnsi="宋体" w:eastAsia="宋体" w:cs="宋体"/>
          <w:b/>
          <w:bCs/>
          <w:color w:val="auto"/>
          <w:kern w:val="2"/>
          <w:sz w:val="24"/>
          <w:szCs w:val="24"/>
          <w:highlight w:val="none"/>
          <w:lang w:val="en-US" w:eastAsia="zh-CN" w:bidi="ar-SA"/>
          <w:rtl/>
        </w:rPr>
      </w:pPr>
      <w:r>
        <w:rPr>
          <w:rFonts w:hint="eastAsia" w:ascii="宋体" w:hAnsi="宋体" w:eastAsia="宋体" w:cs="宋体"/>
          <w:b/>
          <w:bCs/>
          <w:color w:val="auto"/>
          <w:kern w:val="2"/>
          <w:sz w:val="24"/>
          <w:szCs w:val="24"/>
          <w:highlight w:val="none"/>
          <w:lang w:val="en-US" w:eastAsia="zh-CN" w:bidi="ar-SA"/>
          <w:rtl/>
        </w:rPr>
        <w:t>الخطوات التالية:</w:t>
      </w:r>
    </w:p>
    <w:p w14:paraId="5A82E7D4">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1) تعزيز تأثير التحسين لمزيل الاستحلاب بشكل مستمر:</w:t>
      </w:r>
    </w:p>
    <w:p w14:paraId="21FA9783">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وفقًا لتدابير التوحيد المعمول بها، سنواصل مراقبة استخدام مزيلات الاستحلاب، وتعزيز العمليات الموحدة، وتحليل البيانات وتدريب الموظفين، ومنع عودة تركيز العامل، وضمان الاستقرار طويل الأجل لتأثير التوفير.</w:t>
      </w:r>
    </w:p>
    <w:p w14:paraId="44029959">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2) توسيع نطاق تجربة التحسين لتشمل عمليات أخرى:</w:t>
      </w:r>
    </w:p>
    <w:p w14:paraId="150C5845">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يمكن توسيع نطاق الأساليب التحليلية والأساليب التجريبية واستراتيجيات تحسين الحقن التي تم تطويرها أثناء عملية تحسين مزيل الاستحلاب لتشمل عوامل المعالجة المساعدة الأخرى (مثل المواد المُرَسِّبة ومثبطات التآكل) لتحقيق تحسين شامل في الإدارة الرشيدة لإنتاج حقول النفط.</w:t>
      </w:r>
    </w:p>
    <w:p w14:paraId="3E057CD7">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3) تعميق عملية تحديد المشكلات في الموقع وتحسين النظام:</w:t>
      </w:r>
    </w:p>
    <w:p w14:paraId="233A3689">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استناداً إلى التجربة الناجحة لنشاط مراقبة الجودة هذا، يخطط الفريق لمواصلة استكشاف العوامل المؤثرة على عملية الإنتاج، وتحليل ومناقشة المشكلات الحالية في العملية بشكل شامل من حيث تحسين الجودة والكفاءة، وزيادة تحسين كفاءة فصل الزيت عن الماء، وتحسين معايير تشغيل العملية بشكل عام.</w:t>
      </w:r>
    </w:p>
    <w:p w14:paraId="0435BB36">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4) تعزيز التعاون المحلي وتنمية المواهب:</w:t>
      </w:r>
    </w:p>
    <w:p w14:paraId="5A0662BD">
      <w:pPr>
        <w:keepNext w:val="0"/>
        <w:keepLines w:val="0"/>
        <w:pageBreakBefore w:val="0"/>
        <w:widowControl w:val="0"/>
        <w:kinsoku/>
        <w:wordWrap/>
        <w:overflowPunct/>
        <w:topLinePunct w:val="0"/>
        <w:autoSpaceDE/>
        <w:autoSpaceDN/>
        <w:adjustRightInd/>
        <w:snapToGrid/>
        <w:spacing w:line="360" w:lineRule="auto"/>
        <w:ind w:firstLine="480" w:firstLineChars="200"/>
        <w:textAlignment w:val="auto"/>
        <w:rPr>
          <w:rFonts w:hint="eastAsia" w:ascii="宋体" w:hAnsi="宋体" w:eastAsia="宋体" w:cs="宋体"/>
          <w:color w:val="auto"/>
          <w:kern w:val="2"/>
          <w:sz w:val="24"/>
          <w:szCs w:val="24"/>
          <w:highlight w:val="none"/>
          <w:lang w:val="en-US" w:eastAsia="zh-CN" w:bidi="ar-SA"/>
          <w:rtl/>
        </w:rPr>
      </w:pPr>
      <w:r>
        <w:rPr>
          <w:rFonts w:hint="eastAsia" w:ascii="宋体" w:hAnsi="宋体" w:eastAsia="宋体" w:cs="宋体"/>
          <w:color w:val="auto"/>
          <w:kern w:val="2"/>
          <w:sz w:val="24"/>
          <w:szCs w:val="24"/>
          <w:highlight w:val="none"/>
          <w:lang w:val="en-US" w:eastAsia="zh-CN" w:bidi="ar-SA"/>
          <w:rtl/>
        </w:rPr>
        <w:t>في الأنشطة اللاحقة، سنواصل تعميق التعاون مع الفرق الفنية المحلية، وتنظيم المزيد من عمليات تصحيح الأخطاء والتدريب على المهارات في الموقع، وتعزيز قدرات التشخيص والتحسين المستقلة للموظفين الإيرانيين، وخلق مثال ممتاز للتنمية التعاونية.</w:t>
      </w:r>
    </w:p>
    <w:sectPr>
      <w:pgSz w:w="11906" w:h="16838"/>
      <w:pgMar w:top="1418" w:right="1418" w:bottom="1418"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0B9A3053">
        <w:pPr>
          <w:pStyle w:val="13"/>
          <w:ind w:firstLine="360"/>
          <w:jc w:val="center"/>
          <w:bidi/>
        </w:pPr>
        <w:r>
          <w:t>1</w:t>
        </w:r>
      </w:p>
    </w:sdtContent>
  </w:sdt>
  <w:p w14:paraId="05BB9872">
    <w:pPr>
      <w:pStyle w:val="13"/>
      <w:ind w:firstLine="360"/>
      <w:bid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F731E">
    <w:pPr>
      <w:pStyle w:val="13"/>
      <w:ind w:firstLine="360"/>
      <w:bid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0B96B">
    <w:pPr>
      <w:pStyle w:val="13"/>
      <w:ind w:firstLine="360"/>
      <w:bidi/>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9934"/>
    </w:sdtPr>
    <w:sdtEndPr>
      <w:rPr>
        <w:sz w:val="21"/>
      </w:rPr>
    </w:sdtEndPr>
    <w:sdtContent>
      <w:p w14:paraId="223E32C6">
        <w:pPr>
          <w:pStyle w:val="13"/>
          <w:ind w:firstLine="360"/>
          <w:jc w:val="center"/>
          <w:rPr>
            <w:sz w:val="21"/>
            <w:rtl/>
          </w:rPr>
          <w:bidi/>
        </w:pPr>
        <w:r>
          <w:rPr>
            <w:sz w:val="21"/>
            <w:rtl/>
          </w:rPr>
          <w:fldChar w:fldCharType="begin"/>
        </w:r>
        <w:r>
          <w:rPr>
            <w:sz w:val="21"/>
            <w:rtl/>
          </w:rPr>
          <w:instrText xml:space="preserve">PAGE   \* MERGEFORMAT</w:instrText>
        </w:r>
        <w:r>
          <w:rPr>
            <w:sz w:val="21"/>
            <w:rtl/>
          </w:rPr>
          <w:fldChar w:fldCharType="separate"/>
        </w:r>
        <w:r>
          <w:rPr>
            <w:sz w:val="21"/>
            <w:lang w:val="zh-CN"/>
            <w:rtl/>
          </w:rPr>
          <w:t>29</w:t>
        </w:r>
        <w:r>
          <w:rPr>
            <w:sz w:val="21"/>
            <w:rtl/>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82018">
    <w:pPr>
      <w:pStyle w:val="14"/>
      <w:ind w:firstLine="630" w:firstLineChars="300"/>
      <w:jc w:val="both"/>
      <w:rPr>
        <w:rFonts w:ascii="宋体" w:hAnsi="宋体"/>
        <w:sz w:val="21"/>
        <w:szCs w:val="21"/>
        <w:rtl/>
      </w:rPr>
      <w:bidi/>
    </w:pPr>
    <w:r>
      <w:rPr>
        <w:rFonts w:ascii="宋体" w:hAnsi="宋体"/>
        <w:sz w:val="21"/>
        <w:szCs w:val="21"/>
        <w:rtl/>
      </w:rPr>
      <w:drawing>
        <wp:anchor distT="0" distB="0" distL="114300" distR="114300" simplePos="0" relativeHeight="251660288" behindDoc="0" locked="0" layoutInCell="1" allowOverlap="1">
          <wp:simplePos x="0" y="0"/>
          <wp:positionH relativeFrom="column">
            <wp:posOffset>-635</wp:posOffset>
          </wp:positionH>
          <wp:positionV relativeFrom="paragraph">
            <wp:posOffset>-217170</wp:posOffset>
          </wp:positionV>
          <wp:extent cx="372745" cy="344170"/>
          <wp:effectExtent l="0" t="0" r="8255" b="0"/>
          <wp:wrapSquare wrapText="bothSides"/>
          <wp:docPr id="67019376" name="图片 67019376" descr="em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9376" name="图片 67019376" descr="emb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72745" cy="344170"/>
                  </a:xfrm>
                  <a:prstGeom prst="rect">
                    <a:avLst/>
                  </a:prstGeom>
                  <a:noFill/>
                </pic:spPr>
              </pic:pic>
            </a:graphicData>
          </a:graphic>
        </wp:anchor>
      </w:drawing>
    </w:r>
    <w:r>
      <w:rPr>
        <w:rFonts w:hint="eastAsia" w:ascii="宋体" w:hAnsi="宋体"/>
        <w:sz w:val="21"/>
        <w:szCs w:val="21"/>
        <w:rtl/>
      </w:rPr>
      <w:t>شركة زانجيانغ لخدمات حقول النفط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B1C75">
    <w:pPr>
      <w:pStyle w:val="14"/>
      <w:ind w:firstLine="360"/>
      <w:bid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ABEDE">
    <w:pPr>
      <w:pStyle w:val="14"/>
      <w:ind w:firstLine="360"/>
      <w:bidi/>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475C0">
    <w:pPr>
      <w:pStyle w:val="14"/>
      <w:ind w:firstLine="720" w:firstLineChars="300"/>
      <w:jc w:val="both"/>
      <w:rPr>
        <w:rFonts w:ascii="仿宋" w:hAnsi="仿宋" w:eastAsia="仿宋"/>
        <w:sz w:val="24"/>
        <w:szCs w:val="24"/>
        <w:rtl/>
      </w:rPr>
      <w:bidi/>
    </w:pPr>
    <w:r>
      <w:rPr>
        <w:rFonts w:ascii="仿宋" w:hAnsi="仿宋" w:eastAsia="仿宋"/>
        <w:sz w:val="24"/>
        <w:szCs w:val="24"/>
        <w:rtl/>
      </w:rPr>
      <w:drawing>
        <wp:anchor distT="0" distB="0" distL="114300" distR="114300" simplePos="0" relativeHeight="251659264" behindDoc="0" locked="0" layoutInCell="1" allowOverlap="1">
          <wp:simplePos x="0" y="0"/>
          <wp:positionH relativeFrom="column">
            <wp:posOffset>-635</wp:posOffset>
          </wp:positionH>
          <wp:positionV relativeFrom="paragraph">
            <wp:posOffset>-217170</wp:posOffset>
          </wp:positionV>
          <wp:extent cx="372745" cy="344170"/>
          <wp:effectExtent l="0" t="0" r="8255" b="0"/>
          <wp:wrapSquare wrapText="bothSides"/>
          <wp:docPr id="1231796751" name="图片 1231796751" descr="emb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96751" name="图片 1231796751" descr="emb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72745" cy="344170"/>
                  </a:xfrm>
                  <a:prstGeom prst="rect">
                    <a:avLst/>
                  </a:prstGeom>
                  <a:noFill/>
                </pic:spPr>
              </pic:pic>
            </a:graphicData>
          </a:graphic>
        </wp:anchor>
      </w:drawing>
    </w:r>
    <w:r>
      <w:rPr>
        <w:rFonts w:hint="eastAsia" w:ascii="仿宋" w:hAnsi="仿宋" w:eastAsia="仿宋"/>
        <w:sz w:val="24"/>
        <w:szCs w:val="24"/>
        <w:rtl/>
      </w:rPr>
      <w:t>مركز تنفيذ الأعمال الخارجية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CACC8"/>
    <w:multiLevelType w:val="singleLevel"/>
    <w:tmpl w:val="8FDCACC8"/>
    <w:lvl w:ilvl="0" w:tentative="0">
      <w:start w:val="1"/>
      <w:numFmt w:val="chineseCounting"/>
      <w:suff w:val="nothing"/>
      <w:lvlText w:val="%1、"/>
      <w:lvlJc w:val="left"/>
      <w:pPr>
        <w:ind w:left="210" w:firstLine="420"/>
      </w:pPr>
      <w:rPr>
        <w:rFonts w:hint="eastAsia"/>
      </w:rPr>
    </w:lvl>
  </w:abstractNum>
  <w:abstractNum w:abstractNumId="1">
    <w:nsid w:val="98B5C3FA"/>
    <w:multiLevelType w:val="singleLevel"/>
    <w:tmpl w:val="98B5C3FA"/>
    <w:lvl w:ilvl="0" w:tentative="0">
      <w:start w:val="1"/>
      <w:numFmt w:val="decimal"/>
      <w:suff w:val="nothing"/>
      <w:lvlText w:val="%1、"/>
      <w:lvlJc w:val="left"/>
    </w:lvl>
  </w:abstractNum>
  <w:abstractNum w:abstractNumId="2">
    <w:nsid w:val="B4093595"/>
    <w:multiLevelType w:val="singleLevel"/>
    <w:tmpl w:val="B4093595"/>
    <w:lvl w:ilvl="0" w:tentative="0">
      <w:start w:val="1"/>
      <w:numFmt w:val="decimal"/>
      <w:suff w:val="nothing"/>
      <w:lvlText w:val="%1、"/>
      <w:lvlJc w:val="left"/>
    </w:lvl>
  </w:abstractNum>
  <w:abstractNum w:abstractNumId="3">
    <w:nsid w:val="BC45913E"/>
    <w:multiLevelType w:val="multilevel"/>
    <w:tmpl w:val="BC45913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D229A290"/>
    <w:multiLevelType w:val="singleLevel"/>
    <w:tmpl w:val="D229A290"/>
    <w:lvl w:ilvl="0" w:tentative="0">
      <w:start w:val="1"/>
      <w:numFmt w:val="decimal"/>
      <w:suff w:val="nothing"/>
      <w:lvlText w:val="%1、"/>
      <w:lvlJc w:val="left"/>
    </w:lvl>
  </w:abstractNum>
  <w:abstractNum w:abstractNumId="5">
    <w:nsid w:val="EF999C1D"/>
    <w:multiLevelType w:val="singleLevel"/>
    <w:tmpl w:val="EF999C1D"/>
    <w:lvl w:ilvl="0" w:tentative="0">
      <w:start w:val="2"/>
      <w:numFmt w:val="decimal"/>
      <w:lvlText w:val="%1."/>
      <w:lvlJc w:val="left"/>
      <w:pPr>
        <w:tabs>
          <w:tab w:val="left" w:pos="312"/>
        </w:tabs>
      </w:pPr>
    </w:lvl>
  </w:abstractNum>
  <w:abstractNum w:abstractNumId="6">
    <w:nsid w:val="2BA31993"/>
    <w:multiLevelType w:val="singleLevel"/>
    <w:tmpl w:val="2BA31993"/>
    <w:lvl w:ilvl="0" w:tentative="0">
      <w:start w:val="3"/>
      <w:numFmt w:val="chineseCounting"/>
      <w:suff w:val="nothing"/>
      <w:lvlText w:val="（%1）"/>
      <w:lvlJc w:val="left"/>
      <w:rPr>
        <w:rFonts w:hint="eastAsia"/>
      </w:rPr>
    </w:lvl>
  </w:abstractNum>
  <w:abstractNum w:abstractNumId="7">
    <w:nsid w:val="4418185D"/>
    <w:multiLevelType w:val="singleLevel"/>
    <w:tmpl w:val="4418185D"/>
    <w:lvl w:ilvl="0" w:tentative="0">
      <w:start w:val="1"/>
      <w:numFmt w:val="decimal"/>
      <w:suff w:val="nothing"/>
      <w:lvlText w:val="（%1）"/>
      <w:lvlJc w:val="left"/>
    </w:lvl>
  </w:abstractNum>
  <w:abstractNum w:abstractNumId="8">
    <w:nsid w:val="72CE047B"/>
    <w:multiLevelType w:val="singleLevel"/>
    <w:tmpl w:val="72CE047B"/>
    <w:lvl w:ilvl="0" w:tentative="0">
      <w:start w:val="1"/>
      <w:numFmt w:val="decimal"/>
      <w:suff w:val="nothing"/>
      <w:lvlText w:val="%1）"/>
      <w:lvlJc w:val="left"/>
    </w:lvl>
  </w:abstractNum>
  <w:num w:numId="1">
    <w:abstractNumId w:val="0"/>
  </w:num>
  <w:num w:numId="2">
    <w:abstractNumId w:val="8"/>
  </w:num>
  <w:num w:numId="3">
    <w:abstractNumId w:val="3"/>
  </w:num>
  <w:num w:numId="4">
    <w:abstractNumId w:val="2"/>
  </w:num>
  <w:num w:numId="5">
    <w:abstractNumId w:val="4"/>
  </w:num>
  <w:num w:numId="6">
    <w:abstractNumId w:val="1"/>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A1YTIyYTUyOWM0MDg2MWU0ODUzMTNkNTM3MzE0ZTEifQ=="/>
  </w:docVars>
  <w:rsids>
    <w:rsidRoot w:val="00172A27"/>
    <w:rsid w:val="00017009"/>
    <w:rsid w:val="00017030"/>
    <w:rsid w:val="00031318"/>
    <w:rsid w:val="00036603"/>
    <w:rsid w:val="00037CFE"/>
    <w:rsid w:val="000444BE"/>
    <w:rsid w:val="0004487A"/>
    <w:rsid w:val="000450C3"/>
    <w:rsid w:val="000475F1"/>
    <w:rsid w:val="00072F50"/>
    <w:rsid w:val="000764C9"/>
    <w:rsid w:val="00077D3E"/>
    <w:rsid w:val="00080F5A"/>
    <w:rsid w:val="00081A4F"/>
    <w:rsid w:val="000C081E"/>
    <w:rsid w:val="000D1BF4"/>
    <w:rsid w:val="001133CB"/>
    <w:rsid w:val="00124E40"/>
    <w:rsid w:val="00126597"/>
    <w:rsid w:val="0013119E"/>
    <w:rsid w:val="001455AE"/>
    <w:rsid w:val="00145726"/>
    <w:rsid w:val="001B7629"/>
    <w:rsid w:val="001C6593"/>
    <w:rsid w:val="001D230E"/>
    <w:rsid w:val="001D7147"/>
    <w:rsid w:val="001E07A9"/>
    <w:rsid w:val="001E1C03"/>
    <w:rsid w:val="001E7830"/>
    <w:rsid w:val="00221CE4"/>
    <w:rsid w:val="002242BC"/>
    <w:rsid w:val="0022472A"/>
    <w:rsid w:val="00232D96"/>
    <w:rsid w:val="00245428"/>
    <w:rsid w:val="00247E14"/>
    <w:rsid w:val="002B013D"/>
    <w:rsid w:val="002B209C"/>
    <w:rsid w:val="002B73CD"/>
    <w:rsid w:val="002C6ED6"/>
    <w:rsid w:val="002D74FB"/>
    <w:rsid w:val="002F7AE4"/>
    <w:rsid w:val="00324EDE"/>
    <w:rsid w:val="00330600"/>
    <w:rsid w:val="00330C6E"/>
    <w:rsid w:val="00333D02"/>
    <w:rsid w:val="00334300"/>
    <w:rsid w:val="003517F9"/>
    <w:rsid w:val="00355ED1"/>
    <w:rsid w:val="003571C0"/>
    <w:rsid w:val="003606CE"/>
    <w:rsid w:val="00365D13"/>
    <w:rsid w:val="003663CA"/>
    <w:rsid w:val="003C05F9"/>
    <w:rsid w:val="003F3464"/>
    <w:rsid w:val="00404BA4"/>
    <w:rsid w:val="0041252A"/>
    <w:rsid w:val="0042234C"/>
    <w:rsid w:val="00446B5D"/>
    <w:rsid w:val="0047448C"/>
    <w:rsid w:val="0047544E"/>
    <w:rsid w:val="00483183"/>
    <w:rsid w:val="00485198"/>
    <w:rsid w:val="00486CD0"/>
    <w:rsid w:val="004D2F19"/>
    <w:rsid w:val="004E275F"/>
    <w:rsid w:val="004E6560"/>
    <w:rsid w:val="0050003F"/>
    <w:rsid w:val="0051143C"/>
    <w:rsid w:val="00533545"/>
    <w:rsid w:val="00540131"/>
    <w:rsid w:val="00541015"/>
    <w:rsid w:val="005714CA"/>
    <w:rsid w:val="00573614"/>
    <w:rsid w:val="0057693A"/>
    <w:rsid w:val="005847A9"/>
    <w:rsid w:val="00590CBD"/>
    <w:rsid w:val="005B4AB7"/>
    <w:rsid w:val="005B4BE7"/>
    <w:rsid w:val="006139A1"/>
    <w:rsid w:val="00621ED7"/>
    <w:rsid w:val="00625E4B"/>
    <w:rsid w:val="006661B4"/>
    <w:rsid w:val="006745B6"/>
    <w:rsid w:val="00681DDE"/>
    <w:rsid w:val="006836BE"/>
    <w:rsid w:val="0069751D"/>
    <w:rsid w:val="006C760D"/>
    <w:rsid w:val="006D7D84"/>
    <w:rsid w:val="006E3BB3"/>
    <w:rsid w:val="0070628D"/>
    <w:rsid w:val="00706761"/>
    <w:rsid w:val="00710A9D"/>
    <w:rsid w:val="00711228"/>
    <w:rsid w:val="00747B17"/>
    <w:rsid w:val="00751B38"/>
    <w:rsid w:val="00764C3A"/>
    <w:rsid w:val="007A6A14"/>
    <w:rsid w:val="007A7266"/>
    <w:rsid w:val="007B0320"/>
    <w:rsid w:val="007D2B40"/>
    <w:rsid w:val="007D43E1"/>
    <w:rsid w:val="007E0A0A"/>
    <w:rsid w:val="007E135B"/>
    <w:rsid w:val="007E7A17"/>
    <w:rsid w:val="00803805"/>
    <w:rsid w:val="008135E8"/>
    <w:rsid w:val="00834872"/>
    <w:rsid w:val="0086197C"/>
    <w:rsid w:val="008628CA"/>
    <w:rsid w:val="0087167F"/>
    <w:rsid w:val="00880F29"/>
    <w:rsid w:val="008B63E5"/>
    <w:rsid w:val="008C27DE"/>
    <w:rsid w:val="008D5243"/>
    <w:rsid w:val="008F03AB"/>
    <w:rsid w:val="009511F1"/>
    <w:rsid w:val="009560BF"/>
    <w:rsid w:val="00994ADE"/>
    <w:rsid w:val="0099563A"/>
    <w:rsid w:val="009B5B3C"/>
    <w:rsid w:val="009C073F"/>
    <w:rsid w:val="009E0751"/>
    <w:rsid w:val="00A0442B"/>
    <w:rsid w:val="00A355DF"/>
    <w:rsid w:val="00A60F88"/>
    <w:rsid w:val="00A83066"/>
    <w:rsid w:val="00A83073"/>
    <w:rsid w:val="00A84F50"/>
    <w:rsid w:val="00AA54C6"/>
    <w:rsid w:val="00AB1D78"/>
    <w:rsid w:val="00AB71B7"/>
    <w:rsid w:val="00AE4587"/>
    <w:rsid w:val="00B01312"/>
    <w:rsid w:val="00B168A8"/>
    <w:rsid w:val="00B32A31"/>
    <w:rsid w:val="00B3736B"/>
    <w:rsid w:val="00B46405"/>
    <w:rsid w:val="00B52E4C"/>
    <w:rsid w:val="00B52E79"/>
    <w:rsid w:val="00B55600"/>
    <w:rsid w:val="00B95079"/>
    <w:rsid w:val="00BC0E1A"/>
    <w:rsid w:val="00BC11B4"/>
    <w:rsid w:val="00BE4646"/>
    <w:rsid w:val="00BF6616"/>
    <w:rsid w:val="00C108CE"/>
    <w:rsid w:val="00C12BFC"/>
    <w:rsid w:val="00C16E83"/>
    <w:rsid w:val="00C35B7F"/>
    <w:rsid w:val="00C54845"/>
    <w:rsid w:val="00C55BD2"/>
    <w:rsid w:val="00C601CE"/>
    <w:rsid w:val="00C704B5"/>
    <w:rsid w:val="00C75269"/>
    <w:rsid w:val="00CB2A5F"/>
    <w:rsid w:val="00CD3954"/>
    <w:rsid w:val="00CE342D"/>
    <w:rsid w:val="00D0087A"/>
    <w:rsid w:val="00D4363C"/>
    <w:rsid w:val="00D74C28"/>
    <w:rsid w:val="00D84F63"/>
    <w:rsid w:val="00DA4885"/>
    <w:rsid w:val="00DA520A"/>
    <w:rsid w:val="00DB3383"/>
    <w:rsid w:val="00DB53BC"/>
    <w:rsid w:val="00DC77A5"/>
    <w:rsid w:val="00DD7024"/>
    <w:rsid w:val="00DE19D3"/>
    <w:rsid w:val="00DE4404"/>
    <w:rsid w:val="00E040EA"/>
    <w:rsid w:val="00E10410"/>
    <w:rsid w:val="00E15875"/>
    <w:rsid w:val="00E206AE"/>
    <w:rsid w:val="00E369FD"/>
    <w:rsid w:val="00E570A1"/>
    <w:rsid w:val="00E80E59"/>
    <w:rsid w:val="00E86939"/>
    <w:rsid w:val="00EE0465"/>
    <w:rsid w:val="00EF1DC3"/>
    <w:rsid w:val="00EF4FB1"/>
    <w:rsid w:val="00EF632C"/>
    <w:rsid w:val="00F732C9"/>
    <w:rsid w:val="00F82A23"/>
    <w:rsid w:val="00F860F5"/>
    <w:rsid w:val="00FB36AF"/>
    <w:rsid w:val="00FC6BCC"/>
    <w:rsid w:val="00FE11E1"/>
    <w:rsid w:val="00FF3972"/>
    <w:rsid w:val="016E407C"/>
    <w:rsid w:val="01962115"/>
    <w:rsid w:val="01D76D14"/>
    <w:rsid w:val="02315CA0"/>
    <w:rsid w:val="026223A4"/>
    <w:rsid w:val="028E6071"/>
    <w:rsid w:val="02E1776D"/>
    <w:rsid w:val="03344B02"/>
    <w:rsid w:val="037074FF"/>
    <w:rsid w:val="0384147B"/>
    <w:rsid w:val="03AB257A"/>
    <w:rsid w:val="04425B09"/>
    <w:rsid w:val="04683455"/>
    <w:rsid w:val="04BA7D51"/>
    <w:rsid w:val="04E32CB3"/>
    <w:rsid w:val="04F3592C"/>
    <w:rsid w:val="04FD7CBA"/>
    <w:rsid w:val="056117E3"/>
    <w:rsid w:val="05B1634D"/>
    <w:rsid w:val="05C704EF"/>
    <w:rsid w:val="064918B1"/>
    <w:rsid w:val="07204109"/>
    <w:rsid w:val="07254247"/>
    <w:rsid w:val="07831E14"/>
    <w:rsid w:val="07866F3B"/>
    <w:rsid w:val="07A55701"/>
    <w:rsid w:val="07D065E6"/>
    <w:rsid w:val="080B7CBC"/>
    <w:rsid w:val="084160ED"/>
    <w:rsid w:val="08582197"/>
    <w:rsid w:val="085F2B11"/>
    <w:rsid w:val="08693942"/>
    <w:rsid w:val="086D2C20"/>
    <w:rsid w:val="08C835F4"/>
    <w:rsid w:val="08ED6E6B"/>
    <w:rsid w:val="0925575C"/>
    <w:rsid w:val="09436A8B"/>
    <w:rsid w:val="095B5927"/>
    <w:rsid w:val="09A92503"/>
    <w:rsid w:val="09AA4DA2"/>
    <w:rsid w:val="0A1F7B28"/>
    <w:rsid w:val="0A3700DF"/>
    <w:rsid w:val="0A4C18F1"/>
    <w:rsid w:val="0A6F14FA"/>
    <w:rsid w:val="0AA9663F"/>
    <w:rsid w:val="0AAA550E"/>
    <w:rsid w:val="0AD84D58"/>
    <w:rsid w:val="0AFB103F"/>
    <w:rsid w:val="0B765684"/>
    <w:rsid w:val="0BBF31CE"/>
    <w:rsid w:val="0BC41472"/>
    <w:rsid w:val="0BCF52F0"/>
    <w:rsid w:val="0C023D13"/>
    <w:rsid w:val="0C6E1E89"/>
    <w:rsid w:val="0CB27AE1"/>
    <w:rsid w:val="0CB62FDC"/>
    <w:rsid w:val="0CF573F8"/>
    <w:rsid w:val="0D4A6D5B"/>
    <w:rsid w:val="0E22564F"/>
    <w:rsid w:val="0E8A0CB9"/>
    <w:rsid w:val="0E90419B"/>
    <w:rsid w:val="0EA518FD"/>
    <w:rsid w:val="0EAF5AB2"/>
    <w:rsid w:val="0EC45D06"/>
    <w:rsid w:val="0F5E3A6B"/>
    <w:rsid w:val="0F896F10"/>
    <w:rsid w:val="0FAF169B"/>
    <w:rsid w:val="0FB3423F"/>
    <w:rsid w:val="0FB747A0"/>
    <w:rsid w:val="101B51E3"/>
    <w:rsid w:val="10555467"/>
    <w:rsid w:val="105A7962"/>
    <w:rsid w:val="10635C65"/>
    <w:rsid w:val="10D557DB"/>
    <w:rsid w:val="10F3685C"/>
    <w:rsid w:val="110113F5"/>
    <w:rsid w:val="112E5B17"/>
    <w:rsid w:val="11643698"/>
    <w:rsid w:val="1186164E"/>
    <w:rsid w:val="11A77DD3"/>
    <w:rsid w:val="11D66F71"/>
    <w:rsid w:val="11E206E3"/>
    <w:rsid w:val="11EB5F69"/>
    <w:rsid w:val="12072620"/>
    <w:rsid w:val="12370726"/>
    <w:rsid w:val="1248718E"/>
    <w:rsid w:val="125473DE"/>
    <w:rsid w:val="125D020D"/>
    <w:rsid w:val="126B2BC5"/>
    <w:rsid w:val="127318EF"/>
    <w:rsid w:val="128628E9"/>
    <w:rsid w:val="12B9303C"/>
    <w:rsid w:val="136308EE"/>
    <w:rsid w:val="13871C6A"/>
    <w:rsid w:val="13B81E24"/>
    <w:rsid w:val="13F217DA"/>
    <w:rsid w:val="1473406C"/>
    <w:rsid w:val="149A0C5C"/>
    <w:rsid w:val="15051E29"/>
    <w:rsid w:val="15132E59"/>
    <w:rsid w:val="1539355E"/>
    <w:rsid w:val="15CE2823"/>
    <w:rsid w:val="15F0378C"/>
    <w:rsid w:val="164A35DB"/>
    <w:rsid w:val="16775290"/>
    <w:rsid w:val="16BE72DC"/>
    <w:rsid w:val="16C54C62"/>
    <w:rsid w:val="173304FE"/>
    <w:rsid w:val="1754706A"/>
    <w:rsid w:val="177E360D"/>
    <w:rsid w:val="17923155"/>
    <w:rsid w:val="17A14677"/>
    <w:rsid w:val="17A732E5"/>
    <w:rsid w:val="17A74930"/>
    <w:rsid w:val="17B7090E"/>
    <w:rsid w:val="17D15DB5"/>
    <w:rsid w:val="17DD3196"/>
    <w:rsid w:val="17E618ED"/>
    <w:rsid w:val="17FA6EAF"/>
    <w:rsid w:val="182C7B43"/>
    <w:rsid w:val="18920868"/>
    <w:rsid w:val="18F52842"/>
    <w:rsid w:val="193B777F"/>
    <w:rsid w:val="193D41F8"/>
    <w:rsid w:val="196717B9"/>
    <w:rsid w:val="1969287C"/>
    <w:rsid w:val="19A370D2"/>
    <w:rsid w:val="19AC41D9"/>
    <w:rsid w:val="19C31523"/>
    <w:rsid w:val="19CD414F"/>
    <w:rsid w:val="19E155B6"/>
    <w:rsid w:val="19FB0462"/>
    <w:rsid w:val="1A143F41"/>
    <w:rsid w:val="1A3D4D7A"/>
    <w:rsid w:val="1A670889"/>
    <w:rsid w:val="1ADF0793"/>
    <w:rsid w:val="1BAA1D73"/>
    <w:rsid w:val="1BBA095C"/>
    <w:rsid w:val="1BCF285C"/>
    <w:rsid w:val="1BF12512"/>
    <w:rsid w:val="1C192E8A"/>
    <w:rsid w:val="1C1F2209"/>
    <w:rsid w:val="1C3123B9"/>
    <w:rsid w:val="1C3E3D4A"/>
    <w:rsid w:val="1C3E5C23"/>
    <w:rsid w:val="1C8A7EE2"/>
    <w:rsid w:val="1CAB3242"/>
    <w:rsid w:val="1CE13D5A"/>
    <w:rsid w:val="1D4F19E5"/>
    <w:rsid w:val="1D9C4722"/>
    <w:rsid w:val="1DBA4F4F"/>
    <w:rsid w:val="1DF60118"/>
    <w:rsid w:val="1E0C3498"/>
    <w:rsid w:val="1E3723A2"/>
    <w:rsid w:val="1E4303B3"/>
    <w:rsid w:val="1E703800"/>
    <w:rsid w:val="1E7F69EC"/>
    <w:rsid w:val="1EF108E0"/>
    <w:rsid w:val="1F132604"/>
    <w:rsid w:val="1F69791E"/>
    <w:rsid w:val="1FB00D15"/>
    <w:rsid w:val="1FD24341"/>
    <w:rsid w:val="1FFD4A7C"/>
    <w:rsid w:val="20052C14"/>
    <w:rsid w:val="203A6F2C"/>
    <w:rsid w:val="203F13D1"/>
    <w:rsid w:val="20686980"/>
    <w:rsid w:val="20BA367F"/>
    <w:rsid w:val="21447AE5"/>
    <w:rsid w:val="215757C2"/>
    <w:rsid w:val="21624772"/>
    <w:rsid w:val="218750F3"/>
    <w:rsid w:val="21EF7402"/>
    <w:rsid w:val="226513EB"/>
    <w:rsid w:val="228C453A"/>
    <w:rsid w:val="22B32947"/>
    <w:rsid w:val="230F0630"/>
    <w:rsid w:val="23452FA8"/>
    <w:rsid w:val="239F796D"/>
    <w:rsid w:val="23B376C3"/>
    <w:rsid w:val="23F30609"/>
    <w:rsid w:val="23FC5A72"/>
    <w:rsid w:val="241F2752"/>
    <w:rsid w:val="247B413B"/>
    <w:rsid w:val="24C353ED"/>
    <w:rsid w:val="25050335"/>
    <w:rsid w:val="258C5B68"/>
    <w:rsid w:val="25D52B53"/>
    <w:rsid w:val="25F018B8"/>
    <w:rsid w:val="269674DE"/>
    <w:rsid w:val="276B40B8"/>
    <w:rsid w:val="27703526"/>
    <w:rsid w:val="27F67554"/>
    <w:rsid w:val="287A3F3F"/>
    <w:rsid w:val="28AF0174"/>
    <w:rsid w:val="29071402"/>
    <w:rsid w:val="291F1F46"/>
    <w:rsid w:val="2941403E"/>
    <w:rsid w:val="29FD45DD"/>
    <w:rsid w:val="2A092F82"/>
    <w:rsid w:val="2A2340B5"/>
    <w:rsid w:val="2A731CFA"/>
    <w:rsid w:val="2A752F2D"/>
    <w:rsid w:val="2AE9427A"/>
    <w:rsid w:val="2B1264B8"/>
    <w:rsid w:val="2B281A80"/>
    <w:rsid w:val="2B3212BA"/>
    <w:rsid w:val="2B3530FD"/>
    <w:rsid w:val="2B3F40CA"/>
    <w:rsid w:val="2B7D5B67"/>
    <w:rsid w:val="2B850C5C"/>
    <w:rsid w:val="2B8A3EF1"/>
    <w:rsid w:val="2BE1588C"/>
    <w:rsid w:val="2C0547C6"/>
    <w:rsid w:val="2C094BE1"/>
    <w:rsid w:val="2C275941"/>
    <w:rsid w:val="2C7E5774"/>
    <w:rsid w:val="2CA95159"/>
    <w:rsid w:val="2CCE2260"/>
    <w:rsid w:val="2D050412"/>
    <w:rsid w:val="2D095101"/>
    <w:rsid w:val="2D0A773C"/>
    <w:rsid w:val="2D1F2D15"/>
    <w:rsid w:val="2D31727E"/>
    <w:rsid w:val="2D925D74"/>
    <w:rsid w:val="2DF03954"/>
    <w:rsid w:val="2E2A46B5"/>
    <w:rsid w:val="2E3118D8"/>
    <w:rsid w:val="2E4366B6"/>
    <w:rsid w:val="2EFB404B"/>
    <w:rsid w:val="2F3A2F2B"/>
    <w:rsid w:val="2F42232A"/>
    <w:rsid w:val="2F762E9E"/>
    <w:rsid w:val="2FA76EBB"/>
    <w:rsid w:val="2FD560DB"/>
    <w:rsid w:val="2FDE077A"/>
    <w:rsid w:val="3068655D"/>
    <w:rsid w:val="313B7685"/>
    <w:rsid w:val="313D38BB"/>
    <w:rsid w:val="315C34E5"/>
    <w:rsid w:val="3168491E"/>
    <w:rsid w:val="31712F39"/>
    <w:rsid w:val="31D772B9"/>
    <w:rsid w:val="31E33B03"/>
    <w:rsid w:val="3218343D"/>
    <w:rsid w:val="32321FB2"/>
    <w:rsid w:val="32576FEA"/>
    <w:rsid w:val="32625C67"/>
    <w:rsid w:val="32690A61"/>
    <w:rsid w:val="32F87FBB"/>
    <w:rsid w:val="32FC18D5"/>
    <w:rsid w:val="3379515C"/>
    <w:rsid w:val="33B026C0"/>
    <w:rsid w:val="33D834CC"/>
    <w:rsid w:val="33DC1707"/>
    <w:rsid w:val="34172F02"/>
    <w:rsid w:val="347B3159"/>
    <w:rsid w:val="34A07D9E"/>
    <w:rsid w:val="34BB4172"/>
    <w:rsid w:val="354E2190"/>
    <w:rsid w:val="35B5395F"/>
    <w:rsid w:val="35DB570C"/>
    <w:rsid w:val="36387D8E"/>
    <w:rsid w:val="36540174"/>
    <w:rsid w:val="366B28CE"/>
    <w:rsid w:val="368A2FC8"/>
    <w:rsid w:val="368E138D"/>
    <w:rsid w:val="369866F9"/>
    <w:rsid w:val="369D7429"/>
    <w:rsid w:val="36A7711A"/>
    <w:rsid w:val="36D265FE"/>
    <w:rsid w:val="36DF69B4"/>
    <w:rsid w:val="36EC76E9"/>
    <w:rsid w:val="36F81D42"/>
    <w:rsid w:val="370D0BFE"/>
    <w:rsid w:val="370E6B23"/>
    <w:rsid w:val="37135FFA"/>
    <w:rsid w:val="38186543"/>
    <w:rsid w:val="381F1234"/>
    <w:rsid w:val="38510CC6"/>
    <w:rsid w:val="39020C2B"/>
    <w:rsid w:val="3936187C"/>
    <w:rsid w:val="39496124"/>
    <w:rsid w:val="395725AB"/>
    <w:rsid w:val="399B18CF"/>
    <w:rsid w:val="39AE201F"/>
    <w:rsid w:val="3A253FAF"/>
    <w:rsid w:val="3A661D2A"/>
    <w:rsid w:val="3A6B210B"/>
    <w:rsid w:val="3A84273D"/>
    <w:rsid w:val="3A8A2E97"/>
    <w:rsid w:val="3B091A37"/>
    <w:rsid w:val="3B473FEC"/>
    <w:rsid w:val="3BC54712"/>
    <w:rsid w:val="3BC76BFF"/>
    <w:rsid w:val="3BED055F"/>
    <w:rsid w:val="3C897613"/>
    <w:rsid w:val="3CA930DF"/>
    <w:rsid w:val="3CBF186F"/>
    <w:rsid w:val="3CE02F3E"/>
    <w:rsid w:val="3D2E5FAF"/>
    <w:rsid w:val="3D6B21B9"/>
    <w:rsid w:val="3D9D4A23"/>
    <w:rsid w:val="3DE11D2F"/>
    <w:rsid w:val="3E386E20"/>
    <w:rsid w:val="3EA639AA"/>
    <w:rsid w:val="3EC7270D"/>
    <w:rsid w:val="3EFE7057"/>
    <w:rsid w:val="3F0422BB"/>
    <w:rsid w:val="3F7C1A35"/>
    <w:rsid w:val="40023D28"/>
    <w:rsid w:val="40901739"/>
    <w:rsid w:val="409E758E"/>
    <w:rsid w:val="40E952E6"/>
    <w:rsid w:val="4115114B"/>
    <w:rsid w:val="417A195E"/>
    <w:rsid w:val="41896451"/>
    <w:rsid w:val="41FC65D1"/>
    <w:rsid w:val="427C5BAF"/>
    <w:rsid w:val="42F1180C"/>
    <w:rsid w:val="430405A3"/>
    <w:rsid w:val="430449CB"/>
    <w:rsid w:val="43075E14"/>
    <w:rsid w:val="434A043B"/>
    <w:rsid w:val="437B05F4"/>
    <w:rsid w:val="437D5881"/>
    <w:rsid w:val="43C071B6"/>
    <w:rsid w:val="443D3FBF"/>
    <w:rsid w:val="44C24001"/>
    <w:rsid w:val="44C744E6"/>
    <w:rsid w:val="44CB096E"/>
    <w:rsid w:val="450C4F2A"/>
    <w:rsid w:val="454C4F09"/>
    <w:rsid w:val="45515F3F"/>
    <w:rsid w:val="45BE5977"/>
    <w:rsid w:val="45EE7D8D"/>
    <w:rsid w:val="460C34F8"/>
    <w:rsid w:val="460C46CA"/>
    <w:rsid w:val="46207231"/>
    <w:rsid w:val="466A1D89"/>
    <w:rsid w:val="46803BAA"/>
    <w:rsid w:val="4727783E"/>
    <w:rsid w:val="472F7CF0"/>
    <w:rsid w:val="48144397"/>
    <w:rsid w:val="48175F8B"/>
    <w:rsid w:val="481F381D"/>
    <w:rsid w:val="488D21AF"/>
    <w:rsid w:val="48A77FF3"/>
    <w:rsid w:val="48C75521"/>
    <w:rsid w:val="48DC7713"/>
    <w:rsid w:val="48E74F2A"/>
    <w:rsid w:val="49316B3C"/>
    <w:rsid w:val="493406A8"/>
    <w:rsid w:val="4A314271"/>
    <w:rsid w:val="4A6E0B40"/>
    <w:rsid w:val="4A950EA4"/>
    <w:rsid w:val="4AAD305D"/>
    <w:rsid w:val="4ACA3C0F"/>
    <w:rsid w:val="4B411887"/>
    <w:rsid w:val="4B44280B"/>
    <w:rsid w:val="4B6C617A"/>
    <w:rsid w:val="4B923002"/>
    <w:rsid w:val="4BB50541"/>
    <w:rsid w:val="4C43492C"/>
    <w:rsid w:val="4C5D11DF"/>
    <w:rsid w:val="4C5D3614"/>
    <w:rsid w:val="4C933F7B"/>
    <w:rsid w:val="4CDC5D58"/>
    <w:rsid w:val="4CFF4CB4"/>
    <w:rsid w:val="4D0D1DF7"/>
    <w:rsid w:val="4D155E8C"/>
    <w:rsid w:val="4D2C48AA"/>
    <w:rsid w:val="4D2D580B"/>
    <w:rsid w:val="4D6935E3"/>
    <w:rsid w:val="4D711B1B"/>
    <w:rsid w:val="4DB646DA"/>
    <w:rsid w:val="4DB82445"/>
    <w:rsid w:val="4E141324"/>
    <w:rsid w:val="4E477721"/>
    <w:rsid w:val="4E63280D"/>
    <w:rsid w:val="4EC217CD"/>
    <w:rsid w:val="4EF13E61"/>
    <w:rsid w:val="4EFB6031"/>
    <w:rsid w:val="4F1D45B9"/>
    <w:rsid w:val="4F253869"/>
    <w:rsid w:val="4F443F90"/>
    <w:rsid w:val="4F9375A4"/>
    <w:rsid w:val="4FB6709E"/>
    <w:rsid w:val="501429EF"/>
    <w:rsid w:val="501B3C78"/>
    <w:rsid w:val="501E0480"/>
    <w:rsid w:val="504555E4"/>
    <w:rsid w:val="50527BEC"/>
    <w:rsid w:val="5091713A"/>
    <w:rsid w:val="509C604E"/>
    <w:rsid w:val="50D27D72"/>
    <w:rsid w:val="511C3089"/>
    <w:rsid w:val="512457AF"/>
    <w:rsid w:val="515A427B"/>
    <w:rsid w:val="5190705D"/>
    <w:rsid w:val="51BB4A8F"/>
    <w:rsid w:val="51E57DEC"/>
    <w:rsid w:val="51FF2B94"/>
    <w:rsid w:val="525513A4"/>
    <w:rsid w:val="528043E7"/>
    <w:rsid w:val="5288688A"/>
    <w:rsid w:val="52ED4D9B"/>
    <w:rsid w:val="53113099"/>
    <w:rsid w:val="534F1156"/>
    <w:rsid w:val="53614D5A"/>
    <w:rsid w:val="5363025D"/>
    <w:rsid w:val="538E5BEB"/>
    <w:rsid w:val="53A94D0A"/>
    <w:rsid w:val="53AA2830"/>
    <w:rsid w:val="53EA723C"/>
    <w:rsid w:val="541C6F75"/>
    <w:rsid w:val="541D768B"/>
    <w:rsid w:val="542F591B"/>
    <w:rsid w:val="54B9085B"/>
    <w:rsid w:val="553D0DE7"/>
    <w:rsid w:val="558570B1"/>
    <w:rsid w:val="55B023EA"/>
    <w:rsid w:val="55B65A3B"/>
    <w:rsid w:val="55CC73D2"/>
    <w:rsid w:val="562C598F"/>
    <w:rsid w:val="568A3285"/>
    <w:rsid w:val="569B0D24"/>
    <w:rsid w:val="5714516A"/>
    <w:rsid w:val="571A2635"/>
    <w:rsid w:val="574644E4"/>
    <w:rsid w:val="57814548"/>
    <w:rsid w:val="578B4448"/>
    <w:rsid w:val="57962F8E"/>
    <w:rsid w:val="57F350B8"/>
    <w:rsid w:val="58616975"/>
    <w:rsid w:val="58E02CE7"/>
    <w:rsid w:val="58F47BFE"/>
    <w:rsid w:val="58F5279F"/>
    <w:rsid w:val="58FD43FD"/>
    <w:rsid w:val="59447E24"/>
    <w:rsid w:val="59B908D3"/>
    <w:rsid w:val="59EF3319"/>
    <w:rsid w:val="5A2D0C00"/>
    <w:rsid w:val="5A9B2D2B"/>
    <w:rsid w:val="5AC93A39"/>
    <w:rsid w:val="5AF42D38"/>
    <w:rsid w:val="5B433C96"/>
    <w:rsid w:val="5BA57168"/>
    <w:rsid w:val="5BC12FED"/>
    <w:rsid w:val="5C052271"/>
    <w:rsid w:val="5C2C0286"/>
    <w:rsid w:val="5C4173DE"/>
    <w:rsid w:val="5C710EE5"/>
    <w:rsid w:val="5C807111"/>
    <w:rsid w:val="5CD87E4F"/>
    <w:rsid w:val="5D136050"/>
    <w:rsid w:val="5D1A4582"/>
    <w:rsid w:val="5D786B64"/>
    <w:rsid w:val="5E303D22"/>
    <w:rsid w:val="5E652696"/>
    <w:rsid w:val="5E7F11BF"/>
    <w:rsid w:val="5EC11478"/>
    <w:rsid w:val="5ED92B56"/>
    <w:rsid w:val="5EDE0D40"/>
    <w:rsid w:val="5EEA6F44"/>
    <w:rsid w:val="5F08516B"/>
    <w:rsid w:val="5F3828C7"/>
    <w:rsid w:val="5F4061E9"/>
    <w:rsid w:val="5F530EF2"/>
    <w:rsid w:val="5F642015"/>
    <w:rsid w:val="5F6B1E1C"/>
    <w:rsid w:val="5F7A4201"/>
    <w:rsid w:val="5F8B79B9"/>
    <w:rsid w:val="5FA6067D"/>
    <w:rsid w:val="5FF82CFA"/>
    <w:rsid w:val="5FFE33B0"/>
    <w:rsid w:val="60321A79"/>
    <w:rsid w:val="609729E0"/>
    <w:rsid w:val="60B8432C"/>
    <w:rsid w:val="610918AD"/>
    <w:rsid w:val="611068F3"/>
    <w:rsid w:val="614B07BE"/>
    <w:rsid w:val="617B08C5"/>
    <w:rsid w:val="61874A61"/>
    <w:rsid w:val="6198332B"/>
    <w:rsid w:val="61CC0673"/>
    <w:rsid w:val="61D2220B"/>
    <w:rsid w:val="6213382A"/>
    <w:rsid w:val="622F5D3A"/>
    <w:rsid w:val="62A41709"/>
    <w:rsid w:val="62AC7970"/>
    <w:rsid w:val="62BE0F0F"/>
    <w:rsid w:val="630A1CA6"/>
    <w:rsid w:val="630C065E"/>
    <w:rsid w:val="636B232C"/>
    <w:rsid w:val="639C701E"/>
    <w:rsid w:val="639D7EB8"/>
    <w:rsid w:val="63AD5072"/>
    <w:rsid w:val="63DF2082"/>
    <w:rsid w:val="63FB6398"/>
    <w:rsid w:val="64134C74"/>
    <w:rsid w:val="6416738F"/>
    <w:rsid w:val="648C12A9"/>
    <w:rsid w:val="64DE1273"/>
    <w:rsid w:val="64DF02B0"/>
    <w:rsid w:val="65442AE4"/>
    <w:rsid w:val="65534828"/>
    <w:rsid w:val="65761001"/>
    <w:rsid w:val="65822ACA"/>
    <w:rsid w:val="659F6A49"/>
    <w:rsid w:val="65A472CB"/>
    <w:rsid w:val="65B423B8"/>
    <w:rsid w:val="65EE2A50"/>
    <w:rsid w:val="66660838"/>
    <w:rsid w:val="67024BFB"/>
    <w:rsid w:val="672158C0"/>
    <w:rsid w:val="67641F80"/>
    <w:rsid w:val="67A21425"/>
    <w:rsid w:val="67C43F65"/>
    <w:rsid w:val="67EE3014"/>
    <w:rsid w:val="684C53AD"/>
    <w:rsid w:val="686E1C26"/>
    <w:rsid w:val="68963089"/>
    <w:rsid w:val="69720811"/>
    <w:rsid w:val="699B34A5"/>
    <w:rsid w:val="699C2751"/>
    <w:rsid w:val="69F72FE2"/>
    <w:rsid w:val="6A641591"/>
    <w:rsid w:val="6A723C50"/>
    <w:rsid w:val="6A955BDF"/>
    <w:rsid w:val="6A9D376D"/>
    <w:rsid w:val="6AA9520C"/>
    <w:rsid w:val="6B2C4DEF"/>
    <w:rsid w:val="6B973810"/>
    <w:rsid w:val="6BD46244"/>
    <w:rsid w:val="6BF17866"/>
    <w:rsid w:val="6C737D05"/>
    <w:rsid w:val="6CA81BAB"/>
    <w:rsid w:val="6CF372EB"/>
    <w:rsid w:val="6CF52222"/>
    <w:rsid w:val="6D1A398C"/>
    <w:rsid w:val="6D3F0686"/>
    <w:rsid w:val="6D480C98"/>
    <w:rsid w:val="6D4E0423"/>
    <w:rsid w:val="6DD32C57"/>
    <w:rsid w:val="6DDD46C9"/>
    <w:rsid w:val="6DF439EB"/>
    <w:rsid w:val="6DF61DA0"/>
    <w:rsid w:val="6E1D39B2"/>
    <w:rsid w:val="6E21255C"/>
    <w:rsid w:val="6E5D326F"/>
    <w:rsid w:val="6E7F693B"/>
    <w:rsid w:val="6EFD003E"/>
    <w:rsid w:val="6F2E4AF3"/>
    <w:rsid w:val="6F880E83"/>
    <w:rsid w:val="6F9C33F0"/>
    <w:rsid w:val="6FE70627"/>
    <w:rsid w:val="6FEC17EA"/>
    <w:rsid w:val="70140E3E"/>
    <w:rsid w:val="701B0128"/>
    <w:rsid w:val="701B1D7B"/>
    <w:rsid w:val="702750DF"/>
    <w:rsid w:val="7030429F"/>
    <w:rsid w:val="70821D9D"/>
    <w:rsid w:val="70B41C29"/>
    <w:rsid w:val="70E16DEA"/>
    <w:rsid w:val="714E48D5"/>
    <w:rsid w:val="718D0958"/>
    <w:rsid w:val="71E5266B"/>
    <w:rsid w:val="721F47DE"/>
    <w:rsid w:val="7249173A"/>
    <w:rsid w:val="73311008"/>
    <w:rsid w:val="733E234E"/>
    <w:rsid w:val="73B260DF"/>
    <w:rsid w:val="73CA3E50"/>
    <w:rsid w:val="73D232EE"/>
    <w:rsid w:val="74130252"/>
    <w:rsid w:val="742175AA"/>
    <w:rsid w:val="7438280E"/>
    <w:rsid w:val="74FD54DA"/>
    <w:rsid w:val="75035169"/>
    <w:rsid w:val="753B1D28"/>
    <w:rsid w:val="755E4A6D"/>
    <w:rsid w:val="75CA215D"/>
    <w:rsid w:val="75DE00BA"/>
    <w:rsid w:val="76091715"/>
    <w:rsid w:val="762F2F52"/>
    <w:rsid w:val="76564426"/>
    <w:rsid w:val="765E152C"/>
    <w:rsid w:val="765E373E"/>
    <w:rsid w:val="7686733F"/>
    <w:rsid w:val="76946D2C"/>
    <w:rsid w:val="76D07B56"/>
    <w:rsid w:val="772C4B9F"/>
    <w:rsid w:val="773C312D"/>
    <w:rsid w:val="77571758"/>
    <w:rsid w:val="775A2C09"/>
    <w:rsid w:val="775B051A"/>
    <w:rsid w:val="77627530"/>
    <w:rsid w:val="77775173"/>
    <w:rsid w:val="779C59FE"/>
    <w:rsid w:val="77D45F4A"/>
    <w:rsid w:val="7825618E"/>
    <w:rsid w:val="785051F3"/>
    <w:rsid w:val="78956BE1"/>
    <w:rsid w:val="78E74094"/>
    <w:rsid w:val="79132ACE"/>
    <w:rsid w:val="791871BB"/>
    <w:rsid w:val="7968243D"/>
    <w:rsid w:val="79702F11"/>
    <w:rsid w:val="799E1EE9"/>
    <w:rsid w:val="79B732F5"/>
    <w:rsid w:val="79BF4913"/>
    <w:rsid w:val="79CE7E8D"/>
    <w:rsid w:val="79D71B6D"/>
    <w:rsid w:val="79F31535"/>
    <w:rsid w:val="7A2E1215"/>
    <w:rsid w:val="7A9940E0"/>
    <w:rsid w:val="7B334D95"/>
    <w:rsid w:val="7B6926AB"/>
    <w:rsid w:val="7B8F5CDE"/>
    <w:rsid w:val="7BB87071"/>
    <w:rsid w:val="7BBE147F"/>
    <w:rsid w:val="7BE607FA"/>
    <w:rsid w:val="7BF54FE9"/>
    <w:rsid w:val="7C1B4B69"/>
    <w:rsid w:val="7C2D4D38"/>
    <w:rsid w:val="7C7620C0"/>
    <w:rsid w:val="7CCF01D0"/>
    <w:rsid w:val="7D1257C1"/>
    <w:rsid w:val="7D603342"/>
    <w:rsid w:val="7D8009E4"/>
    <w:rsid w:val="7D976D86"/>
    <w:rsid w:val="7DBB1012"/>
    <w:rsid w:val="7DD772A9"/>
    <w:rsid w:val="7DF71773"/>
    <w:rsid w:val="7DFC296D"/>
    <w:rsid w:val="7E4A3359"/>
    <w:rsid w:val="7E5F5050"/>
    <w:rsid w:val="7E603A78"/>
    <w:rsid w:val="7EB10945"/>
    <w:rsid w:val="7EC76416"/>
    <w:rsid w:val="7EDE1441"/>
    <w:rsid w:val="7EEA7E01"/>
    <w:rsid w:val="7EFA4282"/>
    <w:rsid w:val="7F0215EE"/>
    <w:rsid w:val="7F155D13"/>
    <w:rsid w:val="7F297554"/>
    <w:rsid w:val="7F3F4AD1"/>
    <w:rsid w:val="7F824A6E"/>
    <w:rsid w:val="7FA07BDB"/>
    <w:rsid w:val="7FB47ADA"/>
    <w:rsid w:val="7FBA36BC"/>
    <w:rsid w:val="DFBF7373"/>
    <w:rsid w:val="EABAEE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3"/>
    <w:next w:val="1"/>
    <w:link w:val="30"/>
    <w:qFormat/>
    <w:uiPriority w:val="9"/>
    <w:pPr>
      <w:spacing w:before="50" w:beforeLines="50"/>
      <w:outlineLvl w:val="0"/>
    </w:pPr>
    <w:rPr>
      <w:rFonts w:asciiTheme="minorHAnsi" w:hAnsiTheme="minorHAnsi"/>
      <w:bCs/>
      <w:kern w:val="44"/>
      <w:sz w:val="30"/>
      <w:szCs w:val="44"/>
    </w:rPr>
  </w:style>
  <w:style w:type="paragraph" w:styleId="3">
    <w:name w:val="heading 2"/>
    <w:basedOn w:val="1"/>
    <w:next w:val="1"/>
    <w:link w:val="31"/>
    <w:unhideWhenUsed/>
    <w:qFormat/>
    <w:uiPriority w:val="9"/>
    <w:pPr>
      <w:keepNext/>
      <w:keepLines/>
      <w:spacing w:before="140" w:after="140" w:line="360" w:lineRule="auto"/>
      <w:ind w:firstLine="480" w:firstLineChars="200"/>
      <w:jc w:val="left"/>
      <w:outlineLvl w:val="1"/>
    </w:pPr>
    <w:rPr>
      <w:rFonts w:cs="宋体" w:asciiTheme="majorHAnsi" w:hAnsiTheme="majorHAnsi"/>
      <w:b/>
      <w:sz w:val="28"/>
      <w:szCs w:val="28"/>
    </w:rPr>
  </w:style>
  <w:style w:type="paragraph" w:styleId="4">
    <w:name w:val="heading 3"/>
    <w:basedOn w:val="1"/>
    <w:next w:val="1"/>
    <w:link w:val="32"/>
    <w:qFormat/>
    <w:uiPriority w:val="9"/>
    <w:pPr>
      <w:keepNext/>
      <w:keepLines/>
      <w:spacing w:before="260" w:after="260" w:line="416" w:lineRule="auto"/>
      <w:ind w:firstLine="480" w:firstLineChars="200"/>
      <w:jc w:val="left"/>
      <w:outlineLvl w:val="2"/>
    </w:pPr>
    <w:rPr>
      <w:rFonts w:asciiTheme="minorHAnsi" w:hAnsiTheme="minorHAnsi" w:eastAsiaTheme="minorEastAsia" w:cstheme="minorBidi"/>
      <w:b/>
      <w:bCs/>
      <w:sz w:val="30"/>
      <w:szCs w:val="32"/>
    </w:rPr>
  </w:style>
  <w:style w:type="paragraph" w:styleId="5">
    <w:name w:val="heading 4"/>
    <w:basedOn w:val="1"/>
    <w:next w:val="1"/>
    <w:link w:val="33"/>
    <w:unhideWhenUsed/>
    <w:qFormat/>
    <w:uiPriority w:val="9"/>
    <w:pPr>
      <w:keepNext/>
      <w:keepLines/>
      <w:spacing w:before="280" w:after="290" w:line="372" w:lineRule="auto"/>
      <w:ind w:firstLine="480" w:firstLineChars="200"/>
      <w:jc w:val="left"/>
      <w:outlineLvl w:val="3"/>
    </w:pPr>
    <w:rPr>
      <w:rFonts w:ascii="Arial" w:hAnsi="Arial" w:eastAsia="黑体" w:cstheme="minorBidi"/>
      <w:b/>
      <w:sz w:val="28"/>
      <w:szCs w:val="22"/>
    </w:rPr>
  </w:style>
  <w:style w:type="paragraph" w:styleId="6">
    <w:name w:val="heading 5"/>
    <w:basedOn w:val="1"/>
    <w:next w:val="1"/>
    <w:link w:val="34"/>
    <w:unhideWhenUsed/>
    <w:qFormat/>
    <w:uiPriority w:val="9"/>
    <w:pPr>
      <w:keepNext/>
      <w:keepLines/>
      <w:widowControl/>
      <w:overflowPunct w:val="0"/>
      <w:autoSpaceDE w:val="0"/>
      <w:autoSpaceDN w:val="0"/>
      <w:adjustRightInd w:val="0"/>
      <w:spacing w:after="50" w:afterLines="50" w:line="372" w:lineRule="auto"/>
      <w:ind w:firstLine="480" w:firstLineChars="200"/>
      <w:jc w:val="left"/>
      <w:textAlignment w:val="baseline"/>
      <w:outlineLvl w:val="4"/>
    </w:pPr>
    <w:rPr>
      <w:rFonts w:ascii="宋体" w:hAnsi="宋体"/>
      <w:b/>
      <w:bCs/>
      <w:kern w:val="0"/>
      <w:sz w:val="24"/>
      <w:lang w:eastAsia="en-US"/>
    </w:rPr>
  </w:style>
  <w:style w:type="character" w:default="1" w:styleId="21">
    <w:name w:val="Default Paragraph Font"/>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uiPriority w:val="35"/>
    <w:pPr>
      <w:ind w:firstLine="480" w:firstLineChars="200"/>
      <w:jc w:val="left"/>
    </w:pPr>
    <w:rPr>
      <w:rFonts w:ascii="Cambria" w:hAnsi="Cambria" w:eastAsia="黑体"/>
      <w:sz w:val="20"/>
      <w:szCs w:val="20"/>
    </w:rPr>
  </w:style>
  <w:style w:type="paragraph" w:styleId="8">
    <w:name w:val="annotation text"/>
    <w:basedOn w:val="1"/>
    <w:link w:val="35"/>
    <w:unhideWhenUsed/>
    <w:qFormat/>
    <w:uiPriority w:val="99"/>
    <w:pPr>
      <w:ind w:firstLine="480" w:firstLineChars="200"/>
      <w:jc w:val="left"/>
    </w:pPr>
    <w:rPr>
      <w:rFonts w:asciiTheme="minorHAnsi" w:hAnsiTheme="minorHAnsi" w:eastAsiaTheme="minorEastAsia" w:cstheme="minorBidi"/>
      <w:sz w:val="24"/>
      <w:szCs w:val="22"/>
    </w:rPr>
  </w:style>
  <w:style w:type="paragraph" w:styleId="9">
    <w:name w:val="Body Text"/>
    <w:basedOn w:val="1"/>
    <w:link w:val="36"/>
    <w:qFormat/>
    <w:uiPriority w:val="1"/>
    <w:pPr>
      <w:spacing w:line="360" w:lineRule="auto"/>
      <w:ind w:firstLine="480" w:firstLineChars="200"/>
      <w:jc w:val="left"/>
    </w:pPr>
    <w:rPr>
      <w:rFonts w:ascii="宋体" w:hAnsi="宋体" w:cstheme="minorBidi"/>
      <w:kern w:val="0"/>
      <w:sz w:val="24"/>
      <w:szCs w:val="24"/>
      <w:lang w:eastAsia="en-US"/>
    </w:rPr>
  </w:style>
  <w:style w:type="paragraph" w:styleId="10">
    <w:name w:val="toc 3"/>
    <w:basedOn w:val="1"/>
    <w:next w:val="1"/>
    <w:unhideWhenUsed/>
    <w:qFormat/>
    <w:uiPriority w:val="39"/>
    <w:pPr>
      <w:widowControl/>
      <w:spacing w:after="100" w:line="259" w:lineRule="auto"/>
      <w:ind w:left="440" w:firstLine="480" w:firstLineChars="200"/>
      <w:jc w:val="left"/>
    </w:pPr>
    <w:rPr>
      <w:rFonts w:asciiTheme="minorHAnsi" w:hAnsiTheme="minorHAnsi" w:eastAsiaTheme="minorEastAsia"/>
      <w:kern w:val="0"/>
      <w:sz w:val="22"/>
      <w:szCs w:val="22"/>
    </w:rPr>
  </w:style>
  <w:style w:type="paragraph" w:styleId="11">
    <w:name w:val="endnote text"/>
    <w:basedOn w:val="1"/>
    <w:link w:val="37"/>
    <w:semiHidden/>
    <w:unhideWhenUsed/>
    <w:qFormat/>
    <w:uiPriority w:val="99"/>
    <w:pPr>
      <w:snapToGrid w:val="0"/>
      <w:ind w:firstLine="480" w:firstLineChars="200"/>
      <w:jc w:val="left"/>
    </w:pPr>
    <w:rPr>
      <w:rFonts w:asciiTheme="minorHAnsi" w:hAnsiTheme="minorHAnsi" w:eastAsiaTheme="minorEastAsia" w:cstheme="minorBidi"/>
      <w:sz w:val="24"/>
      <w:szCs w:val="22"/>
    </w:rPr>
  </w:style>
  <w:style w:type="paragraph" w:styleId="12">
    <w:name w:val="Balloon Text"/>
    <w:basedOn w:val="1"/>
    <w:link w:val="38"/>
    <w:semiHidden/>
    <w:unhideWhenUsed/>
    <w:qFormat/>
    <w:uiPriority w:val="99"/>
    <w:pPr>
      <w:ind w:firstLine="480" w:firstLineChars="200"/>
      <w:jc w:val="left"/>
    </w:pPr>
    <w:rPr>
      <w:rFonts w:asciiTheme="minorHAnsi" w:hAnsiTheme="minorHAnsi" w:eastAsiaTheme="minorEastAsia" w:cstheme="minorBidi"/>
      <w:sz w:val="18"/>
      <w:szCs w:val="18"/>
    </w:rPr>
  </w:style>
  <w:style w:type="paragraph" w:styleId="13">
    <w:name w:val="footer"/>
    <w:basedOn w:val="1"/>
    <w:link w:val="28"/>
    <w:unhideWhenUsed/>
    <w:qFormat/>
    <w:uiPriority w:val="99"/>
    <w:pPr>
      <w:tabs>
        <w:tab w:val="center" w:pos="4153"/>
        <w:tab w:val="right" w:pos="8306"/>
      </w:tabs>
      <w:snapToGrid w:val="0"/>
      <w:jc w:val="left"/>
    </w:pPr>
    <w:rPr>
      <w:sz w:val="18"/>
      <w:szCs w:val="18"/>
    </w:rPr>
  </w:style>
  <w:style w:type="paragraph" w:styleId="14">
    <w:name w:val="header"/>
    <w:basedOn w:val="1"/>
    <w:link w:val="27"/>
    <w:unhideWhenUsed/>
    <w:qFormat/>
    <w:uiPriority w:val="99"/>
    <w:pPr>
      <w:tabs>
        <w:tab w:val="center" w:pos="4153"/>
        <w:tab w:val="right" w:pos="8306"/>
      </w:tabs>
      <w:snapToGrid w:val="0"/>
      <w:jc w:val="center"/>
    </w:pPr>
    <w:rPr>
      <w:sz w:val="18"/>
      <w:szCs w:val="18"/>
    </w:rPr>
  </w:style>
  <w:style w:type="paragraph" w:styleId="15">
    <w:name w:val="toc 1"/>
    <w:basedOn w:val="1"/>
    <w:next w:val="1"/>
    <w:unhideWhenUsed/>
    <w:qFormat/>
    <w:uiPriority w:val="39"/>
    <w:pPr>
      <w:widowControl/>
      <w:spacing w:after="100" w:line="259" w:lineRule="auto"/>
      <w:ind w:firstLine="480" w:firstLineChars="200"/>
      <w:jc w:val="left"/>
    </w:pPr>
    <w:rPr>
      <w:rFonts w:asciiTheme="minorHAnsi" w:hAnsiTheme="minorHAnsi" w:eastAsiaTheme="minorEastAsia"/>
      <w:kern w:val="0"/>
      <w:sz w:val="22"/>
      <w:szCs w:val="22"/>
    </w:rPr>
  </w:style>
  <w:style w:type="paragraph" w:styleId="16">
    <w:name w:val="toc 2"/>
    <w:basedOn w:val="1"/>
    <w:next w:val="1"/>
    <w:unhideWhenUsed/>
    <w:qFormat/>
    <w:uiPriority w:val="39"/>
    <w:pPr>
      <w:ind w:left="420" w:leftChars="200" w:firstLine="480" w:firstLineChars="200"/>
      <w:jc w:val="left"/>
    </w:pPr>
    <w:rPr>
      <w:rFonts w:asciiTheme="minorHAnsi" w:hAnsiTheme="minorHAnsi" w:eastAsiaTheme="minorEastAsia" w:cstheme="minorBidi"/>
      <w:sz w:val="24"/>
      <w:szCs w:val="22"/>
    </w:rPr>
  </w:style>
  <w:style w:type="paragraph" w:styleId="17">
    <w:name w:val="Normal (Web)"/>
    <w:basedOn w:val="1"/>
    <w:semiHidden/>
    <w:unhideWhenUsed/>
    <w:qFormat/>
    <w:uiPriority w:val="99"/>
    <w:pPr>
      <w:widowControl/>
      <w:spacing w:before="100" w:beforeAutospacing="1" w:after="100" w:afterAutospacing="1"/>
      <w:ind w:firstLine="480" w:firstLineChars="200"/>
      <w:jc w:val="left"/>
    </w:pPr>
    <w:rPr>
      <w:rFonts w:ascii="宋体" w:hAnsi="宋体" w:cs="宋体"/>
      <w:kern w:val="0"/>
      <w:sz w:val="24"/>
      <w:szCs w:val="24"/>
    </w:rPr>
  </w:style>
  <w:style w:type="paragraph" w:styleId="18">
    <w:name w:val="annotation subject"/>
    <w:basedOn w:val="8"/>
    <w:next w:val="8"/>
    <w:link w:val="39"/>
    <w:semiHidden/>
    <w:unhideWhenUsed/>
    <w:qFormat/>
    <w:uiPriority w:val="99"/>
    <w:rPr>
      <w:b/>
      <w:bCs/>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endnote reference"/>
    <w:basedOn w:val="21"/>
    <w:semiHidden/>
    <w:unhideWhenUsed/>
    <w:qFormat/>
    <w:uiPriority w:val="99"/>
    <w:rPr>
      <w:vertAlign w:val="superscript"/>
    </w:rPr>
  </w:style>
  <w:style w:type="character" w:styleId="24">
    <w:name w:val="Emphasis"/>
    <w:basedOn w:val="21"/>
    <w:qFormat/>
    <w:uiPriority w:val="20"/>
    <w:rPr>
      <w:i/>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styleId="26">
    <w:name w:val="annotation reference"/>
    <w:basedOn w:val="21"/>
    <w:unhideWhenUsed/>
    <w:qFormat/>
    <w:uiPriority w:val="99"/>
    <w:rPr>
      <w:sz w:val="21"/>
      <w:szCs w:val="21"/>
    </w:rPr>
  </w:style>
  <w:style w:type="character" w:customStyle="1" w:styleId="27">
    <w:name w:val="页眉 Char"/>
    <w:basedOn w:val="21"/>
    <w:link w:val="14"/>
    <w:qFormat/>
    <w:uiPriority w:val="99"/>
    <w:rPr>
      <w:sz w:val="18"/>
      <w:szCs w:val="18"/>
    </w:rPr>
  </w:style>
  <w:style w:type="character" w:customStyle="1" w:styleId="28">
    <w:name w:val="页脚 Char"/>
    <w:basedOn w:val="21"/>
    <w:link w:val="13"/>
    <w:qFormat/>
    <w:uiPriority w:val="99"/>
    <w:rPr>
      <w:sz w:val="18"/>
      <w:szCs w:val="18"/>
    </w:rPr>
  </w:style>
  <w:style w:type="paragraph" w:styleId="29">
    <w:name w:val="List Paragraph"/>
    <w:basedOn w:val="1"/>
    <w:qFormat/>
    <w:uiPriority w:val="34"/>
    <w:pPr>
      <w:widowControl/>
      <w:ind w:firstLine="420" w:firstLineChars="200"/>
    </w:pPr>
    <w:rPr>
      <w:rFonts w:ascii="等线" w:hAnsi="等线" w:eastAsia="等线" w:cs="宋体"/>
      <w:kern w:val="0"/>
    </w:rPr>
  </w:style>
  <w:style w:type="character" w:customStyle="1" w:styleId="30">
    <w:name w:val="标题 1 Char"/>
    <w:basedOn w:val="21"/>
    <w:link w:val="2"/>
    <w:qFormat/>
    <w:uiPriority w:val="9"/>
    <w:rPr>
      <w:rFonts w:eastAsia="宋体" w:cs="宋体"/>
      <w:b/>
      <w:bCs/>
      <w:kern w:val="44"/>
      <w:sz w:val="30"/>
      <w:szCs w:val="44"/>
      <w14:ligatures w14:val="none"/>
    </w:rPr>
  </w:style>
  <w:style w:type="character" w:customStyle="1" w:styleId="31">
    <w:name w:val="标题 2 Char"/>
    <w:basedOn w:val="21"/>
    <w:link w:val="3"/>
    <w:qFormat/>
    <w:uiPriority w:val="9"/>
    <w:rPr>
      <w:rFonts w:eastAsia="宋体" w:cs="宋体" w:asciiTheme="majorHAnsi" w:hAnsiTheme="majorHAnsi"/>
      <w:b/>
      <w:sz w:val="28"/>
      <w:szCs w:val="28"/>
      <w14:ligatures w14:val="none"/>
    </w:rPr>
  </w:style>
  <w:style w:type="character" w:customStyle="1" w:styleId="32">
    <w:name w:val="标题 3 Char"/>
    <w:basedOn w:val="21"/>
    <w:link w:val="4"/>
    <w:qFormat/>
    <w:uiPriority w:val="9"/>
    <w:rPr>
      <w:b/>
      <w:bCs/>
      <w:sz w:val="30"/>
      <w:szCs w:val="32"/>
      <w14:ligatures w14:val="none"/>
    </w:rPr>
  </w:style>
  <w:style w:type="character" w:customStyle="1" w:styleId="33">
    <w:name w:val="标题 4 Char"/>
    <w:basedOn w:val="21"/>
    <w:link w:val="5"/>
    <w:qFormat/>
    <w:uiPriority w:val="9"/>
    <w:rPr>
      <w:rFonts w:ascii="Arial" w:hAnsi="Arial" w:eastAsia="黑体"/>
      <w:b/>
      <w:sz w:val="28"/>
      <w14:ligatures w14:val="none"/>
    </w:rPr>
  </w:style>
  <w:style w:type="character" w:customStyle="1" w:styleId="34">
    <w:name w:val="标题 5 Char"/>
    <w:basedOn w:val="21"/>
    <w:link w:val="6"/>
    <w:qFormat/>
    <w:uiPriority w:val="9"/>
    <w:rPr>
      <w:rFonts w:ascii="宋体" w:hAnsi="宋体" w:eastAsia="宋体" w:cs="Times New Roman"/>
      <w:b/>
      <w:bCs/>
      <w:kern w:val="0"/>
      <w:sz w:val="24"/>
      <w:szCs w:val="21"/>
      <w:lang w:eastAsia="en-US"/>
      <w14:ligatures w14:val="none"/>
    </w:rPr>
  </w:style>
  <w:style w:type="character" w:customStyle="1" w:styleId="35">
    <w:name w:val="批注文字 Char"/>
    <w:basedOn w:val="21"/>
    <w:link w:val="8"/>
    <w:qFormat/>
    <w:uiPriority w:val="99"/>
    <w:rPr>
      <w:sz w:val="24"/>
      <w14:ligatures w14:val="none"/>
    </w:rPr>
  </w:style>
  <w:style w:type="character" w:customStyle="1" w:styleId="36">
    <w:name w:val="正文文本 Char"/>
    <w:basedOn w:val="21"/>
    <w:link w:val="9"/>
    <w:qFormat/>
    <w:uiPriority w:val="1"/>
    <w:rPr>
      <w:rFonts w:ascii="宋体" w:hAnsi="宋体" w:eastAsia="宋体"/>
      <w:kern w:val="0"/>
      <w:sz w:val="24"/>
      <w:szCs w:val="24"/>
      <w:lang w:eastAsia="en-US"/>
      <w14:ligatures w14:val="none"/>
    </w:rPr>
  </w:style>
  <w:style w:type="character" w:customStyle="1" w:styleId="37">
    <w:name w:val="尾注文本 Char"/>
    <w:basedOn w:val="21"/>
    <w:link w:val="11"/>
    <w:semiHidden/>
    <w:qFormat/>
    <w:uiPriority w:val="99"/>
    <w:rPr>
      <w:sz w:val="24"/>
      <w14:ligatures w14:val="none"/>
    </w:rPr>
  </w:style>
  <w:style w:type="character" w:customStyle="1" w:styleId="38">
    <w:name w:val="批注框文本 Char"/>
    <w:basedOn w:val="21"/>
    <w:link w:val="12"/>
    <w:semiHidden/>
    <w:qFormat/>
    <w:uiPriority w:val="99"/>
    <w:rPr>
      <w:sz w:val="18"/>
      <w:szCs w:val="18"/>
      <w14:ligatures w14:val="none"/>
    </w:rPr>
  </w:style>
  <w:style w:type="character" w:customStyle="1" w:styleId="39">
    <w:name w:val="批注主题 Char"/>
    <w:basedOn w:val="35"/>
    <w:link w:val="18"/>
    <w:semiHidden/>
    <w:qFormat/>
    <w:uiPriority w:val="99"/>
    <w:rPr>
      <w:b/>
      <w:bCs/>
      <w:sz w:val="24"/>
      <w14:ligatures w14:val="none"/>
    </w:rPr>
  </w:style>
  <w:style w:type="paragraph" w:customStyle="1" w:styleId="40">
    <w:name w:val="TOC 标题1"/>
    <w:basedOn w:val="2"/>
    <w:next w:val="1"/>
    <w:unhideWhenUsed/>
    <w:qFormat/>
    <w:uiPriority w:val="39"/>
    <w:pPr>
      <w:widowControl/>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1">
    <w:name w:val="网格型浅色1"/>
    <w:basedOn w:val="1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2">
    <w:name w:val="Default"/>
    <w:basedOn w:val="1"/>
    <w:qFormat/>
    <w:uiPriority w:val="0"/>
    <w:pPr>
      <w:widowControl/>
      <w:autoSpaceDE w:val="0"/>
      <w:autoSpaceDN w:val="0"/>
      <w:ind w:firstLine="480" w:firstLineChars="200"/>
      <w:jc w:val="left"/>
    </w:pPr>
    <w:rPr>
      <w:rFonts w:ascii="黑体" w:hAnsi="黑体" w:eastAsia="黑体" w:cs="宋体"/>
      <w:color w:val="000000"/>
      <w:kern w:val="0"/>
      <w:sz w:val="24"/>
      <w:szCs w:val="24"/>
    </w:rPr>
  </w:style>
  <w:style w:type="paragraph" w:customStyle="1" w:styleId="43">
    <w:name w:val="样式4"/>
    <w:basedOn w:val="1"/>
    <w:qFormat/>
    <w:uiPriority w:val="0"/>
    <w:pPr>
      <w:spacing w:line="360" w:lineRule="auto"/>
      <w:ind w:firstLine="480" w:firstLineChars="200"/>
      <w:jc w:val="center"/>
    </w:pPr>
    <w:rPr>
      <w:rFonts w:asciiTheme="minorHAnsi" w:hAnsiTheme="minorHAnsi" w:eastAsiaTheme="minorEastAsia"/>
      <w:sz w:val="24"/>
      <w:szCs w:val="24"/>
    </w:rPr>
  </w:style>
  <w:style w:type="character" w:customStyle="1" w:styleId="44">
    <w:name w:val="fontstyle01"/>
    <w:qFormat/>
    <w:uiPriority w:val="0"/>
    <w:rPr>
      <w:rFonts w:hint="eastAsia" w:ascii="宋体" w:hAnsi="宋体" w:eastAsia="宋体"/>
      <w:color w:val="000000"/>
      <w:sz w:val="24"/>
      <w:szCs w:val="24"/>
    </w:rPr>
  </w:style>
  <w:style w:type="table" w:customStyle="1" w:styleId="45">
    <w:name w:val="网格型浅色2"/>
    <w:basedOn w:val="19"/>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6">
    <w:name w:val="网格表 2 - 着色 21"/>
    <w:basedOn w:val="19"/>
    <w:qFormat/>
    <w:uiPriority w:val="47"/>
    <w:tblPr>
      <w:tblBorders>
        <w:top w:val="single" w:color="F4B083" w:themeColor="accent2" w:themeTint="99" w:sz="2" w:space="0"/>
        <w:bottom w:val="single" w:color="F4B083" w:themeColor="accent2" w:themeTint="99" w:sz="2" w:space="0"/>
        <w:insideH w:val="single" w:color="F4B083" w:themeColor="accent2" w:themeTint="99" w:sz="2" w:space="0"/>
        <w:insideV w:val="single" w:color="F4B083" w:themeColor="accent2" w:themeTint="99" w:sz="2" w:space="0"/>
      </w:tblBorders>
    </w:tblPr>
    <w:tblStylePr w:type="firstRow">
      <w:rPr>
        <w:b/>
        <w:bCs/>
      </w:rPr>
      <w:tcPr>
        <w:tcBorders>
          <w:top w:val="nil"/>
          <w:bottom w:val="single" w:color="F4B083" w:themeColor="accent2" w:themeTint="99" w:sz="12" w:space="0"/>
          <w:insideH w:val="nil"/>
          <w:insideV w:val="nil"/>
        </w:tcBorders>
        <w:shd w:val="clear" w:color="auto" w:fill="FFFFFF" w:themeFill="background1"/>
      </w:tcPr>
    </w:tblStylePr>
    <w:tblStylePr w:type="lastRow">
      <w:rPr>
        <w:b/>
        <w:bCs/>
      </w:rPr>
      <w:tcPr>
        <w:tcBorders>
          <w:top w:val="double" w:color="F4B083"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47">
    <w:name w:val="网格表 2 - 着色 51"/>
    <w:basedOn w:val="19"/>
    <w:qFormat/>
    <w:uiPriority w:val="47"/>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paragraph" w:customStyle="1" w:styleId="48">
    <w:name w:val="部分黑加粗"/>
    <w:basedOn w:val="1"/>
    <w:qFormat/>
    <w:uiPriority w:val="0"/>
    <w:pPr>
      <w:ind w:firstLine="480" w:firstLineChars="200"/>
      <w:jc w:val="left"/>
    </w:pPr>
    <w:rPr>
      <w:rFonts w:cs="Arial" w:asciiTheme="minorHAnsi" w:hAnsiTheme="minorHAnsi" w:eastAsiaTheme="minorEastAsia"/>
      <w:b/>
      <w:bCs/>
      <w:sz w:val="28"/>
      <w:szCs w:val="28"/>
    </w:rPr>
  </w:style>
  <w:style w:type="paragraph" w:customStyle="1" w:styleId="49">
    <w:name w:val="表格"/>
    <w:basedOn w:val="1"/>
    <w:qFormat/>
    <w:uiPriority w:val="0"/>
    <w:pPr>
      <w:jc w:val="center"/>
    </w:pPr>
    <w:rPr>
      <w:rFonts w:ascii="宋体" w:hAnsi="宋体" w:eastAsiaTheme="minorEastAsia" w:cstheme="minorBidi"/>
      <w:sz w:val="24"/>
      <w:szCs w:val="22"/>
    </w:rPr>
  </w:style>
  <w:style w:type="paragraph" w:customStyle="1" w:styleId="50">
    <w:name w:val="表格标题"/>
    <w:basedOn w:val="1"/>
    <w:qFormat/>
    <w:uiPriority w:val="0"/>
    <w:pPr>
      <w:ind w:firstLine="480" w:firstLineChars="200"/>
      <w:jc w:val="center"/>
    </w:pPr>
    <w:rPr>
      <w:rFonts w:asciiTheme="minorHAnsi" w:hAnsiTheme="minorHAnsi" w:eastAsiaTheme="minorEastAsia" w:cstheme="minorBidi"/>
      <w:sz w:val="24"/>
      <w:szCs w:val="22"/>
    </w:rPr>
  </w:style>
  <w:style w:type="paragraph" w:customStyle="1" w:styleId="51">
    <w:name w:val="Table Paragraph"/>
    <w:basedOn w:val="1"/>
    <w:unhideWhenUsed/>
    <w:qFormat/>
    <w:uiPriority w:val="1"/>
    <w:pPr>
      <w:spacing w:before="34"/>
      <w:jc w:val="center"/>
    </w:pPr>
    <w:rPr>
      <w:rFonts w:hint="default" w:ascii="Times New Roman" w:hAnsi="Times New Roman" w:eastAsia="Times New Roman"/>
      <w:sz w:val="24"/>
      <w:szCs w:val="24"/>
    </w:rPr>
  </w:style>
  <w:style w:type="character" w:customStyle="1" w:styleId="52">
    <w:name w:val="font31"/>
    <w:basedOn w:val="21"/>
    <w:qFormat/>
    <w:uiPriority w:val="0"/>
    <w:rPr>
      <w:rFonts w:hint="default" w:ascii="Times New Roman" w:hAnsi="Times New Roman" w:cs="Times New Roman"/>
      <w:color w:val="000000"/>
      <w:sz w:val="22"/>
      <w:szCs w:val="22"/>
      <w:u w:val="none"/>
    </w:rPr>
  </w:style>
  <w:style w:type="character" w:customStyle="1" w:styleId="53">
    <w:name w:val="font61"/>
    <w:basedOn w:val="21"/>
    <w:qFormat/>
    <w:uiPriority w:val="0"/>
    <w:rPr>
      <w:rFonts w:hint="eastAsia" w:ascii="宋体" w:hAnsi="宋体" w:eastAsia="宋体" w:cs="宋体"/>
      <w:color w:val="000000"/>
      <w:sz w:val="22"/>
      <w:szCs w:val="22"/>
      <w:u w:val="none"/>
    </w:rPr>
  </w:style>
  <w:style w:type="character" w:customStyle="1" w:styleId="54">
    <w:name w:val="font21"/>
    <w:basedOn w:val="21"/>
    <w:qFormat/>
    <w:uiPriority w:val="0"/>
    <w:rPr>
      <w:rFonts w:hint="default" w:ascii="Times New Roman" w:hAnsi="Times New Roman" w:cs="Times New Roman"/>
      <w:color w:val="000000"/>
      <w:sz w:val="22"/>
      <w:szCs w:val="22"/>
      <w:u w:val="none"/>
    </w:rPr>
  </w:style>
  <w:style w:type="character" w:customStyle="1" w:styleId="55">
    <w:name w:val="font51"/>
    <w:basedOn w:val="21"/>
    <w:qFormat/>
    <w:uiPriority w:val="0"/>
    <w:rPr>
      <w:rFonts w:hint="eastAsia" w:ascii="宋体" w:hAnsi="宋体" w:eastAsia="宋体" w:cs="宋体"/>
      <w:color w:val="000000"/>
      <w:sz w:val="22"/>
      <w:szCs w:val="22"/>
      <w:u w:val="none"/>
    </w:rPr>
  </w:style>
  <w:style w:type="table" w:customStyle="1" w:styleId="56">
    <w:name w:val="Table Normal"/>
    <w:semiHidden/>
    <w:unhideWhenUsed/>
    <w:qFormat/>
    <w:uiPriority w:val="0"/>
    <w:tblPr>
      <w:tblCellMar>
        <w:top w:w="0" w:type="dxa"/>
        <w:left w:w="0" w:type="dxa"/>
        <w:bottom w:w="0" w:type="dxa"/>
        <w:right w:w="0" w:type="dxa"/>
      </w:tblCellMar>
    </w:tblPr>
  </w:style>
  <w:style w:type="paragraph" w:customStyle="1" w:styleId="57">
    <w:name w:val="Table Text"/>
    <w:basedOn w:val="1"/>
    <w:semiHidden/>
    <w:qFormat/>
    <w:uiPriority w:val="0"/>
    <w:rPr>
      <w:rFonts w:ascii="宋体" w:hAnsi="宋体" w:eastAsia="宋体" w:cs="宋体"/>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chart" Target="charts/chart1.xml"/><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_odt_hyperlink" Type="http://schemas.openxmlformats.org/officeDocument/2006/relationships/hyperlink" Target="https://www.onlinedoctranslator.com/ar/?utm_source=onlinedoctranslator&amp;utm_medium=docx&amp;utm_campaign=attribution" TargetMode="External"/><Relationship Id="r_odt_logo" Type="http://schemas.openxmlformats.org/officeDocument/2006/relationships/image" Target="media/odt_attribution_logo.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CPF\&#36164;&#26009;\01MISSAN\CPF\01&#22522;&#30784;&#36164;&#26009;\2025QC&#38477;&#20302;&#20013;&#24515;&#22788;&#29702;&#21306;&#30772;&#20083;&#21058;&#28040;&#32791;&#37327;\&#33609;&#31295;\&#33609;&#31295;.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CPF\&#36164;&#26009;\01MISSAN\CPF\01&#22522;&#30784;&#36164;&#26009;\2025QC&#38477;&#20302;&#20013;&#24515;&#22788;&#29702;&#21306;&#30772;&#20083;&#21058;&#28040;&#32791;&#37327;\&#33609;&#31295;\&#33609;&#31295;.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目标加注浓度示意图（ppm）</a:t>
            </a: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trendline>
            <c:spPr>
              <a:ln w="28575" cap="flat" cmpd="sng">
                <a:solidFill>
                  <a:srgbClr val="FF0000"/>
                </a:solidFill>
                <a:prstDash val="solid"/>
                <a:headEnd type="none" w="med" len="med"/>
                <a:tailEnd type="arrow"/>
              </a:ln>
              <a:effectLst/>
            </c:spPr>
            <c:trendlineType val="linear"/>
            <c:dispRSqr val="0"/>
            <c:dispEq val="0"/>
          </c:trendline>
          <c:cat>
            <c:strRef>
              <c:f>[草稿.xls]Sheet1!$F$218:$G$218</c:f>
              <c:strCache>
                <c:ptCount val="2"/>
                <c:pt idx="0">
                  <c:v>目前浓度</c:v>
                </c:pt>
                <c:pt idx="1">
                  <c:v>目标浓度</c:v>
                </c:pt>
              </c:strCache>
            </c:strRef>
          </c:cat>
          <c:val>
            <c:numRef>
              <c:f>[草稿.xls]Sheet1!$F$219:$G$219</c:f>
              <c:numCache>
                <c:formatCode>General</c:formatCode>
                <c:ptCount val="2"/>
                <c:pt idx="0">
                  <c:v>311</c:v>
                </c:pt>
                <c:pt idx="1">
                  <c:v>250</c:v>
                </c:pt>
              </c:numCache>
            </c:numRef>
          </c:val>
        </c:ser>
        <c:dLbls>
          <c:showLegendKey val="0"/>
          <c:showVal val="1"/>
          <c:showCatName val="0"/>
          <c:showSerName val="0"/>
          <c:showPercent val="0"/>
          <c:showBubbleSize val="0"/>
        </c:dLbls>
        <c:gapWidth val="246"/>
        <c:overlap val="-28"/>
        <c:axId val="893315764"/>
        <c:axId val="494735740"/>
      </c:barChart>
      <c:catAx>
        <c:axId val="8933157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94735740"/>
        <c:crosses val="autoZero"/>
        <c:auto val="1"/>
        <c:lblAlgn val="ctr"/>
        <c:lblOffset val="100"/>
        <c:noMultiLvlLbl val="0"/>
      </c:catAx>
      <c:valAx>
        <c:axId val="49473574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93315764"/>
        <c:crosses val="autoZero"/>
        <c:crossBetween val="between"/>
      </c:valAx>
      <c:spPr>
        <a:noFill/>
        <a:ln>
          <a:noFill/>
        </a:ln>
        <a:effectLst/>
      </c:spPr>
    </c:plotArea>
    <c:plotVisOnly val="1"/>
    <c:dispBlanksAs val="gap"/>
    <c:showDLblsOverMax val="0"/>
    <c:extLst>
      <c:ext uri="{0b15fc19-7d7d-44ad-8c2d-2c3a37ce22c3}">
        <chartProps xmlns="https://web.wps.cn/et/2018/main" chartId="{4a20237f-15f8-4c5f-9190-95c7a52fcbf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a:defRPr lang="zh-CN" sz="1200" b="0" i="0" u="none" strike="noStrike" kern="1200" spc="0" baseline="0">
                <a:solidFill>
                  <a:schemeClr val="tx1">
                    <a:lumMod val="75000"/>
                    <a:lumOff val="25000"/>
                  </a:schemeClr>
                </a:solidFill>
                <a:latin typeface="+mj-ea"/>
                <a:ea typeface="+mj-ea"/>
                <a:cs typeface="+mj-ea"/>
                <a:sym typeface="+mj-ea"/>
              </a:defRPr>
            </a:pPr>
            <a:r>
              <a:rPr sz="1200">
                <a:latin typeface="+mj-ea"/>
                <a:ea typeface="+mj-ea"/>
                <a:cs typeface="+mj-ea"/>
                <a:sym typeface="+mj-ea"/>
              </a:rPr>
              <a:t>破乳剂浓度趋势图</a:t>
            </a:r>
            <a:endParaRPr sz="1200">
              <a:latin typeface="+mj-ea"/>
              <a:ea typeface="+mj-ea"/>
              <a:cs typeface="+mj-ea"/>
              <a:sym typeface="+mj-ea"/>
            </a:endParaRPr>
          </a:p>
        </c:rich>
      </c:tx>
      <c:layout/>
      <c:overlay val="0"/>
      <c:spPr>
        <a:noFill/>
        <a:ln>
          <a:noFill/>
        </a:ln>
        <a:effectLst/>
      </c:spPr>
    </c:title>
    <c:autoTitleDeleted val="0"/>
    <c:plotArea>
      <c:layout/>
      <c:barChart>
        <c:barDir val="col"/>
        <c:grouping val="clustered"/>
        <c:varyColors val="0"/>
        <c:ser>
          <c:idx val="0"/>
          <c:order val="0"/>
          <c:tx>
            <c:strRef>
              <c:f>[工作簿1]Sheet1!$B$1</c:f>
              <c:strCache>
                <c:ptCount val="1"/>
                <c:pt idx="0">
                  <c:v>上游脱气站（ppm）</c:v>
                </c:pt>
              </c:strCache>
            </c:strRef>
          </c:tx>
          <c:spPr>
            <a:solidFill>
              <a:schemeClr val="accent4">
                <a:lumMod val="75000"/>
              </a:schemeClr>
            </a:solidFill>
            <a:ln>
              <a:solidFill>
                <a:schemeClr val="accent4">
                  <a:lumMod val="75000"/>
                </a:schemeClr>
              </a:solidFill>
            </a:ln>
            <a:effectLst>
              <a:innerShdw blurRad="114300">
                <a:schemeClr val="accent1">
                  <a:lumMod val="20000"/>
                  <a:lumOff val="80000"/>
                </a:schemeClr>
              </a:innerShdw>
            </a:effectLst>
            <a:sp3d contourW="12700"/>
          </c:spPr>
          <c:invertIfNegative val="0"/>
          <c:dLbls>
            <c:delete val="1"/>
          </c:dLbls>
          <c:cat>
            <c:numRef>
              <c:f>[工作簿1]Sheet1!$A$2:$A$97</c:f>
              <c:numCache>
                <c:formatCode>yyyy"年"m"月"d"日"</c:formatCode>
                <c:ptCount val="96"/>
                <c:pt idx="0" c:formatCode="yyyy&quot;年&quot;m&quot;月&quot;d&quot;日&quot;">
                  <c:v>45773</c:v>
                </c:pt>
                <c:pt idx="1" c:formatCode="yyyy&quot;年&quot;m&quot;月&quot;d&quot;日&quot;">
                  <c:v>45774</c:v>
                </c:pt>
                <c:pt idx="2" c:formatCode="yyyy&quot;年&quot;m&quot;月&quot;d&quot;日&quot;">
                  <c:v>45775</c:v>
                </c:pt>
                <c:pt idx="3" c:formatCode="yyyy&quot;年&quot;m&quot;月&quot;d&quot;日&quot;">
                  <c:v>45776</c:v>
                </c:pt>
                <c:pt idx="4" c:formatCode="yyyy&quot;年&quot;m&quot;月&quot;d&quot;日&quot;">
                  <c:v>45777</c:v>
                </c:pt>
                <c:pt idx="5" c:formatCode="yyyy&quot;年&quot;m&quot;月&quot;d&quot;日&quot;">
                  <c:v>45778</c:v>
                </c:pt>
                <c:pt idx="6" c:formatCode="yyyy&quot;年&quot;m&quot;月&quot;d&quot;日&quot;">
                  <c:v>45779</c:v>
                </c:pt>
                <c:pt idx="7" c:formatCode="yyyy&quot;年&quot;m&quot;月&quot;d&quot;日&quot;">
                  <c:v>45780</c:v>
                </c:pt>
                <c:pt idx="8" c:formatCode="yyyy&quot;年&quot;m&quot;月&quot;d&quot;日&quot;">
                  <c:v>45781</c:v>
                </c:pt>
                <c:pt idx="9" c:formatCode="yyyy&quot;年&quot;m&quot;月&quot;d&quot;日&quot;">
                  <c:v>45782</c:v>
                </c:pt>
                <c:pt idx="10" c:formatCode="yyyy&quot;年&quot;m&quot;月&quot;d&quot;日&quot;">
                  <c:v>45783</c:v>
                </c:pt>
                <c:pt idx="11" c:formatCode="yyyy&quot;年&quot;m&quot;月&quot;d&quot;日&quot;">
                  <c:v>45784</c:v>
                </c:pt>
                <c:pt idx="12" c:formatCode="yyyy&quot;年&quot;m&quot;月&quot;d&quot;日&quot;">
                  <c:v>45785</c:v>
                </c:pt>
                <c:pt idx="13" c:formatCode="yyyy&quot;年&quot;m&quot;月&quot;d&quot;日&quot;">
                  <c:v>45786</c:v>
                </c:pt>
                <c:pt idx="14" c:formatCode="yyyy&quot;年&quot;m&quot;月&quot;d&quot;日&quot;">
                  <c:v>45787</c:v>
                </c:pt>
                <c:pt idx="15" c:formatCode="yyyy&quot;年&quot;m&quot;月&quot;d&quot;日&quot;">
                  <c:v>45788</c:v>
                </c:pt>
                <c:pt idx="16" c:formatCode="yyyy&quot;年&quot;m&quot;月&quot;d&quot;日&quot;">
                  <c:v>45789</c:v>
                </c:pt>
                <c:pt idx="17" c:formatCode="yyyy&quot;年&quot;m&quot;月&quot;d&quot;日&quot;">
                  <c:v>45790</c:v>
                </c:pt>
                <c:pt idx="18" c:formatCode="yyyy&quot;年&quot;m&quot;月&quot;d&quot;日&quot;">
                  <c:v>45791</c:v>
                </c:pt>
                <c:pt idx="19" c:formatCode="yyyy&quot;年&quot;m&quot;月&quot;d&quot;日&quot;">
                  <c:v>45792</c:v>
                </c:pt>
                <c:pt idx="20" c:formatCode="yyyy&quot;年&quot;m&quot;月&quot;d&quot;日&quot;">
                  <c:v>45793</c:v>
                </c:pt>
                <c:pt idx="21" c:formatCode="yyyy&quot;年&quot;m&quot;月&quot;d&quot;日&quot;">
                  <c:v>45794</c:v>
                </c:pt>
                <c:pt idx="22" c:formatCode="yyyy&quot;年&quot;m&quot;月&quot;d&quot;日&quot;">
                  <c:v>45795</c:v>
                </c:pt>
                <c:pt idx="23" c:formatCode="yyyy&quot;年&quot;m&quot;月&quot;d&quot;日&quot;">
                  <c:v>45796</c:v>
                </c:pt>
                <c:pt idx="24" c:formatCode="yyyy&quot;年&quot;m&quot;月&quot;d&quot;日&quot;">
                  <c:v>45797</c:v>
                </c:pt>
                <c:pt idx="25" c:formatCode="yyyy&quot;年&quot;m&quot;月&quot;d&quot;日&quot;">
                  <c:v>45798</c:v>
                </c:pt>
                <c:pt idx="26" c:formatCode="yyyy&quot;年&quot;m&quot;月&quot;d&quot;日&quot;">
                  <c:v>45799</c:v>
                </c:pt>
                <c:pt idx="27" c:formatCode="yyyy&quot;年&quot;m&quot;月&quot;d&quot;日&quot;">
                  <c:v>45800</c:v>
                </c:pt>
                <c:pt idx="28" c:formatCode="yyyy&quot;年&quot;m&quot;月&quot;d&quot;日&quot;">
                  <c:v>45801</c:v>
                </c:pt>
                <c:pt idx="29" c:formatCode="yyyy&quot;年&quot;m&quot;月&quot;d&quot;日&quot;">
                  <c:v>45802</c:v>
                </c:pt>
                <c:pt idx="30" c:formatCode="yyyy&quot;年&quot;m&quot;月&quot;d&quot;日&quot;">
                  <c:v>45803</c:v>
                </c:pt>
                <c:pt idx="31" c:formatCode="yyyy&quot;年&quot;m&quot;月&quot;d&quot;日&quot;">
                  <c:v>45804</c:v>
                </c:pt>
                <c:pt idx="32" c:formatCode="yyyy&quot;年&quot;m&quot;月&quot;d&quot;日&quot;">
                  <c:v>45805</c:v>
                </c:pt>
                <c:pt idx="33" c:formatCode="yyyy&quot;年&quot;m&quot;月&quot;d&quot;日&quot;">
                  <c:v>45806</c:v>
                </c:pt>
                <c:pt idx="34" c:formatCode="yyyy&quot;年&quot;m&quot;月&quot;d&quot;日&quot;">
                  <c:v>45807</c:v>
                </c:pt>
                <c:pt idx="35" c:formatCode="yyyy&quot;年&quot;m&quot;月&quot;d&quot;日&quot;">
                  <c:v>45808</c:v>
                </c:pt>
                <c:pt idx="36" c:formatCode="yyyy&quot;年&quot;m&quot;月&quot;d&quot;日&quot;">
                  <c:v>45809</c:v>
                </c:pt>
                <c:pt idx="37" c:formatCode="yyyy&quot;年&quot;m&quot;月&quot;d&quot;日&quot;">
                  <c:v>45810</c:v>
                </c:pt>
                <c:pt idx="38" c:formatCode="yyyy&quot;年&quot;m&quot;月&quot;d&quot;日&quot;">
                  <c:v>45811</c:v>
                </c:pt>
                <c:pt idx="39" c:formatCode="yyyy&quot;年&quot;m&quot;月&quot;d&quot;日&quot;">
                  <c:v>45812</c:v>
                </c:pt>
                <c:pt idx="40" c:formatCode="yyyy&quot;年&quot;m&quot;月&quot;d&quot;日&quot;">
                  <c:v>45813</c:v>
                </c:pt>
                <c:pt idx="41" c:formatCode="yyyy&quot;年&quot;m&quot;月&quot;d&quot;日&quot;">
                  <c:v>45814</c:v>
                </c:pt>
                <c:pt idx="42" c:formatCode="yyyy&quot;年&quot;m&quot;月&quot;d&quot;日&quot;">
                  <c:v>45815</c:v>
                </c:pt>
                <c:pt idx="43" c:formatCode="yyyy&quot;年&quot;m&quot;月&quot;d&quot;日&quot;">
                  <c:v>45816</c:v>
                </c:pt>
                <c:pt idx="44" c:formatCode="yyyy&quot;年&quot;m&quot;月&quot;d&quot;日&quot;">
                  <c:v>45817</c:v>
                </c:pt>
                <c:pt idx="45" c:formatCode="yyyy&quot;年&quot;m&quot;月&quot;d&quot;日&quot;">
                  <c:v>45818</c:v>
                </c:pt>
                <c:pt idx="46" c:formatCode="yyyy&quot;年&quot;m&quot;月&quot;d&quot;日&quot;">
                  <c:v>45819</c:v>
                </c:pt>
                <c:pt idx="47" c:formatCode="yyyy&quot;年&quot;m&quot;月&quot;d&quot;日&quot;">
                  <c:v>45820</c:v>
                </c:pt>
                <c:pt idx="48" c:formatCode="yyyy&quot;年&quot;m&quot;月&quot;d&quot;日&quot;">
                  <c:v>45821</c:v>
                </c:pt>
                <c:pt idx="49" c:formatCode="yyyy&quot;年&quot;m&quot;月&quot;d&quot;日&quot;">
                  <c:v>45822</c:v>
                </c:pt>
                <c:pt idx="50" c:formatCode="yyyy&quot;年&quot;m&quot;月&quot;d&quot;日&quot;">
                  <c:v>45823</c:v>
                </c:pt>
                <c:pt idx="51" c:formatCode="yyyy&quot;年&quot;m&quot;月&quot;d&quot;日&quot;">
                  <c:v>45824</c:v>
                </c:pt>
                <c:pt idx="52" c:formatCode="yyyy&quot;年&quot;m&quot;月&quot;d&quot;日&quot;">
                  <c:v>45825</c:v>
                </c:pt>
                <c:pt idx="53" c:formatCode="yyyy&quot;年&quot;m&quot;月&quot;d&quot;日&quot;">
                  <c:v>45826</c:v>
                </c:pt>
                <c:pt idx="54" c:formatCode="yyyy&quot;年&quot;m&quot;月&quot;d&quot;日&quot;">
                  <c:v>45827</c:v>
                </c:pt>
                <c:pt idx="55" c:formatCode="yyyy&quot;年&quot;m&quot;月&quot;d&quot;日&quot;">
                  <c:v>45828</c:v>
                </c:pt>
                <c:pt idx="56" c:formatCode="yyyy&quot;年&quot;m&quot;月&quot;d&quot;日&quot;">
                  <c:v>45829</c:v>
                </c:pt>
                <c:pt idx="57" c:formatCode="yyyy&quot;年&quot;m&quot;月&quot;d&quot;日&quot;">
                  <c:v>45830</c:v>
                </c:pt>
                <c:pt idx="58" c:formatCode="yyyy&quot;年&quot;m&quot;月&quot;d&quot;日&quot;">
                  <c:v>45831</c:v>
                </c:pt>
                <c:pt idx="59" c:formatCode="yyyy&quot;年&quot;m&quot;月&quot;d&quot;日&quot;">
                  <c:v>45832</c:v>
                </c:pt>
                <c:pt idx="60" c:formatCode="yyyy&quot;年&quot;m&quot;月&quot;d&quot;日&quot;">
                  <c:v>45833</c:v>
                </c:pt>
                <c:pt idx="61" c:formatCode="yyyy&quot;年&quot;m&quot;月&quot;d&quot;日&quot;">
                  <c:v>45834</c:v>
                </c:pt>
                <c:pt idx="62" c:formatCode="yyyy&quot;年&quot;m&quot;月&quot;d&quot;日&quot;">
                  <c:v>45835</c:v>
                </c:pt>
                <c:pt idx="63" c:formatCode="yyyy&quot;年&quot;m&quot;月&quot;d&quot;日&quot;">
                  <c:v>45836</c:v>
                </c:pt>
                <c:pt idx="64" c:formatCode="yyyy&quot;年&quot;m&quot;月&quot;d&quot;日&quot;">
                  <c:v>45837</c:v>
                </c:pt>
                <c:pt idx="65" c:formatCode="yyyy&quot;年&quot;m&quot;月&quot;d&quot;日&quot;">
                  <c:v>45838</c:v>
                </c:pt>
                <c:pt idx="66" c:formatCode="yyyy&quot;年&quot;m&quot;月&quot;d&quot;日&quot;">
                  <c:v>45839</c:v>
                </c:pt>
                <c:pt idx="67" c:formatCode="yyyy&quot;年&quot;m&quot;月&quot;d&quot;日&quot;">
                  <c:v>45840</c:v>
                </c:pt>
                <c:pt idx="68" c:formatCode="yyyy&quot;年&quot;m&quot;月&quot;d&quot;日&quot;">
                  <c:v>45841</c:v>
                </c:pt>
                <c:pt idx="69" c:formatCode="yyyy&quot;年&quot;m&quot;月&quot;d&quot;日&quot;">
                  <c:v>45842</c:v>
                </c:pt>
                <c:pt idx="70" c:formatCode="yyyy&quot;年&quot;m&quot;月&quot;d&quot;日&quot;">
                  <c:v>45843</c:v>
                </c:pt>
                <c:pt idx="71" c:formatCode="yyyy&quot;年&quot;m&quot;月&quot;d&quot;日&quot;">
                  <c:v>45844</c:v>
                </c:pt>
                <c:pt idx="72" c:formatCode="yyyy&quot;年&quot;m&quot;月&quot;d&quot;日&quot;">
                  <c:v>45845</c:v>
                </c:pt>
                <c:pt idx="73" c:formatCode="yyyy&quot;年&quot;m&quot;月&quot;d&quot;日&quot;">
                  <c:v>45846</c:v>
                </c:pt>
                <c:pt idx="74" c:formatCode="yyyy&quot;年&quot;m&quot;月&quot;d&quot;日&quot;">
                  <c:v>45847</c:v>
                </c:pt>
                <c:pt idx="75" c:formatCode="yyyy&quot;年&quot;m&quot;月&quot;d&quot;日&quot;">
                  <c:v>45848</c:v>
                </c:pt>
                <c:pt idx="76" c:formatCode="yyyy&quot;年&quot;m&quot;月&quot;d&quot;日&quot;">
                  <c:v>45849</c:v>
                </c:pt>
                <c:pt idx="77" c:formatCode="yyyy&quot;年&quot;m&quot;月&quot;d&quot;日&quot;">
                  <c:v>45850</c:v>
                </c:pt>
                <c:pt idx="78" c:formatCode="yyyy&quot;年&quot;m&quot;月&quot;d&quot;日&quot;">
                  <c:v>45851</c:v>
                </c:pt>
                <c:pt idx="79" c:formatCode="yyyy&quot;年&quot;m&quot;月&quot;d&quot;日&quot;">
                  <c:v>45852</c:v>
                </c:pt>
                <c:pt idx="80" c:formatCode="yyyy&quot;年&quot;m&quot;月&quot;d&quot;日&quot;">
                  <c:v>45853</c:v>
                </c:pt>
                <c:pt idx="81" c:formatCode="yyyy&quot;年&quot;m&quot;月&quot;d&quot;日&quot;">
                  <c:v>45854</c:v>
                </c:pt>
                <c:pt idx="82" c:formatCode="yyyy&quot;年&quot;m&quot;月&quot;d&quot;日&quot;">
                  <c:v>45855</c:v>
                </c:pt>
                <c:pt idx="83" c:formatCode="yyyy&quot;年&quot;m&quot;月&quot;d&quot;日&quot;">
                  <c:v>45856</c:v>
                </c:pt>
                <c:pt idx="84" c:formatCode="yyyy&quot;年&quot;m&quot;月&quot;d&quot;日&quot;">
                  <c:v>45857</c:v>
                </c:pt>
                <c:pt idx="85" c:formatCode="yyyy&quot;年&quot;m&quot;月&quot;d&quot;日&quot;">
                  <c:v>45858</c:v>
                </c:pt>
                <c:pt idx="86" c:formatCode="yyyy&quot;年&quot;m&quot;月&quot;d&quot;日&quot;">
                  <c:v>45859</c:v>
                </c:pt>
                <c:pt idx="87" c:formatCode="yyyy&quot;年&quot;m&quot;月&quot;d&quot;日&quot;">
                  <c:v>45860</c:v>
                </c:pt>
                <c:pt idx="88" c:formatCode="yyyy&quot;年&quot;m&quot;月&quot;d&quot;日&quot;">
                  <c:v>45861</c:v>
                </c:pt>
                <c:pt idx="89" c:formatCode="yyyy&quot;年&quot;m&quot;月&quot;d&quot;日&quot;">
                  <c:v>45862</c:v>
                </c:pt>
                <c:pt idx="90" c:formatCode="yyyy&quot;年&quot;m&quot;月&quot;d&quot;日&quot;">
                  <c:v>45863</c:v>
                </c:pt>
                <c:pt idx="91" c:formatCode="yyyy&quot;年&quot;m&quot;月&quot;d&quot;日&quot;">
                  <c:v>45864</c:v>
                </c:pt>
                <c:pt idx="92" c:formatCode="yyyy&quot;年&quot;m&quot;月&quot;d&quot;日&quot;">
                  <c:v>45865</c:v>
                </c:pt>
                <c:pt idx="93" c:formatCode="yyyy&quot;年&quot;m&quot;月&quot;d&quot;日&quot;">
                  <c:v>45866</c:v>
                </c:pt>
                <c:pt idx="94" c:formatCode="yyyy&quot;年&quot;m&quot;月&quot;d&quot;日&quot;">
                  <c:v>45867</c:v>
                </c:pt>
                <c:pt idx="95" c:formatCode="yyyy&quot;年&quot;m&quot;月&quot;d&quot;日&quot;">
                  <c:v>45868</c:v>
                </c:pt>
              </c:numCache>
            </c:numRef>
          </c:cat>
          <c:val>
            <c:numRef>
              <c:f>[工作簿1]Sheet1!$B$2:$B$97</c:f>
              <c:numCache>
                <c:formatCode>General</c:formatCode>
                <c:ptCount val="96"/>
                <c:pt idx="0">
                  <c:v>65</c:v>
                </c:pt>
                <c:pt idx="1">
                  <c:v>67</c:v>
                </c:pt>
                <c:pt idx="2">
                  <c:v>71</c:v>
                </c:pt>
                <c:pt idx="3">
                  <c:v>73</c:v>
                </c:pt>
                <c:pt idx="4">
                  <c:v>68</c:v>
                </c:pt>
                <c:pt idx="5">
                  <c:v>73</c:v>
                </c:pt>
                <c:pt idx="6">
                  <c:v>72</c:v>
                </c:pt>
                <c:pt idx="7">
                  <c:v>77</c:v>
                </c:pt>
                <c:pt idx="8">
                  <c:v>75</c:v>
                </c:pt>
                <c:pt idx="9">
                  <c:v>75</c:v>
                </c:pt>
                <c:pt idx="10">
                  <c:v>73</c:v>
                </c:pt>
                <c:pt idx="11">
                  <c:v>73</c:v>
                </c:pt>
                <c:pt idx="12">
                  <c:v>73</c:v>
                </c:pt>
                <c:pt idx="13">
                  <c:v>76</c:v>
                </c:pt>
                <c:pt idx="14">
                  <c:v>74</c:v>
                </c:pt>
                <c:pt idx="15">
                  <c:v>72</c:v>
                </c:pt>
                <c:pt idx="16">
                  <c:v>69</c:v>
                </c:pt>
                <c:pt idx="17">
                  <c:v>68</c:v>
                </c:pt>
                <c:pt idx="18">
                  <c:v>69</c:v>
                </c:pt>
                <c:pt idx="19">
                  <c:v>64</c:v>
                </c:pt>
                <c:pt idx="20">
                  <c:v>66</c:v>
                </c:pt>
                <c:pt idx="21">
                  <c:v>63</c:v>
                </c:pt>
                <c:pt idx="22">
                  <c:v>61</c:v>
                </c:pt>
                <c:pt idx="23">
                  <c:v>61</c:v>
                </c:pt>
                <c:pt idx="24">
                  <c:v>67</c:v>
                </c:pt>
                <c:pt idx="25">
                  <c:v>70</c:v>
                </c:pt>
                <c:pt idx="26">
                  <c:v>68</c:v>
                </c:pt>
                <c:pt idx="27">
                  <c:v>70</c:v>
                </c:pt>
                <c:pt idx="28">
                  <c:v>70</c:v>
                </c:pt>
                <c:pt idx="29">
                  <c:v>70</c:v>
                </c:pt>
                <c:pt idx="30">
                  <c:v>70</c:v>
                </c:pt>
                <c:pt idx="31">
                  <c:v>72</c:v>
                </c:pt>
                <c:pt idx="32">
                  <c:v>72</c:v>
                </c:pt>
                <c:pt idx="33">
                  <c:v>69</c:v>
                </c:pt>
                <c:pt idx="34">
                  <c:v>70</c:v>
                </c:pt>
                <c:pt idx="35">
                  <c:v>66</c:v>
                </c:pt>
                <c:pt idx="36">
                  <c:v>66</c:v>
                </c:pt>
                <c:pt idx="37">
                  <c:v>70</c:v>
                </c:pt>
                <c:pt idx="38">
                  <c:v>70</c:v>
                </c:pt>
                <c:pt idx="39">
                  <c:v>70</c:v>
                </c:pt>
                <c:pt idx="40">
                  <c:v>68</c:v>
                </c:pt>
                <c:pt idx="41">
                  <c:v>70</c:v>
                </c:pt>
                <c:pt idx="42">
                  <c:v>70</c:v>
                </c:pt>
                <c:pt idx="43">
                  <c:v>67</c:v>
                </c:pt>
                <c:pt idx="44">
                  <c:v>71</c:v>
                </c:pt>
                <c:pt idx="45">
                  <c:v>69</c:v>
                </c:pt>
                <c:pt idx="46">
                  <c:v>70</c:v>
                </c:pt>
                <c:pt idx="47">
                  <c:v>73</c:v>
                </c:pt>
                <c:pt idx="48">
                  <c:v>73</c:v>
                </c:pt>
                <c:pt idx="49">
                  <c:v>78</c:v>
                </c:pt>
                <c:pt idx="50">
                  <c:v>77</c:v>
                </c:pt>
                <c:pt idx="51">
                  <c:v>77</c:v>
                </c:pt>
                <c:pt idx="52">
                  <c:v>78</c:v>
                </c:pt>
                <c:pt idx="53">
                  <c:v>77</c:v>
                </c:pt>
                <c:pt idx="54">
                  <c:v>79</c:v>
                </c:pt>
                <c:pt idx="55">
                  <c:v>78</c:v>
                </c:pt>
                <c:pt idx="56">
                  <c:v>76</c:v>
                </c:pt>
                <c:pt idx="57">
                  <c:v>74</c:v>
                </c:pt>
                <c:pt idx="58">
                  <c:v>74</c:v>
                </c:pt>
                <c:pt idx="59">
                  <c:v>80</c:v>
                </c:pt>
                <c:pt idx="60">
                  <c:v>80</c:v>
                </c:pt>
                <c:pt idx="61">
                  <c:v>71</c:v>
                </c:pt>
                <c:pt idx="62">
                  <c:v>74</c:v>
                </c:pt>
                <c:pt idx="63">
                  <c:v>76</c:v>
                </c:pt>
                <c:pt idx="64">
                  <c:v>76</c:v>
                </c:pt>
                <c:pt idx="65">
                  <c:v>79</c:v>
                </c:pt>
                <c:pt idx="66">
                  <c:v>75</c:v>
                </c:pt>
                <c:pt idx="67">
                  <c:v>76</c:v>
                </c:pt>
                <c:pt idx="68">
                  <c:v>77</c:v>
                </c:pt>
                <c:pt idx="69">
                  <c:v>78</c:v>
                </c:pt>
                <c:pt idx="70">
                  <c:v>77</c:v>
                </c:pt>
                <c:pt idx="71">
                  <c:v>78</c:v>
                </c:pt>
                <c:pt idx="72">
                  <c:v>77</c:v>
                </c:pt>
                <c:pt idx="73">
                  <c:v>78</c:v>
                </c:pt>
                <c:pt idx="74">
                  <c:v>77</c:v>
                </c:pt>
                <c:pt idx="75">
                  <c:v>79</c:v>
                </c:pt>
                <c:pt idx="76">
                  <c:v>78</c:v>
                </c:pt>
                <c:pt idx="77">
                  <c:v>79</c:v>
                </c:pt>
                <c:pt idx="78">
                  <c:v>78</c:v>
                </c:pt>
                <c:pt idx="79">
                  <c:v>77</c:v>
                </c:pt>
                <c:pt idx="80">
                  <c:v>77</c:v>
                </c:pt>
                <c:pt idx="81">
                  <c:v>83</c:v>
                </c:pt>
                <c:pt idx="82">
                  <c:v>76</c:v>
                </c:pt>
                <c:pt idx="83">
                  <c:v>75</c:v>
                </c:pt>
                <c:pt idx="84">
                  <c:v>69</c:v>
                </c:pt>
                <c:pt idx="85">
                  <c:v>70</c:v>
                </c:pt>
                <c:pt idx="86">
                  <c:v>69</c:v>
                </c:pt>
                <c:pt idx="87">
                  <c:v>69</c:v>
                </c:pt>
                <c:pt idx="88">
                  <c:v>70</c:v>
                </c:pt>
                <c:pt idx="89">
                  <c:v>70</c:v>
                </c:pt>
                <c:pt idx="90">
                  <c:v>68</c:v>
                </c:pt>
                <c:pt idx="91">
                  <c:v>71</c:v>
                </c:pt>
                <c:pt idx="92">
                  <c:v>71</c:v>
                </c:pt>
                <c:pt idx="93">
                  <c:v>71</c:v>
                </c:pt>
                <c:pt idx="94">
                  <c:v>69</c:v>
                </c:pt>
                <c:pt idx="95">
                  <c:v>70</c:v>
                </c:pt>
              </c:numCache>
            </c:numRef>
          </c:val>
        </c:ser>
        <c:ser>
          <c:idx val="1"/>
          <c:order val="1"/>
          <c:tx>
            <c:strRef>
              <c:f>[工作簿1]Sheet1!$C$1</c:f>
              <c:strCache>
                <c:ptCount val="1"/>
                <c:pt idx="0">
                  <c:v>中央处理区（ppm）</c:v>
                </c:pt>
              </c:strCache>
            </c:strRef>
          </c:tx>
          <c:spPr>
            <a:solidFill>
              <a:schemeClr val="accent1">
                <a:lumMod val="50000"/>
              </a:schemeClr>
            </a:solidFill>
            <a:ln>
              <a:solidFill>
                <a:schemeClr val="accent1">
                  <a:lumMod val="50000"/>
                </a:schemeClr>
              </a:solidFill>
            </a:ln>
            <a:effectLst>
              <a:innerShdw blurRad="114300">
                <a:schemeClr val="accent2">
                  <a:lumMod val="20000"/>
                  <a:lumOff val="80000"/>
                </a:schemeClr>
              </a:innerShdw>
            </a:effectLst>
            <a:sp3d contourW="12700"/>
          </c:spPr>
          <c:invertIfNegative val="0"/>
          <c:dLbls>
            <c:delete val="1"/>
          </c:dLbls>
          <c:cat>
            <c:numRef>
              <c:f>[工作簿1]Sheet1!$A$2:$A$97</c:f>
              <c:numCache>
                <c:formatCode>yyyy"年"m"月"d"日"</c:formatCode>
                <c:ptCount val="96"/>
                <c:pt idx="0" c:formatCode="yyyy&quot;年&quot;m&quot;月&quot;d&quot;日&quot;">
                  <c:v>45773</c:v>
                </c:pt>
                <c:pt idx="1" c:formatCode="yyyy&quot;年&quot;m&quot;月&quot;d&quot;日&quot;">
                  <c:v>45774</c:v>
                </c:pt>
                <c:pt idx="2" c:formatCode="yyyy&quot;年&quot;m&quot;月&quot;d&quot;日&quot;">
                  <c:v>45775</c:v>
                </c:pt>
                <c:pt idx="3" c:formatCode="yyyy&quot;年&quot;m&quot;月&quot;d&quot;日&quot;">
                  <c:v>45776</c:v>
                </c:pt>
                <c:pt idx="4" c:formatCode="yyyy&quot;年&quot;m&quot;月&quot;d&quot;日&quot;">
                  <c:v>45777</c:v>
                </c:pt>
                <c:pt idx="5" c:formatCode="yyyy&quot;年&quot;m&quot;月&quot;d&quot;日&quot;">
                  <c:v>45778</c:v>
                </c:pt>
                <c:pt idx="6" c:formatCode="yyyy&quot;年&quot;m&quot;月&quot;d&quot;日&quot;">
                  <c:v>45779</c:v>
                </c:pt>
                <c:pt idx="7" c:formatCode="yyyy&quot;年&quot;m&quot;月&quot;d&quot;日&quot;">
                  <c:v>45780</c:v>
                </c:pt>
                <c:pt idx="8" c:formatCode="yyyy&quot;年&quot;m&quot;月&quot;d&quot;日&quot;">
                  <c:v>45781</c:v>
                </c:pt>
                <c:pt idx="9" c:formatCode="yyyy&quot;年&quot;m&quot;月&quot;d&quot;日&quot;">
                  <c:v>45782</c:v>
                </c:pt>
                <c:pt idx="10" c:formatCode="yyyy&quot;年&quot;m&quot;月&quot;d&quot;日&quot;">
                  <c:v>45783</c:v>
                </c:pt>
                <c:pt idx="11" c:formatCode="yyyy&quot;年&quot;m&quot;月&quot;d&quot;日&quot;">
                  <c:v>45784</c:v>
                </c:pt>
                <c:pt idx="12" c:formatCode="yyyy&quot;年&quot;m&quot;月&quot;d&quot;日&quot;">
                  <c:v>45785</c:v>
                </c:pt>
                <c:pt idx="13" c:formatCode="yyyy&quot;年&quot;m&quot;月&quot;d&quot;日&quot;">
                  <c:v>45786</c:v>
                </c:pt>
                <c:pt idx="14" c:formatCode="yyyy&quot;年&quot;m&quot;月&quot;d&quot;日&quot;">
                  <c:v>45787</c:v>
                </c:pt>
                <c:pt idx="15" c:formatCode="yyyy&quot;年&quot;m&quot;月&quot;d&quot;日&quot;">
                  <c:v>45788</c:v>
                </c:pt>
                <c:pt idx="16" c:formatCode="yyyy&quot;年&quot;m&quot;月&quot;d&quot;日&quot;">
                  <c:v>45789</c:v>
                </c:pt>
                <c:pt idx="17" c:formatCode="yyyy&quot;年&quot;m&quot;月&quot;d&quot;日&quot;">
                  <c:v>45790</c:v>
                </c:pt>
                <c:pt idx="18" c:formatCode="yyyy&quot;年&quot;m&quot;月&quot;d&quot;日&quot;">
                  <c:v>45791</c:v>
                </c:pt>
                <c:pt idx="19" c:formatCode="yyyy&quot;年&quot;m&quot;月&quot;d&quot;日&quot;">
                  <c:v>45792</c:v>
                </c:pt>
                <c:pt idx="20" c:formatCode="yyyy&quot;年&quot;m&quot;月&quot;d&quot;日&quot;">
                  <c:v>45793</c:v>
                </c:pt>
                <c:pt idx="21" c:formatCode="yyyy&quot;年&quot;m&quot;月&quot;d&quot;日&quot;">
                  <c:v>45794</c:v>
                </c:pt>
                <c:pt idx="22" c:formatCode="yyyy&quot;年&quot;m&quot;月&quot;d&quot;日&quot;">
                  <c:v>45795</c:v>
                </c:pt>
                <c:pt idx="23" c:formatCode="yyyy&quot;年&quot;m&quot;月&quot;d&quot;日&quot;">
                  <c:v>45796</c:v>
                </c:pt>
                <c:pt idx="24" c:formatCode="yyyy&quot;年&quot;m&quot;月&quot;d&quot;日&quot;">
                  <c:v>45797</c:v>
                </c:pt>
                <c:pt idx="25" c:formatCode="yyyy&quot;年&quot;m&quot;月&quot;d&quot;日&quot;">
                  <c:v>45798</c:v>
                </c:pt>
                <c:pt idx="26" c:formatCode="yyyy&quot;年&quot;m&quot;月&quot;d&quot;日&quot;">
                  <c:v>45799</c:v>
                </c:pt>
                <c:pt idx="27" c:formatCode="yyyy&quot;年&quot;m&quot;月&quot;d&quot;日&quot;">
                  <c:v>45800</c:v>
                </c:pt>
                <c:pt idx="28" c:formatCode="yyyy&quot;年&quot;m&quot;月&quot;d&quot;日&quot;">
                  <c:v>45801</c:v>
                </c:pt>
                <c:pt idx="29" c:formatCode="yyyy&quot;年&quot;m&quot;月&quot;d&quot;日&quot;">
                  <c:v>45802</c:v>
                </c:pt>
                <c:pt idx="30" c:formatCode="yyyy&quot;年&quot;m&quot;月&quot;d&quot;日&quot;">
                  <c:v>45803</c:v>
                </c:pt>
                <c:pt idx="31" c:formatCode="yyyy&quot;年&quot;m&quot;月&quot;d&quot;日&quot;">
                  <c:v>45804</c:v>
                </c:pt>
                <c:pt idx="32" c:formatCode="yyyy&quot;年&quot;m&quot;月&quot;d&quot;日&quot;">
                  <c:v>45805</c:v>
                </c:pt>
                <c:pt idx="33" c:formatCode="yyyy&quot;年&quot;m&quot;月&quot;d&quot;日&quot;">
                  <c:v>45806</c:v>
                </c:pt>
                <c:pt idx="34" c:formatCode="yyyy&quot;年&quot;m&quot;月&quot;d&quot;日&quot;">
                  <c:v>45807</c:v>
                </c:pt>
                <c:pt idx="35" c:formatCode="yyyy&quot;年&quot;m&quot;月&quot;d&quot;日&quot;">
                  <c:v>45808</c:v>
                </c:pt>
                <c:pt idx="36" c:formatCode="yyyy&quot;年&quot;m&quot;月&quot;d&quot;日&quot;">
                  <c:v>45809</c:v>
                </c:pt>
                <c:pt idx="37" c:formatCode="yyyy&quot;年&quot;m&quot;月&quot;d&quot;日&quot;">
                  <c:v>45810</c:v>
                </c:pt>
                <c:pt idx="38" c:formatCode="yyyy&quot;年&quot;m&quot;月&quot;d&quot;日&quot;">
                  <c:v>45811</c:v>
                </c:pt>
                <c:pt idx="39" c:formatCode="yyyy&quot;年&quot;m&quot;月&quot;d&quot;日&quot;">
                  <c:v>45812</c:v>
                </c:pt>
                <c:pt idx="40" c:formatCode="yyyy&quot;年&quot;m&quot;月&quot;d&quot;日&quot;">
                  <c:v>45813</c:v>
                </c:pt>
                <c:pt idx="41" c:formatCode="yyyy&quot;年&quot;m&quot;月&quot;d&quot;日&quot;">
                  <c:v>45814</c:v>
                </c:pt>
                <c:pt idx="42" c:formatCode="yyyy&quot;年&quot;m&quot;月&quot;d&quot;日&quot;">
                  <c:v>45815</c:v>
                </c:pt>
                <c:pt idx="43" c:formatCode="yyyy&quot;年&quot;m&quot;月&quot;d&quot;日&quot;">
                  <c:v>45816</c:v>
                </c:pt>
                <c:pt idx="44" c:formatCode="yyyy&quot;年&quot;m&quot;月&quot;d&quot;日&quot;">
                  <c:v>45817</c:v>
                </c:pt>
                <c:pt idx="45" c:formatCode="yyyy&quot;年&quot;m&quot;月&quot;d&quot;日&quot;">
                  <c:v>45818</c:v>
                </c:pt>
                <c:pt idx="46" c:formatCode="yyyy&quot;年&quot;m&quot;月&quot;d&quot;日&quot;">
                  <c:v>45819</c:v>
                </c:pt>
                <c:pt idx="47" c:formatCode="yyyy&quot;年&quot;m&quot;月&quot;d&quot;日&quot;">
                  <c:v>45820</c:v>
                </c:pt>
                <c:pt idx="48" c:formatCode="yyyy&quot;年&quot;m&quot;月&quot;d&quot;日&quot;">
                  <c:v>45821</c:v>
                </c:pt>
                <c:pt idx="49" c:formatCode="yyyy&quot;年&quot;m&quot;月&quot;d&quot;日&quot;">
                  <c:v>45822</c:v>
                </c:pt>
                <c:pt idx="50" c:formatCode="yyyy&quot;年&quot;m&quot;月&quot;d&quot;日&quot;">
                  <c:v>45823</c:v>
                </c:pt>
                <c:pt idx="51" c:formatCode="yyyy&quot;年&quot;m&quot;月&quot;d&quot;日&quot;">
                  <c:v>45824</c:v>
                </c:pt>
                <c:pt idx="52" c:formatCode="yyyy&quot;年&quot;m&quot;月&quot;d&quot;日&quot;">
                  <c:v>45825</c:v>
                </c:pt>
                <c:pt idx="53" c:formatCode="yyyy&quot;年&quot;m&quot;月&quot;d&quot;日&quot;">
                  <c:v>45826</c:v>
                </c:pt>
                <c:pt idx="54" c:formatCode="yyyy&quot;年&quot;m&quot;月&quot;d&quot;日&quot;">
                  <c:v>45827</c:v>
                </c:pt>
                <c:pt idx="55" c:formatCode="yyyy&quot;年&quot;m&quot;月&quot;d&quot;日&quot;">
                  <c:v>45828</c:v>
                </c:pt>
                <c:pt idx="56" c:formatCode="yyyy&quot;年&quot;m&quot;月&quot;d&quot;日&quot;">
                  <c:v>45829</c:v>
                </c:pt>
                <c:pt idx="57" c:formatCode="yyyy&quot;年&quot;m&quot;月&quot;d&quot;日&quot;">
                  <c:v>45830</c:v>
                </c:pt>
                <c:pt idx="58" c:formatCode="yyyy&quot;年&quot;m&quot;月&quot;d&quot;日&quot;">
                  <c:v>45831</c:v>
                </c:pt>
                <c:pt idx="59" c:formatCode="yyyy&quot;年&quot;m&quot;月&quot;d&quot;日&quot;">
                  <c:v>45832</c:v>
                </c:pt>
                <c:pt idx="60" c:formatCode="yyyy&quot;年&quot;m&quot;月&quot;d&quot;日&quot;">
                  <c:v>45833</c:v>
                </c:pt>
                <c:pt idx="61" c:formatCode="yyyy&quot;年&quot;m&quot;月&quot;d&quot;日&quot;">
                  <c:v>45834</c:v>
                </c:pt>
                <c:pt idx="62" c:formatCode="yyyy&quot;年&quot;m&quot;月&quot;d&quot;日&quot;">
                  <c:v>45835</c:v>
                </c:pt>
                <c:pt idx="63" c:formatCode="yyyy&quot;年&quot;m&quot;月&quot;d&quot;日&quot;">
                  <c:v>45836</c:v>
                </c:pt>
                <c:pt idx="64" c:formatCode="yyyy&quot;年&quot;m&quot;月&quot;d&quot;日&quot;">
                  <c:v>45837</c:v>
                </c:pt>
                <c:pt idx="65" c:formatCode="yyyy&quot;年&quot;m&quot;月&quot;d&quot;日&quot;">
                  <c:v>45838</c:v>
                </c:pt>
                <c:pt idx="66" c:formatCode="yyyy&quot;年&quot;m&quot;月&quot;d&quot;日&quot;">
                  <c:v>45839</c:v>
                </c:pt>
                <c:pt idx="67" c:formatCode="yyyy&quot;年&quot;m&quot;月&quot;d&quot;日&quot;">
                  <c:v>45840</c:v>
                </c:pt>
                <c:pt idx="68" c:formatCode="yyyy&quot;年&quot;m&quot;月&quot;d&quot;日&quot;">
                  <c:v>45841</c:v>
                </c:pt>
                <c:pt idx="69" c:formatCode="yyyy&quot;年&quot;m&quot;月&quot;d&quot;日&quot;">
                  <c:v>45842</c:v>
                </c:pt>
                <c:pt idx="70" c:formatCode="yyyy&quot;年&quot;m&quot;月&quot;d&quot;日&quot;">
                  <c:v>45843</c:v>
                </c:pt>
                <c:pt idx="71" c:formatCode="yyyy&quot;年&quot;m&quot;月&quot;d&quot;日&quot;">
                  <c:v>45844</c:v>
                </c:pt>
                <c:pt idx="72" c:formatCode="yyyy&quot;年&quot;m&quot;月&quot;d&quot;日&quot;">
                  <c:v>45845</c:v>
                </c:pt>
                <c:pt idx="73" c:formatCode="yyyy&quot;年&quot;m&quot;月&quot;d&quot;日&quot;">
                  <c:v>45846</c:v>
                </c:pt>
                <c:pt idx="74" c:formatCode="yyyy&quot;年&quot;m&quot;月&quot;d&quot;日&quot;">
                  <c:v>45847</c:v>
                </c:pt>
                <c:pt idx="75" c:formatCode="yyyy&quot;年&quot;m&quot;月&quot;d&quot;日&quot;">
                  <c:v>45848</c:v>
                </c:pt>
                <c:pt idx="76" c:formatCode="yyyy&quot;年&quot;m&quot;月&quot;d&quot;日&quot;">
                  <c:v>45849</c:v>
                </c:pt>
                <c:pt idx="77" c:formatCode="yyyy&quot;年&quot;m&quot;月&quot;d&quot;日&quot;">
                  <c:v>45850</c:v>
                </c:pt>
                <c:pt idx="78" c:formatCode="yyyy&quot;年&quot;m&quot;月&quot;d&quot;日&quot;">
                  <c:v>45851</c:v>
                </c:pt>
                <c:pt idx="79" c:formatCode="yyyy&quot;年&quot;m&quot;月&quot;d&quot;日&quot;">
                  <c:v>45852</c:v>
                </c:pt>
                <c:pt idx="80" c:formatCode="yyyy&quot;年&quot;m&quot;月&quot;d&quot;日&quot;">
                  <c:v>45853</c:v>
                </c:pt>
                <c:pt idx="81" c:formatCode="yyyy&quot;年&quot;m&quot;月&quot;d&quot;日&quot;">
                  <c:v>45854</c:v>
                </c:pt>
                <c:pt idx="82" c:formatCode="yyyy&quot;年&quot;m&quot;月&quot;d&quot;日&quot;">
                  <c:v>45855</c:v>
                </c:pt>
                <c:pt idx="83" c:formatCode="yyyy&quot;年&quot;m&quot;月&quot;d&quot;日&quot;">
                  <c:v>45856</c:v>
                </c:pt>
                <c:pt idx="84" c:formatCode="yyyy&quot;年&quot;m&quot;月&quot;d&quot;日&quot;">
                  <c:v>45857</c:v>
                </c:pt>
                <c:pt idx="85" c:formatCode="yyyy&quot;年&quot;m&quot;月&quot;d&quot;日&quot;">
                  <c:v>45858</c:v>
                </c:pt>
                <c:pt idx="86" c:formatCode="yyyy&quot;年&quot;m&quot;月&quot;d&quot;日&quot;">
                  <c:v>45859</c:v>
                </c:pt>
                <c:pt idx="87" c:formatCode="yyyy&quot;年&quot;m&quot;月&quot;d&quot;日&quot;">
                  <c:v>45860</c:v>
                </c:pt>
                <c:pt idx="88" c:formatCode="yyyy&quot;年&quot;m&quot;月&quot;d&quot;日&quot;">
                  <c:v>45861</c:v>
                </c:pt>
                <c:pt idx="89" c:formatCode="yyyy&quot;年&quot;m&quot;月&quot;d&quot;日&quot;">
                  <c:v>45862</c:v>
                </c:pt>
                <c:pt idx="90" c:formatCode="yyyy&quot;年&quot;m&quot;月&quot;d&quot;日&quot;">
                  <c:v>45863</c:v>
                </c:pt>
                <c:pt idx="91" c:formatCode="yyyy&quot;年&quot;m&quot;月&quot;d&quot;日&quot;">
                  <c:v>45864</c:v>
                </c:pt>
                <c:pt idx="92" c:formatCode="yyyy&quot;年&quot;m&quot;月&quot;d&quot;日&quot;">
                  <c:v>45865</c:v>
                </c:pt>
                <c:pt idx="93" c:formatCode="yyyy&quot;年&quot;m&quot;月&quot;d&quot;日&quot;">
                  <c:v>45866</c:v>
                </c:pt>
                <c:pt idx="94" c:formatCode="yyyy&quot;年&quot;m&quot;月&quot;d&quot;日&quot;">
                  <c:v>45867</c:v>
                </c:pt>
                <c:pt idx="95" c:formatCode="yyyy&quot;年&quot;m&quot;月&quot;d&quot;日&quot;">
                  <c:v>45868</c:v>
                </c:pt>
              </c:numCache>
            </c:numRef>
          </c:cat>
          <c:val>
            <c:numRef>
              <c:f>[工作簿1]Sheet1!$C$2:$C$97</c:f>
              <c:numCache>
                <c:formatCode>General</c:formatCode>
                <c:ptCount val="96"/>
                <c:pt idx="0">
                  <c:v>190</c:v>
                </c:pt>
                <c:pt idx="1">
                  <c:v>186</c:v>
                </c:pt>
                <c:pt idx="2">
                  <c:v>186</c:v>
                </c:pt>
                <c:pt idx="3">
                  <c:v>183</c:v>
                </c:pt>
                <c:pt idx="4">
                  <c:v>183</c:v>
                </c:pt>
                <c:pt idx="5">
                  <c:v>179</c:v>
                </c:pt>
                <c:pt idx="6">
                  <c:v>180</c:v>
                </c:pt>
                <c:pt idx="7">
                  <c:v>180</c:v>
                </c:pt>
                <c:pt idx="8">
                  <c:v>178</c:v>
                </c:pt>
                <c:pt idx="9">
                  <c:v>180</c:v>
                </c:pt>
                <c:pt idx="10">
                  <c:v>178</c:v>
                </c:pt>
                <c:pt idx="11">
                  <c:v>181</c:v>
                </c:pt>
                <c:pt idx="12">
                  <c:v>180</c:v>
                </c:pt>
                <c:pt idx="13">
                  <c:v>181</c:v>
                </c:pt>
                <c:pt idx="14">
                  <c:v>179</c:v>
                </c:pt>
                <c:pt idx="15">
                  <c:v>179</c:v>
                </c:pt>
                <c:pt idx="16">
                  <c:v>182</c:v>
                </c:pt>
                <c:pt idx="17">
                  <c:v>181</c:v>
                </c:pt>
                <c:pt idx="18">
                  <c:v>181</c:v>
                </c:pt>
                <c:pt idx="19">
                  <c:v>179</c:v>
                </c:pt>
                <c:pt idx="20">
                  <c:v>179</c:v>
                </c:pt>
                <c:pt idx="21">
                  <c:v>180</c:v>
                </c:pt>
                <c:pt idx="22">
                  <c:v>183</c:v>
                </c:pt>
                <c:pt idx="23">
                  <c:v>181</c:v>
                </c:pt>
                <c:pt idx="24">
                  <c:v>185</c:v>
                </c:pt>
                <c:pt idx="25">
                  <c:v>187</c:v>
                </c:pt>
                <c:pt idx="26">
                  <c:v>181</c:v>
                </c:pt>
                <c:pt idx="27">
                  <c:v>183</c:v>
                </c:pt>
                <c:pt idx="28">
                  <c:v>187</c:v>
                </c:pt>
                <c:pt idx="29">
                  <c:v>186</c:v>
                </c:pt>
                <c:pt idx="30">
                  <c:v>186</c:v>
                </c:pt>
                <c:pt idx="31">
                  <c:v>185</c:v>
                </c:pt>
                <c:pt idx="32">
                  <c:v>185</c:v>
                </c:pt>
                <c:pt idx="33">
                  <c:v>188</c:v>
                </c:pt>
                <c:pt idx="34">
                  <c:v>185</c:v>
                </c:pt>
                <c:pt idx="35">
                  <c:v>171</c:v>
                </c:pt>
                <c:pt idx="36">
                  <c:v>178</c:v>
                </c:pt>
                <c:pt idx="37">
                  <c:v>185</c:v>
                </c:pt>
                <c:pt idx="38">
                  <c:v>185</c:v>
                </c:pt>
                <c:pt idx="39">
                  <c:v>181</c:v>
                </c:pt>
                <c:pt idx="40">
                  <c:v>176</c:v>
                </c:pt>
                <c:pt idx="41">
                  <c:v>179</c:v>
                </c:pt>
                <c:pt idx="42">
                  <c:v>182</c:v>
                </c:pt>
                <c:pt idx="43">
                  <c:v>185</c:v>
                </c:pt>
                <c:pt idx="44">
                  <c:v>182</c:v>
                </c:pt>
                <c:pt idx="45">
                  <c:v>181</c:v>
                </c:pt>
                <c:pt idx="46">
                  <c:v>181</c:v>
                </c:pt>
                <c:pt idx="47">
                  <c:v>175</c:v>
                </c:pt>
                <c:pt idx="48">
                  <c:v>177</c:v>
                </c:pt>
                <c:pt idx="49">
                  <c:v>174</c:v>
                </c:pt>
                <c:pt idx="50">
                  <c:v>168</c:v>
                </c:pt>
                <c:pt idx="51">
                  <c:v>166</c:v>
                </c:pt>
                <c:pt idx="52">
                  <c:v>172</c:v>
                </c:pt>
                <c:pt idx="53">
                  <c:v>169</c:v>
                </c:pt>
                <c:pt idx="54">
                  <c:v>173</c:v>
                </c:pt>
                <c:pt idx="55">
                  <c:v>177</c:v>
                </c:pt>
                <c:pt idx="56">
                  <c:v>179</c:v>
                </c:pt>
                <c:pt idx="57">
                  <c:v>180</c:v>
                </c:pt>
                <c:pt idx="58">
                  <c:v>180</c:v>
                </c:pt>
                <c:pt idx="59">
                  <c:v>176</c:v>
                </c:pt>
                <c:pt idx="60">
                  <c:v>159</c:v>
                </c:pt>
                <c:pt idx="61">
                  <c:v>177</c:v>
                </c:pt>
                <c:pt idx="62">
                  <c:v>167</c:v>
                </c:pt>
                <c:pt idx="63">
                  <c:v>174</c:v>
                </c:pt>
                <c:pt idx="64">
                  <c:v>175</c:v>
                </c:pt>
                <c:pt idx="65">
                  <c:v>172</c:v>
                </c:pt>
                <c:pt idx="66">
                  <c:v>176</c:v>
                </c:pt>
                <c:pt idx="67">
                  <c:v>174</c:v>
                </c:pt>
                <c:pt idx="68">
                  <c:v>170</c:v>
                </c:pt>
                <c:pt idx="69">
                  <c:v>176</c:v>
                </c:pt>
                <c:pt idx="70">
                  <c:v>173</c:v>
                </c:pt>
                <c:pt idx="71">
                  <c:v>174</c:v>
                </c:pt>
                <c:pt idx="72">
                  <c:v>173</c:v>
                </c:pt>
                <c:pt idx="73">
                  <c:v>172</c:v>
                </c:pt>
                <c:pt idx="74">
                  <c:v>175</c:v>
                </c:pt>
                <c:pt idx="75">
                  <c:v>171</c:v>
                </c:pt>
                <c:pt idx="76">
                  <c:v>171</c:v>
                </c:pt>
                <c:pt idx="77">
                  <c:v>169</c:v>
                </c:pt>
                <c:pt idx="78">
                  <c:v>170</c:v>
                </c:pt>
                <c:pt idx="79">
                  <c:v>171</c:v>
                </c:pt>
                <c:pt idx="80">
                  <c:v>170</c:v>
                </c:pt>
                <c:pt idx="81">
                  <c:v>168</c:v>
                </c:pt>
                <c:pt idx="82">
                  <c:v>175</c:v>
                </c:pt>
                <c:pt idx="83">
                  <c:v>172</c:v>
                </c:pt>
                <c:pt idx="84">
                  <c:v>176</c:v>
                </c:pt>
                <c:pt idx="85">
                  <c:v>174</c:v>
                </c:pt>
                <c:pt idx="86">
                  <c:v>174</c:v>
                </c:pt>
                <c:pt idx="87">
                  <c:v>173</c:v>
                </c:pt>
                <c:pt idx="88">
                  <c:v>171</c:v>
                </c:pt>
                <c:pt idx="89">
                  <c:v>172</c:v>
                </c:pt>
                <c:pt idx="90">
                  <c:v>175</c:v>
                </c:pt>
                <c:pt idx="91">
                  <c:v>179</c:v>
                </c:pt>
                <c:pt idx="92">
                  <c:v>177</c:v>
                </c:pt>
                <c:pt idx="93">
                  <c:v>176</c:v>
                </c:pt>
                <c:pt idx="94">
                  <c:v>173</c:v>
                </c:pt>
                <c:pt idx="95">
                  <c:v>176</c:v>
                </c:pt>
              </c:numCache>
            </c:numRef>
          </c:val>
        </c:ser>
        <c:dLbls>
          <c:showLegendKey val="0"/>
          <c:showVal val="0"/>
          <c:showCatName val="0"/>
          <c:showSerName val="0"/>
          <c:showPercent val="0"/>
          <c:showBubbleSize val="0"/>
        </c:dLbls>
        <c:gapWidth val="200"/>
        <c:overlap val="0"/>
        <c:axId val="447612253"/>
        <c:axId val="401484088"/>
      </c:barChart>
      <c:lineChart>
        <c:grouping val="standard"/>
        <c:varyColors val="0"/>
        <c:ser>
          <c:idx val="2"/>
          <c:order val="2"/>
          <c:tx>
            <c:strRef>
              <c:f>[工作簿1]Sheet1!$D$1</c:f>
              <c:strCache>
                <c:ptCount val="1"/>
                <c:pt idx="0">
                  <c:v>破乳剂总浓度（ppm）</c:v>
                </c:pt>
              </c:strCache>
            </c:strRef>
          </c:tx>
          <c:spPr>
            <a:ln w="28575" cap="rnd">
              <a:solidFill>
                <a:srgbClr val="FF0000"/>
              </a:solidFill>
              <a:round/>
            </a:ln>
            <a:effectLst>
              <a:innerShdw blurRad="114300">
                <a:schemeClr val="accent3">
                  <a:lumMod val="20000"/>
                  <a:lumOff val="80000"/>
                  <a:alpha val="100000"/>
                </a:schemeClr>
              </a:innerShdw>
            </a:effectLst>
            <a:sp3d contourW="12700"/>
          </c:spPr>
          <c:marker>
            <c:symbol val="none"/>
          </c:marker>
          <c:dLbls>
            <c:delete val="1"/>
          </c:dLbls>
          <c:cat>
            <c:numRef>
              <c:f>[工作簿1]Sheet1!$A$2:$A$97</c:f>
              <c:numCache>
                <c:formatCode>yyyy"年"m"月"d"日"</c:formatCode>
                <c:ptCount val="96"/>
                <c:pt idx="0" c:formatCode="yyyy&quot;年&quot;m&quot;月&quot;d&quot;日&quot;">
                  <c:v>45773</c:v>
                </c:pt>
                <c:pt idx="1" c:formatCode="yyyy&quot;年&quot;m&quot;月&quot;d&quot;日&quot;">
                  <c:v>45774</c:v>
                </c:pt>
                <c:pt idx="2" c:formatCode="yyyy&quot;年&quot;m&quot;月&quot;d&quot;日&quot;">
                  <c:v>45775</c:v>
                </c:pt>
                <c:pt idx="3" c:formatCode="yyyy&quot;年&quot;m&quot;月&quot;d&quot;日&quot;">
                  <c:v>45776</c:v>
                </c:pt>
                <c:pt idx="4" c:formatCode="yyyy&quot;年&quot;m&quot;月&quot;d&quot;日&quot;">
                  <c:v>45777</c:v>
                </c:pt>
                <c:pt idx="5" c:formatCode="yyyy&quot;年&quot;m&quot;月&quot;d&quot;日&quot;">
                  <c:v>45778</c:v>
                </c:pt>
                <c:pt idx="6" c:formatCode="yyyy&quot;年&quot;m&quot;月&quot;d&quot;日&quot;">
                  <c:v>45779</c:v>
                </c:pt>
                <c:pt idx="7" c:formatCode="yyyy&quot;年&quot;m&quot;月&quot;d&quot;日&quot;">
                  <c:v>45780</c:v>
                </c:pt>
                <c:pt idx="8" c:formatCode="yyyy&quot;年&quot;m&quot;月&quot;d&quot;日&quot;">
                  <c:v>45781</c:v>
                </c:pt>
                <c:pt idx="9" c:formatCode="yyyy&quot;年&quot;m&quot;月&quot;d&quot;日&quot;">
                  <c:v>45782</c:v>
                </c:pt>
                <c:pt idx="10" c:formatCode="yyyy&quot;年&quot;m&quot;月&quot;d&quot;日&quot;">
                  <c:v>45783</c:v>
                </c:pt>
                <c:pt idx="11" c:formatCode="yyyy&quot;年&quot;m&quot;月&quot;d&quot;日&quot;">
                  <c:v>45784</c:v>
                </c:pt>
                <c:pt idx="12" c:formatCode="yyyy&quot;年&quot;m&quot;月&quot;d&quot;日&quot;">
                  <c:v>45785</c:v>
                </c:pt>
                <c:pt idx="13" c:formatCode="yyyy&quot;年&quot;m&quot;月&quot;d&quot;日&quot;">
                  <c:v>45786</c:v>
                </c:pt>
                <c:pt idx="14" c:formatCode="yyyy&quot;年&quot;m&quot;月&quot;d&quot;日&quot;">
                  <c:v>45787</c:v>
                </c:pt>
                <c:pt idx="15" c:formatCode="yyyy&quot;年&quot;m&quot;月&quot;d&quot;日&quot;">
                  <c:v>45788</c:v>
                </c:pt>
                <c:pt idx="16" c:formatCode="yyyy&quot;年&quot;m&quot;月&quot;d&quot;日&quot;">
                  <c:v>45789</c:v>
                </c:pt>
                <c:pt idx="17" c:formatCode="yyyy&quot;年&quot;m&quot;月&quot;d&quot;日&quot;">
                  <c:v>45790</c:v>
                </c:pt>
                <c:pt idx="18" c:formatCode="yyyy&quot;年&quot;m&quot;月&quot;d&quot;日&quot;">
                  <c:v>45791</c:v>
                </c:pt>
                <c:pt idx="19" c:formatCode="yyyy&quot;年&quot;m&quot;月&quot;d&quot;日&quot;">
                  <c:v>45792</c:v>
                </c:pt>
                <c:pt idx="20" c:formatCode="yyyy&quot;年&quot;m&quot;月&quot;d&quot;日&quot;">
                  <c:v>45793</c:v>
                </c:pt>
                <c:pt idx="21" c:formatCode="yyyy&quot;年&quot;m&quot;月&quot;d&quot;日&quot;">
                  <c:v>45794</c:v>
                </c:pt>
                <c:pt idx="22" c:formatCode="yyyy&quot;年&quot;m&quot;月&quot;d&quot;日&quot;">
                  <c:v>45795</c:v>
                </c:pt>
                <c:pt idx="23" c:formatCode="yyyy&quot;年&quot;m&quot;月&quot;d&quot;日&quot;">
                  <c:v>45796</c:v>
                </c:pt>
                <c:pt idx="24" c:formatCode="yyyy&quot;年&quot;m&quot;月&quot;d&quot;日&quot;">
                  <c:v>45797</c:v>
                </c:pt>
                <c:pt idx="25" c:formatCode="yyyy&quot;年&quot;m&quot;月&quot;d&quot;日&quot;">
                  <c:v>45798</c:v>
                </c:pt>
                <c:pt idx="26" c:formatCode="yyyy&quot;年&quot;m&quot;月&quot;d&quot;日&quot;">
                  <c:v>45799</c:v>
                </c:pt>
                <c:pt idx="27" c:formatCode="yyyy&quot;年&quot;m&quot;月&quot;d&quot;日&quot;">
                  <c:v>45800</c:v>
                </c:pt>
                <c:pt idx="28" c:formatCode="yyyy&quot;年&quot;m&quot;月&quot;d&quot;日&quot;">
                  <c:v>45801</c:v>
                </c:pt>
                <c:pt idx="29" c:formatCode="yyyy&quot;年&quot;m&quot;月&quot;d&quot;日&quot;">
                  <c:v>45802</c:v>
                </c:pt>
                <c:pt idx="30" c:formatCode="yyyy&quot;年&quot;m&quot;月&quot;d&quot;日&quot;">
                  <c:v>45803</c:v>
                </c:pt>
                <c:pt idx="31" c:formatCode="yyyy&quot;年&quot;m&quot;月&quot;d&quot;日&quot;">
                  <c:v>45804</c:v>
                </c:pt>
                <c:pt idx="32" c:formatCode="yyyy&quot;年&quot;m&quot;月&quot;d&quot;日&quot;">
                  <c:v>45805</c:v>
                </c:pt>
                <c:pt idx="33" c:formatCode="yyyy&quot;年&quot;m&quot;月&quot;d&quot;日&quot;">
                  <c:v>45806</c:v>
                </c:pt>
                <c:pt idx="34" c:formatCode="yyyy&quot;年&quot;m&quot;月&quot;d&quot;日&quot;">
                  <c:v>45807</c:v>
                </c:pt>
                <c:pt idx="35" c:formatCode="yyyy&quot;年&quot;m&quot;月&quot;d&quot;日&quot;">
                  <c:v>45808</c:v>
                </c:pt>
                <c:pt idx="36" c:formatCode="yyyy&quot;年&quot;m&quot;月&quot;d&quot;日&quot;">
                  <c:v>45809</c:v>
                </c:pt>
                <c:pt idx="37" c:formatCode="yyyy&quot;年&quot;m&quot;月&quot;d&quot;日&quot;">
                  <c:v>45810</c:v>
                </c:pt>
                <c:pt idx="38" c:formatCode="yyyy&quot;年&quot;m&quot;月&quot;d&quot;日&quot;">
                  <c:v>45811</c:v>
                </c:pt>
                <c:pt idx="39" c:formatCode="yyyy&quot;年&quot;m&quot;月&quot;d&quot;日&quot;">
                  <c:v>45812</c:v>
                </c:pt>
                <c:pt idx="40" c:formatCode="yyyy&quot;年&quot;m&quot;月&quot;d&quot;日&quot;">
                  <c:v>45813</c:v>
                </c:pt>
                <c:pt idx="41" c:formatCode="yyyy&quot;年&quot;m&quot;月&quot;d&quot;日&quot;">
                  <c:v>45814</c:v>
                </c:pt>
                <c:pt idx="42" c:formatCode="yyyy&quot;年&quot;m&quot;月&quot;d&quot;日&quot;">
                  <c:v>45815</c:v>
                </c:pt>
                <c:pt idx="43" c:formatCode="yyyy&quot;年&quot;m&quot;月&quot;d&quot;日&quot;">
                  <c:v>45816</c:v>
                </c:pt>
                <c:pt idx="44" c:formatCode="yyyy&quot;年&quot;m&quot;月&quot;d&quot;日&quot;">
                  <c:v>45817</c:v>
                </c:pt>
                <c:pt idx="45" c:formatCode="yyyy&quot;年&quot;m&quot;月&quot;d&quot;日&quot;">
                  <c:v>45818</c:v>
                </c:pt>
                <c:pt idx="46" c:formatCode="yyyy&quot;年&quot;m&quot;月&quot;d&quot;日&quot;">
                  <c:v>45819</c:v>
                </c:pt>
                <c:pt idx="47" c:formatCode="yyyy&quot;年&quot;m&quot;月&quot;d&quot;日&quot;">
                  <c:v>45820</c:v>
                </c:pt>
                <c:pt idx="48" c:formatCode="yyyy&quot;年&quot;m&quot;月&quot;d&quot;日&quot;">
                  <c:v>45821</c:v>
                </c:pt>
                <c:pt idx="49" c:formatCode="yyyy&quot;年&quot;m&quot;月&quot;d&quot;日&quot;">
                  <c:v>45822</c:v>
                </c:pt>
                <c:pt idx="50" c:formatCode="yyyy&quot;年&quot;m&quot;月&quot;d&quot;日&quot;">
                  <c:v>45823</c:v>
                </c:pt>
                <c:pt idx="51" c:formatCode="yyyy&quot;年&quot;m&quot;月&quot;d&quot;日&quot;">
                  <c:v>45824</c:v>
                </c:pt>
                <c:pt idx="52" c:formatCode="yyyy&quot;年&quot;m&quot;月&quot;d&quot;日&quot;">
                  <c:v>45825</c:v>
                </c:pt>
                <c:pt idx="53" c:formatCode="yyyy&quot;年&quot;m&quot;月&quot;d&quot;日&quot;">
                  <c:v>45826</c:v>
                </c:pt>
                <c:pt idx="54" c:formatCode="yyyy&quot;年&quot;m&quot;月&quot;d&quot;日&quot;">
                  <c:v>45827</c:v>
                </c:pt>
                <c:pt idx="55" c:formatCode="yyyy&quot;年&quot;m&quot;月&quot;d&quot;日&quot;">
                  <c:v>45828</c:v>
                </c:pt>
                <c:pt idx="56" c:formatCode="yyyy&quot;年&quot;m&quot;月&quot;d&quot;日&quot;">
                  <c:v>45829</c:v>
                </c:pt>
                <c:pt idx="57" c:formatCode="yyyy&quot;年&quot;m&quot;月&quot;d&quot;日&quot;">
                  <c:v>45830</c:v>
                </c:pt>
                <c:pt idx="58" c:formatCode="yyyy&quot;年&quot;m&quot;月&quot;d&quot;日&quot;">
                  <c:v>45831</c:v>
                </c:pt>
                <c:pt idx="59" c:formatCode="yyyy&quot;年&quot;m&quot;月&quot;d&quot;日&quot;">
                  <c:v>45832</c:v>
                </c:pt>
                <c:pt idx="60" c:formatCode="yyyy&quot;年&quot;m&quot;月&quot;d&quot;日&quot;">
                  <c:v>45833</c:v>
                </c:pt>
                <c:pt idx="61" c:formatCode="yyyy&quot;年&quot;m&quot;月&quot;d&quot;日&quot;">
                  <c:v>45834</c:v>
                </c:pt>
                <c:pt idx="62" c:formatCode="yyyy&quot;年&quot;m&quot;月&quot;d&quot;日&quot;">
                  <c:v>45835</c:v>
                </c:pt>
                <c:pt idx="63" c:formatCode="yyyy&quot;年&quot;m&quot;月&quot;d&quot;日&quot;">
                  <c:v>45836</c:v>
                </c:pt>
                <c:pt idx="64" c:formatCode="yyyy&quot;年&quot;m&quot;月&quot;d&quot;日&quot;">
                  <c:v>45837</c:v>
                </c:pt>
                <c:pt idx="65" c:formatCode="yyyy&quot;年&quot;m&quot;月&quot;d&quot;日&quot;">
                  <c:v>45838</c:v>
                </c:pt>
                <c:pt idx="66" c:formatCode="yyyy&quot;年&quot;m&quot;月&quot;d&quot;日&quot;">
                  <c:v>45839</c:v>
                </c:pt>
                <c:pt idx="67" c:formatCode="yyyy&quot;年&quot;m&quot;月&quot;d&quot;日&quot;">
                  <c:v>45840</c:v>
                </c:pt>
                <c:pt idx="68" c:formatCode="yyyy&quot;年&quot;m&quot;月&quot;d&quot;日&quot;">
                  <c:v>45841</c:v>
                </c:pt>
                <c:pt idx="69" c:formatCode="yyyy&quot;年&quot;m&quot;月&quot;d&quot;日&quot;">
                  <c:v>45842</c:v>
                </c:pt>
                <c:pt idx="70" c:formatCode="yyyy&quot;年&quot;m&quot;月&quot;d&quot;日&quot;">
                  <c:v>45843</c:v>
                </c:pt>
                <c:pt idx="71" c:formatCode="yyyy&quot;年&quot;m&quot;月&quot;d&quot;日&quot;">
                  <c:v>45844</c:v>
                </c:pt>
                <c:pt idx="72" c:formatCode="yyyy&quot;年&quot;m&quot;月&quot;d&quot;日&quot;">
                  <c:v>45845</c:v>
                </c:pt>
                <c:pt idx="73" c:formatCode="yyyy&quot;年&quot;m&quot;月&quot;d&quot;日&quot;">
                  <c:v>45846</c:v>
                </c:pt>
                <c:pt idx="74" c:formatCode="yyyy&quot;年&quot;m&quot;月&quot;d&quot;日&quot;">
                  <c:v>45847</c:v>
                </c:pt>
                <c:pt idx="75" c:formatCode="yyyy&quot;年&quot;m&quot;月&quot;d&quot;日&quot;">
                  <c:v>45848</c:v>
                </c:pt>
                <c:pt idx="76" c:formatCode="yyyy&quot;年&quot;m&quot;月&quot;d&quot;日&quot;">
                  <c:v>45849</c:v>
                </c:pt>
                <c:pt idx="77" c:formatCode="yyyy&quot;年&quot;m&quot;月&quot;d&quot;日&quot;">
                  <c:v>45850</c:v>
                </c:pt>
                <c:pt idx="78" c:formatCode="yyyy&quot;年&quot;m&quot;月&quot;d&quot;日&quot;">
                  <c:v>45851</c:v>
                </c:pt>
                <c:pt idx="79" c:formatCode="yyyy&quot;年&quot;m&quot;月&quot;d&quot;日&quot;">
                  <c:v>45852</c:v>
                </c:pt>
                <c:pt idx="80" c:formatCode="yyyy&quot;年&quot;m&quot;月&quot;d&quot;日&quot;">
                  <c:v>45853</c:v>
                </c:pt>
                <c:pt idx="81" c:formatCode="yyyy&quot;年&quot;m&quot;月&quot;d&quot;日&quot;">
                  <c:v>45854</c:v>
                </c:pt>
                <c:pt idx="82" c:formatCode="yyyy&quot;年&quot;m&quot;月&quot;d&quot;日&quot;">
                  <c:v>45855</c:v>
                </c:pt>
                <c:pt idx="83" c:formatCode="yyyy&quot;年&quot;m&quot;月&quot;d&quot;日&quot;">
                  <c:v>45856</c:v>
                </c:pt>
                <c:pt idx="84" c:formatCode="yyyy&quot;年&quot;m&quot;月&quot;d&quot;日&quot;">
                  <c:v>45857</c:v>
                </c:pt>
                <c:pt idx="85" c:formatCode="yyyy&quot;年&quot;m&quot;月&quot;d&quot;日&quot;">
                  <c:v>45858</c:v>
                </c:pt>
                <c:pt idx="86" c:formatCode="yyyy&quot;年&quot;m&quot;月&quot;d&quot;日&quot;">
                  <c:v>45859</c:v>
                </c:pt>
                <c:pt idx="87" c:formatCode="yyyy&quot;年&quot;m&quot;月&quot;d&quot;日&quot;">
                  <c:v>45860</c:v>
                </c:pt>
                <c:pt idx="88" c:formatCode="yyyy&quot;年&quot;m&quot;月&quot;d&quot;日&quot;">
                  <c:v>45861</c:v>
                </c:pt>
                <c:pt idx="89" c:formatCode="yyyy&quot;年&quot;m&quot;月&quot;d&quot;日&quot;">
                  <c:v>45862</c:v>
                </c:pt>
                <c:pt idx="90" c:formatCode="yyyy&quot;年&quot;m&quot;月&quot;d&quot;日&quot;">
                  <c:v>45863</c:v>
                </c:pt>
                <c:pt idx="91" c:formatCode="yyyy&quot;年&quot;m&quot;月&quot;d&quot;日&quot;">
                  <c:v>45864</c:v>
                </c:pt>
                <c:pt idx="92" c:formatCode="yyyy&quot;年&quot;m&quot;月&quot;d&quot;日&quot;">
                  <c:v>45865</c:v>
                </c:pt>
                <c:pt idx="93" c:formatCode="yyyy&quot;年&quot;m&quot;月&quot;d&quot;日&quot;">
                  <c:v>45866</c:v>
                </c:pt>
                <c:pt idx="94" c:formatCode="yyyy&quot;年&quot;m&quot;月&quot;d&quot;日&quot;">
                  <c:v>45867</c:v>
                </c:pt>
                <c:pt idx="95" c:formatCode="yyyy&quot;年&quot;m&quot;月&quot;d&quot;日&quot;">
                  <c:v>45868</c:v>
                </c:pt>
              </c:numCache>
            </c:numRef>
          </c:cat>
          <c:val>
            <c:numRef>
              <c:f>[工作簿1]Sheet1!$D$2:$D$97</c:f>
              <c:numCache>
                <c:formatCode>General</c:formatCode>
                <c:ptCount val="96"/>
                <c:pt idx="0">
                  <c:v>255</c:v>
                </c:pt>
                <c:pt idx="1">
                  <c:v>253</c:v>
                </c:pt>
                <c:pt idx="2">
                  <c:v>257</c:v>
                </c:pt>
                <c:pt idx="3">
                  <c:v>256</c:v>
                </c:pt>
                <c:pt idx="4">
                  <c:v>251</c:v>
                </c:pt>
                <c:pt idx="5">
                  <c:v>252</c:v>
                </c:pt>
                <c:pt idx="6">
                  <c:v>252</c:v>
                </c:pt>
                <c:pt idx="7">
                  <c:v>257</c:v>
                </c:pt>
                <c:pt idx="8">
                  <c:v>252</c:v>
                </c:pt>
                <c:pt idx="9">
                  <c:v>254</c:v>
                </c:pt>
                <c:pt idx="10">
                  <c:v>251</c:v>
                </c:pt>
                <c:pt idx="11">
                  <c:v>254</c:v>
                </c:pt>
                <c:pt idx="12">
                  <c:v>252</c:v>
                </c:pt>
                <c:pt idx="13">
                  <c:v>256</c:v>
                </c:pt>
                <c:pt idx="14">
                  <c:v>253</c:v>
                </c:pt>
                <c:pt idx="15">
                  <c:v>251</c:v>
                </c:pt>
                <c:pt idx="16">
                  <c:v>251</c:v>
                </c:pt>
                <c:pt idx="17">
                  <c:v>249</c:v>
                </c:pt>
                <c:pt idx="18">
                  <c:v>250</c:v>
                </c:pt>
                <c:pt idx="19">
                  <c:v>243</c:v>
                </c:pt>
                <c:pt idx="20">
                  <c:v>245</c:v>
                </c:pt>
                <c:pt idx="21">
                  <c:v>243</c:v>
                </c:pt>
                <c:pt idx="22">
                  <c:v>244</c:v>
                </c:pt>
                <c:pt idx="23">
                  <c:v>243</c:v>
                </c:pt>
                <c:pt idx="24">
                  <c:v>252</c:v>
                </c:pt>
                <c:pt idx="25">
                  <c:v>256</c:v>
                </c:pt>
                <c:pt idx="26">
                  <c:v>249</c:v>
                </c:pt>
                <c:pt idx="27">
                  <c:v>253</c:v>
                </c:pt>
                <c:pt idx="28">
                  <c:v>257</c:v>
                </c:pt>
                <c:pt idx="29">
                  <c:v>256</c:v>
                </c:pt>
                <c:pt idx="30">
                  <c:v>256</c:v>
                </c:pt>
                <c:pt idx="31">
                  <c:v>256</c:v>
                </c:pt>
                <c:pt idx="32">
                  <c:v>257</c:v>
                </c:pt>
                <c:pt idx="33">
                  <c:v>257</c:v>
                </c:pt>
                <c:pt idx="34">
                  <c:v>255</c:v>
                </c:pt>
                <c:pt idx="35">
                  <c:v>237</c:v>
                </c:pt>
                <c:pt idx="36">
                  <c:v>244</c:v>
                </c:pt>
                <c:pt idx="37">
                  <c:v>255</c:v>
                </c:pt>
                <c:pt idx="38">
                  <c:v>255</c:v>
                </c:pt>
                <c:pt idx="39">
                  <c:v>251</c:v>
                </c:pt>
                <c:pt idx="40">
                  <c:v>244</c:v>
                </c:pt>
                <c:pt idx="41">
                  <c:v>249</c:v>
                </c:pt>
                <c:pt idx="42">
                  <c:v>253</c:v>
                </c:pt>
                <c:pt idx="43">
                  <c:v>253</c:v>
                </c:pt>
                <c:pt idx="44">
                  <c:v>253</c:v>
                </c:pt>
                <c:pt idx="45">
                  <c:v>250</c:v>
                </c:pt>
                <c:pt idx="46">
                  <c:v>251</c:v>
                </c:pt>
                <c:pt idx="47">
                  <c:v>248</c:v>
                </c:pt>
                <c:pt idx="48">
                  <c:v>250</c:v>
                </c:pt>
                <c:pt idx="49">
                  <c:v>251</c:v>
                </c:pt>
                <c:pt idx="50">
                  <c:v>245</c:v>
                </c:pt>
                <c:pt idx="51">
                  <c:v>244</c:v>
                </c:pt>
                <c:pt idx="52">
                  <c:v>250</c:v>
                </c:pt>
                <c:pt idx="53">
                  <c:v>246</c:v>
                </c:pt>
                <c:pt idx="54">
                  <c:v>253</c:v>
                </c:pt>
                <c:pt idx="55">
                  <c:v>254</c:v>
                </c:pt>
                <c:pt idx="56">
                  <c:v>254</c:v>
                </c:pt>
                <c:pt idx="57">
                  <c:v>254</c:v>
                </c:pt>
                <c:pt idx="58">
                  <c:v>254</c:v>
                </c:pt>
                <c:pt idx="59">
                  <c:v>256</c:v>
                </c:pt>
                <c:pt idx="60">
                  <c:v>240</c:v>
                </c:pt>
                <c:pt idx="61">
                  <c:v>248</c:v>
                </c:pt>
                <c:pt idx="62">
                  <c:v>241</c:v>
                </c:pt>
                <c:pt idx="63">
                  <c:v>250</c:v>
                </c:pt>
                <c:pt idx="64">
                  <c:v>252</c:v>
                </c:pt>
                <c:pt idx="65">
                  <c:v>251</c:v>
                </c:pt>
                <c:pt idx="66">
                  <c:v>251</c:v>
                </c:pt>
                <c:pt idx="67">
                  <c:v>250</c:v>
                </c:pt>
                <c:pt idx="68">
                  <c:v>247</c:v>
                </c:pt>
                <c:pt idx="69">
                  <c:v>254</c:v>
                </c:pt>
                <c:pt idx="70">
                  <c:v>250</c:v>
                </c:pt>
                <c:pt idx="71">
                  <c:v>252</c:v>
                </c:pt>
                <c:pt idx="72">
                  <c:v>250</c:v>
                </c:pt>
                <c:pt idx="73">
                  <c:v>250</c:v>
                </c:pt>
                <c:pt idx="74">
                  <c:v>251</c:v>
                </c:pt>
                <c:pt idx="75">
                  <c:v>250</c:v>
                </c:pt>
                <c:pt idx="76">
                  <c:v>249</c:v>
                </c:pt>
                <c:pt idx="77">
                  <c:v>249</c:v>
                </c:pt>
                <c:pt idx="78">
                  <c:v>248</c:v>
                </c:pt>
                <c:pt idx="79">
                  <c:v>248</c:v>
                </c:pt>
                <c:pt idx="80">
                  <c:v>248</c:v>
                </c:pt>
                <c:pt idx="81">
                  <c:v>251</c:v>
                </c:pt>
                <c:pt idx="82">
                  <c:v>251</c:v>
                </c:pt>
                <c:pt idx="83">
                  <c:v>247</c:v>
                </c:pt>
                <c:pt idx="84">
                  <c:v>245</c:v>
                </c:pt>
                <c:pt idx="85">
                  <c:v>244</c:v>
                </c:pt>
                <c:pt idx="86">
                  <c:v>243</c:v>
                </c:pt>
                <c:pt idx="87">
                  <c:v>242</c:v>
                </c:pt>
                <c:pt idx="88">
                  <c:v>241</c:v>
                </c:pt>
                <c:pt idx="89">
                  <c:v>242</c:v>
                </c:pt>
                <c:pt idx="90">
                  <c:v>243</c:v>
                </c:pt>
                <c:pt idx="91">
                  <c:v>251</c:v>
                </c:pt>
                <c:pt idx="92">
                  <c:v>248</c:v>
                </c:pt>
                <c:pt idx="93">
                  <c:v>247</c:v>
                </c:pt>
                <c:pt idx="94">
                  <c:v>242</c:v>
                </c:pt>
                <c:pt idx="95">
                  <c:v>245</c:v>
                </c:pt>
              </c:numCache>
            </c:numRef>
          </c:val>
          <c:smooth val="0"/>
        </c:ser>
        <c:dLbls>
          <c:showLegendKey val="0"/>
          <c:showVal val="0"/>
          <c:showCatName val="0"/>
          <c:showSerName val="0"/>
          <c:showPercent val="0"/>
          <c:showBubbleSize val="0"/>
        </c:dLbls>
        <c:marker val="0"/>
        <c:smooth val="0"/>
        <c:axId val="447612253"/>
        <c:axId val="401484088"/>
      </c:lineChart>
      <c:dateAx>
        <c:axId val="447612253"/>
        <c:scaling>
          <c:orientation val="minMax"/>
        </c:scaling>
        <c:delete val="0"/>
        <c:axPos val="b"/>
        <c:numFmt formatCode="General" sourceLinked="1"/>
        <c:majorTickMark val="none"/>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mj-ea"/>
                <a:ea typeface="+mj-ea"/>
                <a:cs typeface="+mj-ea"/>
                <a:sym typeface="+mj-ea"/>
              </a:defRPr>
            </a:pPr>
          </a:p>
        </c:txPr>
        <c:crossAx val="401484088"/>
        <c:crosses val="autoZero"/>
        <c:auto val="1"/>
        <c:lblOffset val="100"/>
        <c:baseTimeUnit val="days"/>
      </c:dateAx>
      <c:valAx>
        <c:axId val="401484088"/>
        <c:scaling>
          <c:orientation val="minMax"/>
        </c:scaling>
        <c:delete val="0"/>
        <c:axPos val="l"/>
        <c:numFmt formatCode="General" sourceLinked="1"/>
        <c:majorTickMark val="out"/>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mj-ea"/>
                <a:ea typeface="+mj-ea"/>
                <a:cs typeface="+mj-ea"/>
                <a:sym typeface="+mj-ea"/>
              </a:defRPr>
            </a:pPr>
          </a:p>
        </c:txPr>
        <c:crossAx val="447612253"/>
        <c:crosses val="autoZero"/>
        <c:crossBetween val="between"/>
      </c:valAx>
      <c:spPr>
        <a:noFill/>
        <a:ln w="25400">
          <a:noFill/>
        </a:ln>
        <a:effectLst/>
      </c:spPr>
    </c:plotArea>
    <c:legend>
      <c:legendPos val="t"/>
      <c:legendEntry>
        <c:idx val="0"/>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75000"/>
                    <a:lumOff val="25000"/>
                  </a:schemeClr>
                </a:solidFill>
                <a:latin typeface="+mj-ea"/>
                <a:ea typeface="+mj-ea"/>
                <a:cs typeface="+mj-ea"/>
                <a:sym typeface="+mj-ea"/>
              </a:defRPr>
            </a:pPr>
          </a:p>
        </c:txPr>
      </c:legendEntry>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mj-ea"/>
              <a:ea typeface="+mj-ea"/>
              <a:cs typeface="+mj-ea"/>
              <a:sym typeface="+mj-ea"/>
            </a:defRPr>
          </a:pPr>
        </a:p>
      </c:txPr>
    </c:legend>
    <c:plotVisOnly val="1"/>
    <c:dispBlanksAs val="gap"/>
    <c:showDLblsOverMax val="0"/>
    <c:extLst>
      <c:ext uri="{0b15fc19-7d7d-44ad-8c2d-2c3a37ce22c3}">
        <chartProps xmlns="https://web.wps.cn/et/2018/main" chartId="{e977ff2b-99a1-454c-97e9-928fe48fbfeb}"/>
      </c:ext>
    </c:extLst>
  </c:chart>
  <c:spPr>
    <a:noFill/>
    <a:ln w="6350" cap="flat" cmpd="sng" algn="ctr">
      <a:noFill/>
      <a:round/>
    </a:ln>
    <a:effectLst/>
  </c:spPr>
  <c:txPr>
    <a:bodyPr/>
    <a:lstStyle/>
    <a:p>
      <a:pPr>
        <a:defRPr lang="zh-CN">
          <a:solidFill>
            <a:schemeClr val="tx1">
              <a:lumMod val="75000"/>
              <a:lumOff val="25000"/>
            </a:schemeClr>
          </a:solidFill>
          <a:latin typeface="+mj-ea"/>
          <a:ea typeface="+mj-ea"/>
          <a:cs typeface="+mj-ea"/>
          <a:sym typeface="+mj-ea"/>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药剂注入浓度（</a:t>
            </a:r>
            <a:r>
              <a:rPr lang="en-US" altLang="zh-CN"/>
              <a:t>ppm</a:t>
            </a:r>
            <a:r>
              <a:t>）</a:t>
            </a:r>
            <a:endParaRPr sz="1400" b="1" i="0" u="none" strike="noStrike" baseline="0">
              <a:solidFill>
                <a:srgbClr val="404040">
                  <a:alpha val="100000"/>
                </a:srgbClr>
              </a:solidFill>
              <a:latin typeface="宋体" panose="02010600030101010101" charset="-122"/>
              <a:ea typeface="宋体" panose="02010600030101010101" charset="-122"/>
              <a:cs typeface="宋体" panose="02010600030101010101" charset="-122"/>
            </a:endParaRP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rgbClr val="FF0000"/>
              </a:solidFill>
              <a:ln>
                <a:noFill/>
              </a:ln>
              <a:effectLst/>
            </c:spPr>
          </c:dPt>
          <c:dPt>
            <c:idx val="2"/>
            <c:invertIfNegative val="0"/>
            <c:bubble3D val="0"/>
            <c:explosion val="0"/>
            <c:spPr>
              <a:solidFill>
                <a:schemeClr val="accent6"/>
              </a:solidFill>
              <a:ln>
                <a:noFill/>
              </a:ln>
              <a:effectLst/>
            </c:spPr>
          </c:dPt>
          <c:dLbls>
            <c:dLbl>
              <c:idx val="2"/>
              <c:layout/>
              <c:tx>
                <c:rich>
                  <a:bodyPr rot="0" spcFirstLastPara="0" vertOverflow="ellipsis" vert="horz" wrap="square" lIns="38100" tIns="19050" rIns="38100" bIns="19050" anchor="ctr" anchorCtr="1"/>
                  <a:lstStyle/>
                  <a:p>
                    <a:pPr defTabSz="914400">
                      <a:defRPr lang="zh-CN" sz="1000" b="0" i="0" u="none" strike="noStrike" kern="1200" baseline="0">
                        <a:solidFill>
                          <a:schemeClr val="tx1">
                            <a:lumMod val="75000"/>
                            <a:lumOff val="25000"/>
                          </a:schemeClr>
                        </a:solidFill>
                        <a:latin typeface="+mn-lt"/>
                        <a:ea typeface="+mn-ea"/>
                        <a:cs typeface="+mn-cs"/>
                      </a:defRPr>
                    </a:pPr>
                    <a:r>
                      <a:t>24</a:t>
                    </a:r>
                    <a:r>
                      <a:rPr lang="en-US" altLang="zh-CN"/>
                      <a:t>9</a:t>
                    </a:r>
                    <a:endParaRPr lang="en-US" altLang="zh-CN"/>
                  </a:p>
                </c:rich>
              </c:tx>
              <c:dLblPos val="outEnd"/>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[草稿.xls]Sheet1!$D$173:$D$175</c:f>
              <c:strCache>
                <c:ptCount val="3"/>
                <c:pt idx="0">
                  <c:v>活动前</c:v>
                </c:pt>
                <c:pt idx="1">
                  <c:v>活动目标</c:v>
                </c:pt>
                <c:pt idx="2">
                  <c:v>活动后</c:v>
                </c:pt>
              </c:strCache>
            </c:strRef>
          </c:cat>
          <c:val>
            <c:numRef>
              <c:f>[草稿.xls]Sheet1!$E$173:$E$175</c:f>
              <c:numCache>
                <c:formatCode>General</c:formatCode>
                <c:ptCount val="3"/>
                <c:pt idx="0">
                  <c:v>311</c:v>
                </c:pt>
                <c:pt idx="1">
                  <c:v>250</c:v>
                </c:pt>
                <c:pt idx="2">
                  <c:v>245</c:v>
                </c:pt>
              </c:numCache>
            </c:numRef>
          </c:val>
        </c:ser>
        <c:dLbls>
          <c:showLegendKey val="0"/>
          <c:showVal val="0"/>
          <c:showCatName val="0"/>
          <c:showSerName val="0"/>
          <c:showPercent val="0"/>
          <c:showBubbleSize val="0"/>
        </c:dLbls>
        <c:gapWidth val="246"/>
        <c:overlap val="-28"/>
        <c:axId val="690706874"/>
        <c:axId val="363594866"/>
      </c:barChart>
      <c:catAx>
        <c:axId val="690706874"/>
        <c:scaling>
          <c:orientation val="minMax"/>
        </c:scaling>
        <c:delete val="0"/>
        <c:axPos val="b"/>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63594866"/>
        <c:crosses val="autoZero"/>
        <c:auto val="1"/>
        <c:lblAlgn val="ctr"/>
        <c:lblOffset val="100"/>
        <c:noMultiLvlLbl val="0"/>
      </c:catAx>
      <c:valAx>
        <c:axId val="363594866"/>
        <c:scaling>
          <c:orientation val="minMax"/>
        </c:scaling>
        <c:delete val="0"/>
        <c:axPos val="l"/>
        <c:majorGridlines>
          <c:spPr>
            <a:ln w="9525" cap="flat" cmpd="sng" algn="ctr">
              <a:solidFill>
                <a:schemeClr val="lt1">
                  <a:lumMod val="90200"/>
                </a:schemeClr>
              </a:solidFill>
              <a:prstDash val="solid"/>
              <a:round/>
            </a:ln>
            <a:effectLst/>
          </c:spPr>
        </c:majorGridlines>
        <c:numFmt formatCode="General" sourceLinked="1"/>
        <c:majorTickMark val="none"/>
        <c:minorTickMark val="none"/>
        <c:tickLblPos val="nextTo"/>
        <c:spPr>
          <a:noFill/>
          <a:ln w="12700" cap="flat" cmpd="sng" algn="ctr">
            <a:noFill/>
            <a:prstDash val="solid"/>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0706874"/>
        <c:crosses val="autoZero"/>
        <c:crossBetween val="between"/>
      </c:valAx>
      <c:spPr>
        <a:noFill/>
        <a:ln>
          <a:noFill/>
        </a:ln>
        <a:effectLst/>
      </c:spPr>
    </c:plotArea>
    <c:plotVisOnly val="1"/>
    <c:dispBlanksAs val="gap"/>
    <c:showDLblsOverMax val="0"/>
    <c:extLst>
      <c:ext uri="{0b15fc19-7d7d-44ad-8c2d-2c3a37ce22c3}">
        <chartProps xmlns="https://web.wps.cn/et/2018/main" chartId="{9bcd3a5d-c3f9-4230-9401-4a27f9c6b7dd}"/>
      </c:ext>
    </c:extLst>
  </c:chart>
  <c:spPr>
    <a:solidFill>
      <a:schemeClr val="bg1"/>
    </a:solidFill>
    <a:ln w="9525" cap="flat" cmpd="sng" algn="ctr">
      <a:solidFill>
        <a:schemeClr val="tx1">
          <a:lumMod val="15000"/>
          <a:lumOff val="85000"/>
        </a:schemeClr>
      </a:solidFill>
      <a:prstDash val="solid"/>
      <a:round/>
    </a:ln>
    <a:effectLst/>
  </c:spPr>
  <c:txPr>
    <a:bodyPr wrap="square"/>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2854</Words>
  <Characters>4119</Characters>
  <Lines>126</Lines>
  <Paragraphs>35</Paragraphs>
  <TotalTime>20</TotalTime>
  <ScaleCrop>false</ScaleCrop>
  <LinksUpToDate>false</LinksUpToDate>
  <CharactersWithSpaces>4308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2024-09-27T07:24:00Z</dcterms:created>
  <dc:creator>熙麟 井</dc:creator>
  <cp:lastModifiedBy>流言</cp:lastModifiedBy>
  <dcterms:modified xsi:type="dcterms:W3CDTF">2025-10-18T12:05:49Z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5159EE742C5E4D0EAA0042D326229CD1_13</vt:lpwstr>
  </property>
  <property fmtid="{D5CDD505-2E9C-101B-9397-08002B2CF9AE}" pid="4" name="KSOTemplateDocerSaveRecord">
    <vt:lpwstr>eyJoZGlkIjoiMDA1OGE1YzYxYWUwMTc3ZDdkYTUxNTIxN2E4M2ZkOGIiLCJ1c2VySWQiOiIxMDI3Njk4MDA2In0=</vt:lpwstr>
  </property>
</Properties>
</file>