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Task 04 – Medical AI Imaging</w:t>
        <w:br/>
      </w:r>
      <w:r>
        <w:rPr>
          <w:sz w:val="28"/>
        </w:rPr>
        <w:t>Simple Explanation of the ResNet-18 Baseline on LIDC-IDRI</w:t>
      </w:r>
    </w:p>
    <w:p>
      <w:pPr>
        <w:jc w:val="center"/>
      </w:pPr>
      <w:r>
        <w:rPr>
          <w:i/>
        </w:rPr>
        <w:t>Purpose: explain what the notebook does, why each major step is needed, and what results were obtained.</w:t>
      </w:r>
    </w:p>
    <w:p>
      <w:pPr>
        <w:pStyle w:val="Heading1"/>
      </w:pPr>
      <w:r>
        <w:t>1. Agenda / What This Notebook Is Trying to Do</w:t>
      </w:r>
    </w:p>
    <w:p>
      <w:pPr>
        <w:pStyle w:val="ListBullet"/>
      </w:pPr>
      <w:r>
        <w:t>Prepare labelled lung-nodule CT images from the LIDC-IDRI dataset.</w:t>
      </w:r>
    </w:p>
    <w:p>
      <w:pPr>
        <w:pStyle w:val="ListBullet"/>
      </w:pPr>
      <w:r>
        <w:t>Convert radiologists’ annotations into a simple binary label: benign or malignant.</w:t>
      </w:r>
    </w:p>
    <w:p>
      <w:pPr>
        <w:pStyle w:val="ListBullet"/>
      </w:pPr>
      <w:r>
        <w:t>Extract standardized 48 mm × 48 mm CT patches and resize them to 224 × 224 pixels.</w:t>
      </w:r>
    </w:p>
    <w:p>
      <w:pPr>
        <w:pStyle w:val="ListBullet"/>
      </w:pPr>
      <w:r>
        <w:t>Use three adjacent CT slices as a 2.5D, 3-channel input.</w:t>
      </w:r>
    </w:p>
    <w:p>
      <w:pPr>
        <w:pStyle w:val="ListBullet"/>
      </w:pPr>
      <w:r>
        <w:t>Train a pretrained ResNet-18 convolutional neural network (CNN).</w:t>
      </w:r>
    </w:p>
    <w:p>
      <w:pPr>
        <w:pStyle w:val="ListBullet"/>
      </w:pPr>
      <w:r>
        <w:t>Evaluate the model using patient-level 5-fold cross-validation, avoiding patient leakage.</w:t>
      </w:r>
    </w:p>
    <w:p>
      <w:pPr>
        <w:pStyle w:val="ListBullet"/>
      </w:pPr>
      <w:r>
        <w:t>Measure not only accuracy, but also AUROC, AUPRC, sensitivity, specificity, calibration, and false negatives.</w:t>
      </w:r>
    </w:p>
    <w:p>
      <w:pPr>
        <w:pStyle w:val="ListBullet"/>
      </w:pPr>
      <w:r>
        <w:t>Save predictions, metrics, plots, model weights, and a dataset fingerprint so the result can later be compared fairly with another architecture such as a ViT.</w:t>
      </w:r>
    </w:p>
    <w:p>
      <w:pPr>
        <w:pStyle w:val="Heading1"/>
      </w:pPr>
      <w:r>
        <w:t>2. Big Picture – The Workflow</w:t>
      </w:r>
    </w:p>
    <w:p>
      <w:r>
        <w:t>In simple terms, the notebook follows this pipeline:</w:t>
      </w:r>
    </w:p>
    <w:p>
      <w:r>
        <w:t>LIDC-IDRI CT scans + radiologist annotations → identify matching nodules → combine radiologist scores → benign/malignant label → extract CT patches → patient-level train/validation/test folds → train ResNet-18 → predict malignancy → calculate metrics → save results.</w:t>
      </w:r>
    </w:p>
    <w:p>
      <w:pPr>
        <w:pStyle w:val="Heading1"/>
      </w:pPr>
      <w:r>
        <w:t>3. Configuration – The Main Settings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Setting</w:t>
            </w:r>
          </w:p>
        </w:tc>
        <w:tc>
          <w:tcPr>
            <w:tcW w:type="dxa" w:w="3360"/>
          </w:tcPr>
          <w:p>
            <w:r>
              <w:t>Value</w:t>
            </w:r>
          </w:p>
        </w:tc>
        <w:tc>
          <w:tcPr>
            <w:tcW w:type="dxa" w:w="3360"/>
          </w:tcPr>
          <w:p>
            <w:r>
              <w:t>Meaning</w:t>
            </w:r>
          </w:p>
        </w:tc>
      </w:tr>
      <w:tr>
        <w:tc>
          <w:tcPr>
            <w:tcW w:type="dxa" w:w="3360"/>
          </w:tcPr>
          <w:p>
            <w:r>
              <w:t>Model</w:t>
            </w:r>
          </w:p>
        </w:tc>
        <w:tc>
          <w:tcPr>
            <w:tcW w:type="dxa" w:w="3360"/>
          </w:tcPr>
          <w:p>
            <w:r>
              <w:t>ResNet-18</w:t>
            </w:r>
          </w:p>
        </w:tc>
        <w:tc>
          <w:tcPr>
            <w:tcW w:type="dxa" w:w="3360"/>
          </w:tcPr>
          <w:p>
            <w:r>
              <w:t>Baseline CNN used for classification</w:t>
            </w:r>
          </w:p>
        </w:tc>
      </w:tr>
      <w:tr>
        <w:tc>
          <w:tcPr>
            <w:tcW w:type="dxa" w:w="3360"/>
          </w:tcPr>
          <w:p>
            <w:r>
              <w:t>Pretrained</w:t>
            </w:r>
          </w:p>
        </w:tc>
        <w:tc>
          <w:tcPr>
            <w:tcW w:type="dxa" w:w="3360"/>
          </w:tcPr>
          <w:p>
            <w:r>
              <w:t>Yes</w:t>
            </w:r>
          </w:p>
        </w:tc>
        <w:tc>
          <w:tcPr>
            <w:tcW w:type="dxa" w:w="3360"/>
          </w:tcPr>
          <w:p>
            <w:r>
              <w:t>Starts from ImageNet-pretrained weights</w:t>
            </w:r>
          </w:p>
        </w:tc>
      </w:tr>
      <w:tr>
        <w:tc>
          <w:tcPr>
            <w:tcW w:type="dxa" w:w="3360"/>
          </w:tcPr>
          <w:p>
            <w:r>
              <w:t>Patients requested</w:t>
            </w:r>
          </w:p>
        </w:tc>
        <w:tc>
          <w:tcPr>
            <w:tcW w:type="dxa" w:w="3360"/>
          </w:tcPr>
          <w:p>
            <w:r>
              <w:t>300</w:t>
            </w:r>
          </w:p>
        </w:tc>
        <w:tc>
          <w:tcPr>
            <w:tcW w:type="dxa" w:w="3360"/>
          </w:tcPr>
          <w:p>
            <w:r>
              <w:t>Maximum target used when building the dataset</w:t>
            </w:r>
          </w:p>
        </w:tc>
      </w:tr>
      <w:tr>
        <w:tc>
          <w:tcPr>
            <w:tcW w:type="dxa" w:w="3360"/>
          </w:tcPr>
          <w:p>
            <w:r>
              <w:t>Readers required</w:t>
            </w:r>
          </w:p>
        </w:tc>
        <w:tc>
          <w:tcPr>
            <w:tcW w:type="dxa" w:w="3360"/>
          </w:tcPr>
          <w:p>
            <w:r>
              <w:t>3+</w:t>
            </w:r>
          </w:p>
        </w:tc>
        <w:tc>
          <w:tcPr>
            <w:tcW w:type="dxa" w:w="3360"/>
          </w:tcPr>
          <w:p>
            <w:r>
              <w:t>A nodule must be marked by at least 3 radiologists</w:t>
            </w:r>
          </w:p>
        </w:tc>
      </w:tr>
      <w:tr>
        <w:tc>
          <w:tcPr>
            <w:tcW w:type="dxa" w:w="3360"/>
          </w:tcPr>
          <w:p>
            <w:r>
              <w:t>Ambiguous score 3</w:t>
            </w:r>
          </w:p>
        </w:tc>
        <w:tc>
          <w:tcPr>
            <w:tcW w:type="dxa" w:w="3360"/>
          </w:tcPr>
          <w:p>
            <w:r>
              <w:t>Dropped</w:t>
            </w:r>
          </w:p>
        </w:tc>
        <w:tc>
          <w:tcPr>
            <w:tcW w:type="dxa" w:w="3360"/>
          </w:tcPr>
          <w:p>
            <w:r>
              <w:t>Median malignancy score of exactly 3 is excluded</w:t>
            </w:r>
          </w:p>
        </w:tc>
      </w:tr>
      <w:tr>
        <w:tc>
          <w:tcPr>
            <w:tcW w:type="dxa" w:w="3360"/>
          </w:tcPr>
          <w:p>
            <w:r>
              <w:t>Nodule matching radius</w:t>
            </w:r>
          </w:p>
        </w:tc>
        <w:tc>
          <w:tcPr>
            <w:tcW w:type="dxa" w:w="3360"/>
          </w:tcPr>
          <w:p>
            <w:r>
              <w:t>6 mm</w:t>
            </w:r>
          </w:p>
        </w:tc>
        <w:tc>
          <w:tcPr>
            <w:tcW w:type="dxa" w:w="3360"/>
          </w:tcPr>
          <w:p>
            <w:r>
              <w:t>Used to match the same lesion across readers</w:t>
            </w:r>
          </w:p>
        </w:tc>
      </w:tr>
      <w:tr>
        <w:tc>
          <w:tcPr>
            <w:tcW w:type="dxa" w:w="3360"/>
          </w:tcPr>
          <w:p>
            <w:r>
              <w:t>Patch size</w:t>
            </w:r>
          </w:p>
        </w:tc>
        <w:tc>
          <w:tcPr>
            <w:tcW w:type="dxa" w:w="3360"/>
          </w:tcPr>
          <w:p>
            <w:r>
              <w:t>48 mm</w:t>
            </w:r>
          </w:p>
        </w:tc>
        <w:tc>
          <w:tcPr>
            <w:tcW w:type="dxa" w:w="3360"/>
          </w:tcPr>
          <w:p>
            <w:r>
              <w:t>Physical field of view around the nodule</w:t>
            </w:r>
          </w:p>
        </w:tc>
      </w:tr>
      <w:tr>
        <w:tc>
          <w:tcPr>
            <w:tcW w:type="dxa" w:w="3360"/>
          </w:tcPr>
          <w:p>
            <w:r>
              <w:t>Image size</w:t>
            </w:r>
          </w:p>
        </w:tc>
        <w:tc>
          <w:tcPr>
            <w:tcW w:type="dxa" w:w="3360"/>
          </w:tcPr>
          <w:p>
            <w:r>
              <w:t>224 × 224</w:t>
            </w:r>
          </w:p>
        </w:tc>
        <w:tc>
          <w:tcPr>
            <w:tcW w:type="dxa" w:w="3360"/>
          </w:tcPr>
          <w:p>
            <w:r>
              <w:t>Network input resolution</w:t>
            </w:r>
          </w:p>
        </w:tc>
      </w:tr>
      <w:tr>
        <w:tc>
          <w:tcPr>
            <w:tcW w:type="dxa" w:w="3360"/>
          </w:tcPr>
          <w:p>
            <w:r>
              <w:t>Slices</w:t>
            </w:r>
          </w:p>
        </w:tc>
        <w:tc>
          <w:tcPr>
            <w:tcW w:type="dxa" w:w="3360"/>
          </w:tcPr>
          <w:p>
            <w:r>
              <w:t>3</w:t>
            </w:r>
          </w:p>
        </w:tc>
        <w:tc>
          <w:tcPr>
            <w:tcW w:type="dxa" w:w="3360"/>
          </w:tcPr>
          <w:p>
            <w:r>
              <w:t>Three adjacent axial slices are used as channels</w:t>
            </w:r>
          </w:p>
        </w:tc>
      </w:tr>
      <w:tr>
        <w:tc>
          <w:tcPr>
            <w:tcW w:type="dxa" w:w="3360"/>
          </w:tcPr>
          <w:p>
            <w:r>
              <w:t>HU window</w:t>
            </w:r>
          </w:p>
        </w:tc>
        <w:tc>
          <w:tcPr>
            <w:tcW w:type="dxa" w:w="3360"/>
          </w:tcPr>
          <w:p>
            <w:r>
              <w:t>-1000 to 400</w:t>
            </w:r>
          </w:p>
        </w:tc>
        <w:tc>
          <w:tcPr>
            <w:tcW w:type="dxa" w:w="3360"/>
          </w:tcPr>
          <w:p>
            <w:r>
              <w:t>CT intensity window</w:t>
            </w:r>
          </w:p>
        </w:tc>
      </w:tr>
      <w:tr>
        <w:tc>
          <w:tcPr>
            <w:tcW w:type="dxa" w:w="3360"/>
          </w:tcPr>
          <w:p>
            <w:r>
              <w:t>Cross-validation</w:t>
            </w:r>
          </w:p>
        </w:tc>
        <w:tc>
          <w:tcPr>
            <w:tcW w:type="dxa" w:w="3360"/>
          </w:tcPr>
          <w:p>
            <w:r>
              <w:t>5-fold, patient-level</w:t>
            </w:r>
          </w:p>
        </w:tc>
        <w:tc>
          <w:tcPr>
            <w:tcW w:type="dxa" w:w="3360"/>
          </w:tcPr>
          <w:p>
            <w:r>
              <w:t>Each patient stays in one split</w:t>
            </w:r>
          </w:p>
        </w:tc>
      </w:tr>
      <w:tr>
        <w:tc>
          <w:tcPr>
            <w:tcW w:type="dxa" w:w="3360"/>
          </w:tcPr>
          <w:p>
            <w:r>
              <w:t>Epochs</w:t>
            </w:r>
          </w:p>
        </w:tc>
        <w:tc>
          <w:tcPr>
            <w:tcW w:type="dxa" w:w="3360"/>
          </w:tcPr>
          <w:p>
            <w:r>
              <w:t>30 max</w:t>
            </w:r>
          </w:p>
        </w:tc>
        <w:tc>
          <w:tcPr>
            <w:tcW w:type="dxa" w:w="3360"/>
          </w:tcPr>
          <w:p>
            <w:r>
              <w:t>Training limit per fold</w:t>
            </w:r>
          </w:p>
        </w:tc>
      </w:tr>
      <w:tr>
        <w:tc>
          <w:tcPr>
            <w:tcW w:type="dxa" w:w="3360"/>
          </w:tcPr>
          <w:p>
            <w:r>
              <w:t>Batch size</w:t>
            </w:r>
          </w:p>
        </w:tc>
        <w:tc>
          <w:tcPr>
            <w:tcW w:type="dxa" w:w="3360"/>
          </w:tcPr>
          <w:p>
            <w:r>
              <w:t>32</w:t>
            </w:r>
          </w:p>
        </w:tc>
        <w:tc>
          <w:tcPr>
            <w:tcW w:type="dxa" w:w="3360"/>
          </w:tcPr>
          <w:p>
            <w:r>
              <w:t>Training batch size</w:t>
            </w:r>
          </w:p>
        </w:tc>
      </w:tr>
      <w:tr>
        <w:tc>
          <w:tcPr>
            <w:tcW w:type="dxa" w:w="3360"/>
          </w:tcPr>
          <w:p>
            <w:r>
              <w:t>Learning rate</w:t>
            </w:r>
          </w:p>
        </w:tc>
        <w:tc>
          <w:tcPr>
            <w:tcW w:type="dxa" w:w="3360"/>
          </w:tcPr>
          <w:p>
            <w:r>
              <w:t>0.0003</w:t>
            </w:r>
          </w:p>
        </w:tc>
        <w:tc>
          <w:tcPr>
            <w:tcW w:type="dxa" w:w="3360"/>
          </w:tcPr>
          <w:p>
            <w:r>
              <w:t>AdamW learning rate</w:t>
            </w:r>
          </w:p>
        </w:tc>
      </w:tr>
      <w:tr>
        <w:tc>
          <w:tcPr>
            <w:tcW w:type="dxa" w:w="3360"/>
          </w:tcPr>
          <w:p>
            <w:r>
              <w:t>Dropout</w:t>
            </w:r>
          </w:p>
        </w:tc>
        <w:tc>
          <w:tcPr>
            <w:tcW w:type="dxa" w:w="3360"/>
          </w:tcPr>
          <w:p>
            <w:r>
              <w:t>0.30</w:t>
            </w:r>
          </w:p>
        </w:tc>
        <w:tc>
          <w:tcPr>
            <w:tcW w:type="dxa" w:w="3360"/>
          </w:tcPr>
          <w:p>
            <w:r>
              <w:t>Used during training and later supports MC Dropout/UQ</w:t>
            </w:r>
          </w:p>
        </w:tc>
      </w:tr>
      <w:tr>
        <w:tc>
          <w:tcPr>
            <w:tcW w:type="dxa" w:w="3360"/>
          </w:tcPr>
          <w:p>
            <w:r>
              <w:t>Early stopping patience</w:t>
            </w:r>
          </w:p>
        </w:tc>
        <w:tc>
          <w:tcPr>
            <w:tcW w:type="dxa" w:w="3360"/>
          </w:tcPr>
          <w:p>
            <w:r>
              <w:t>7</w:t>
            </w:r>
          </w:p>
        </w:tc>
        <w:tc>
          <w:tcPr>
            <w:tcW w:type="dxa" w:w="3360"/>
          </w:tcPr>
          <w:p>
            <w:r>
              <w:t>Stops if validation AUROC does not improve</w:t>
            </w:r>
          </w:p>
        </w:tc>
      </w:tr>
    </w:tbl>
    <w:p>
      <w:pPr>
        <w:pStyle w:val="Heading1"/>
      </w:pPr>
      <w:r>
        <w:t>4. Data Preparation – What Happens to the CT Data?</w:t>
      </w:r>
    </w:p>
    <w:p>
      <w:pPr>
        <w:pStyle w:val="Heading2"/>
      </w:pPr>
      <w:r>
        <w:t>4.1 Reading the LIDC annotations</w:t>
      </w:r>
    </w:p>
    <w:p>
      <w:r>
        <w:t>The LIDC-IDRI labels are not stored as one simple CSV column. Up to four radiologists independently mark nodules and give several scores, including a malignancy score from 1 (highly unlikely malignant) to 5 (highly suspicious). The code reads the XML annotation files and extracts these ratings and contours.</w:t>
      </w:r>
    </w:p>
    <w:p>
      <w:pPr>
        <w:pStyle w:val="Heading2"/>
      </w:pPr>
      <w:r>
        <w:t>4.2 Matching the same nodule across radiologists</w:t>
      </w:r>
    </w:p>
    <w:p>
      <w:r>
        <w:t>Different radiologists can give the same physical nodule different annotation IDs. The notebook therefore groups annotations using their spatial location in millimetres. It also prevents one reader from contributing two nodules to the same cluster.</w:t>
      </w:r>
    </w:p>
    <w:p>
      <w:pPr>
        <w:pStyle w:val="Heading2"/>
      </w:pPr>
      <w:r>
        <w:t>4.3 Creating the final label</w:t>
      </w:r>
    </w:p>
    <w:p>
      <w:pPr>
        <w:pStyle w:val="ListBullet"/>
      </w:pPr>
      <w:r>
        <w:t>Only nodules marked by at least 3 readers are kept.</w:t>
      </w:r>
    </w:p>
    <w:p>
      <w:pPr>
        <w:pStyle w:val="ListBullet"/>
      </w:pPr>
      <w:r>
        <w:t>The median malignancy score across readers is used.</w:t>
      </w:r>
    </w:p>
    <w:p>
      <w:pPr>
        <w:pStyle w:val="ListBullet"/>
      </w:pPr>
      <w:r>
        <w:t>Median score 3 is treated as indeterminate and removed.</w:t>
      </w:r>
    </w:p>
    <w:p>
      <w:pPr>
        <w:pStyle w:val="ListBullet"/>
      </w:pPr>
      <w:r>
        <w:t>Median score &gt; 3 becomes malignant (label 1).</w:t>
      </w:r>
    </w:p>
    <w:p>
      <w:pPr>
        <w:pStyle w:val="ListBullet"/>
      </w:pPr>
      <w:r>
        <w:t>Median score &lt; 3 becomes benign (label 0).</w:t>
      </w:r>
    </w:p>
    <w:p>
      <w:r>
        <w:t>This produces a cleaner supervised-learning target and reduces the effect of disagreement from a single reader.</w:t>
      </w:r>
    </w:p>
    <w:p>
      <w:pPr>
        <w:pStyle w:val="Heading1"/>
      </w:pPr>
      <w:r>
        <w:t>5. Creating the Model Input</w:t>
      </w:r>
    </w:p>
    <w:p>
      <w:r>
        <w:t>The code reads DICOM CT slices, converts stored pixel values into Hounsfield Units (HU), sorts the slices along the z-axis, and extracts a patch centered on each nodule.</w:t>
      </w:r>
    </w:p>
    <w:p>
      <w:pPr>
        <w:pStyle w:val="ListBullet"/>
      </w:pPr>
      <w:r>
        <w:t>The crop represents 48 mm of real anatomy rather than a fixed number of original pixels. This makes the physical field of view more comparable between scanners/patients.</w:t>
      </w:r>
    </w:p>
    <w:p>
      <w:pPr>
        <w:pStyle w:val="ListBullet"/>
      </w:pPr>
      <w:r>
        <w:t>The crop is resized to 224 × 224.</w:t>
      </w:r>
    </w:p>
    <w:p>
      <w:pPr>
        <w:pStyle w:val="ListBullet"/>
      </w:pPr>
      <w:r>
        <w:t>Three neighboring axial slices are stacked together, producing a 3-channel image.</w:t>
      </w:r>
    </w:p>
    <w:p>
      <w:pPr>
        <w:pStyle w:val="ListBullet"/>
      </w:pPr>
      <w:r>
        <w:t>CT values are mapped to 0–255 using the -1000 to 400 HU window.</w:t>
      </w:r>
    </w:p>
    <w:p>
      <w:pPr>
        <w:pStyle w:val="ListBullet"/>
      </w:pPr>
      <w:r>
        <w:t>Training data receives modest flips, rotations, and small intensity changes. Validation and test data are not augmented.</w:t>
      </w:r>
    </w:p>
    <w:p>
      <w:pPr>
        <w:pStyle w:val="Heading1"/>
      </w:pPr>
      <w:r>
        <w:t>6. Dataset Actually Used in the Recorded Run</w:t>
      </w:r>
    </w:p>
    <w:p>
      <w:r>
        <w:t>The notebook found an attached pre-built LIDC cache, so it did not need to download the raw dataset during this run.</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Recorded value</w:t>
            </w:r>
          </w:p>
        </w:tc>
      </w:tr>
      <w:tr>
        <w:tc>
          <w:tcPr>
            <w:tcW w:type="dxa" w:w="5040"/>
          </w:tcPr>
          <w:p>
            <w:r>
              <w:t>Nodules</w:t>
            </w:r>
          </w:p>
        </w:tc>
        <w:tc>
          <w:tcPr>
            <w:tcW w:type="dxa" w:w="5040"/>
          </w:tcPr>
          <w:p>
            <w:r>
              <w:t>322</w:t>
            </w:r>
          </w:p>
        </w:tc>
      </w:tr>
      <w:tr>
        <w:tc>
          <w:tcPr>
            <w:tcW w:type="dxa" w:w="5040"/>
          </w:tcPr>
          <w:p>
            <w:r>
              <w:t>Patients</w:t>
            </w:r>
          </w:p>
        </w:tc>
        <w:tc>
          <w:tcPr>
            <w:tcW w:type="dxa" w:w="5040"/>
          </w:tcPr>
          <w:p>
            <w:r>
              <w:t>187</w:t>
            </w:r>
          </w:p>
        </w:tc>
      </w:tr>
      <w:tr>
        <w:tc>
          <w:tcPr>
            <w:tcW w:type="dxa" w:w="5040"/>
          </w:tcPr>
          <w:p>
            <w:r>
              <w:t>Benign nodules</w:t>
            </w:r>
          </w:p>
        </w:tc>
        <w:tc>
          <w:tcPr>
            <w:tcW w:type="dxa" w:w="5040"/>
          </w:tcPr>
          <w:p>
            <w:r>
              <w:t>141</w:t>
            </w:r>
          </w:p>
        </w:tc>
      </w:tr>
      <w:tr>
        <w:tc>
          <w:tcPr>
            <w:tcW w:type="dxa" w:w="5040"/>
          </w:tcPr>
          <w:p>
            <w:r>
              <w:t>Malignant nodules</w:t>
            </w:r>
          </w:p>
        </w:tc>
        <w:tc>
          <w:tcPr>
            <w:tcW w:type="dxa" w:w="5040"/>
          </w:tcPr>
          <w:p>
            <w:r>
              <w:t>181</w:t>
            </w:r>
          </w:p>
        </w:tc>
      </w:tr>
      <w:tr>
        <w:tc>
          <w:tcPr>
            <w:tcW w:type="dxa" w:w="5040"/>
          </w:tcPr>
          <w:p>
            <w:r>
              <w:t>Malignant proportion</w:t>
            </w:r>
          </w:p>
        </w:tc>
        <w:tc>
          <w:tcPr>
            <w:tcW w:type="dxa" w:w="5040"/>
          </w:tcPr>
          <w:p>
            <w:r>
              <w:t>56.2%</w:t>
            </w:r>
          </w:p>
        </w:tc>
      </w:tr>
      <w:tr>
        <w:tc>
          <w:tcPr>
            <w:tcW w:type="dxa" w:w="5040"/>
          </w:tcPr>
          <w:p>
            <w:r>
              <w:t>SMOKE/phantom mode</w:t>
            </w:r>
          </w:p>
        </w:tc>
        <w:tc>
          <w:tcPr>
            <w:tcW w:type="dxa" w:w="5040"/>
          </w:tcPr>
          <w:p>
            <w:r>
              <w:t>False – real LIDC data</w:t>
            </w:r>
          </w:p>
        </w:tc>
      </w:tr>
      <w:tr>
        <w:tc>
          <w:tcPr>
            <w:tcW w:type="dxa" w:w="5040"/>
          </w:tcPr>
          <w:p>
            <w:r>
              <w:t>Patient-set hash</w:t>
            </w:r>
          </w:p>
        </w:tc>
        <w:tc>
          <w:tcPr>
            <w:tcW w:type="dxa" w:w="5040"/>
          </w:tcPr>
          <w:p>
            <w:r>
              <w:t>b592b3812f8f2fb9</w:t>
            </w:r>
          </w:p>
        </w:tc>
      </w:tr>
    </w:tbl>
    <w:p>
      <w:r>
        <w:t>Important limitation: the notebook's own reporting checklist says the target of at least 500 nodules was not met. There were 322 nodules. It did, however, meet the ≥100-patient check with 187 patients.</w:t>
      </w:r>
    </w:p>
    <w:p>
      <w:pPr>
        <w:pStyle w:val="Heading1"/>
      </w:pPr>
      <w:r>
        <w:t>7. Patient-Level 5-Fold Cross-Validation</w:t>
      </w:r>
    </w:p>
    <w:p>
      <w:r>
        <w:t>This is one of the most important parts of the notebook. The code uses StratifiedGroupKFold so that whole patients, not individual nodules, are assigned to a fold. This prevents nodules from the same patient appearing in both training and test data.</w:t>
      </w:r>
    </w:p>
    <w:p>
      <w:r>
        <w:t>Each fold has a training set, a validation subset taken only from the training pool, and a held-out test set. The validation set is used to choose the best training epoch using validation AUROC; the test set remains untouched until evaluation.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Fold</w:t>
            </w:r>
          </w:p>
        </w:tc>
        <w:tc>
          <w:tcPr>
            <w:tcW w:type="dxa" w:w="2520"/>
          </w:tcPr>
          <w:p>
            <w:r>
              <w:t>Train nodules</w:t>
            </w:r>
          </w:p>
        </w:tc>
        <w:tc>
          <w:tcPr>
            <w:tcW w:type="dxa" w:w="2520"/>
          </w:tcPr>
          <w:p>
            <w:r>
              <w:t>Validation</w:t>
            </w:r>
          </w:p>
        </w:tc>
        <w:tc>
          <w:tcPr>
            <w:tcW w:type="dxa" w:w="2520"/>
          </w:tcPr>
          <w:p>
            <w:r>
              <w:t>Test nodules</w:t>
            </w:r>
          </w:p>
        </w:tc>
      </w:tr>
      <w:tr>
        <w:tc>
          <w:tcPr>
            <w:tcW w:type="dxa" w:w="2520"/>
          </w:tcPr>
          <w:p>
            <w:r>
              <w:t>0</w:t>
            </w:r>
          </w:p>
        </w:tc>
        <w:tc>
          <w:tcPr>
            <w:tcW w:type="dxa" w:w="2520"/>
          </w:tcPr>
          <w:p>
            <w:r>
              <w:t>221</w:t>
            </w:r>
          </w:p>
        </w:tc>
        <w:tc>
          <w:tcPr>
            <w:tcW w:type="dxa" w:w="2520"/>
          </w:tcPr>
          <w:p>
            <w:r>
              <w:t>38</w:t>
            </w:r>
          </w:p>
        </w:tc>
        <w:tc>
          <w:tcPr>
            <w:tcW w:type="dxa" w:w="2520"/>
          </w:tcPr>
          <w:p>
            <w:r>
              <w:t>63</w:t>
            </w:r>
          </w:p>
        </w:tc>
      </w:tr>
      <w:tr>
        <w:tc>
          <w:tcPr>
            <w:tcW w:type="dxa" w:w="2520"/>
          </w:tcPr>
          <w:p>
            <w:r>
              <w:t>1</w:t>
            </w:r>
          </w:p>
        </w:tc>
        <w:tc>
          <w:tcPr>
            <w:tcW w:type="dxa" w:w="2520"/>
          </w:tcPr>
          <w:p>
            <w:r>
              <w:t>225</w:t>
            </w:r>
          </w:p>
        </w:tc>
        <w:tc>
          <w:tcPr>
            <w:tcW w:type="dxa" w:w="2520"/>
          </w:tcPr>
          <w:p>
            <w:r>
              <w:t>45</w:t>
            </w:r>
          </w:p>
        </w:tc>
        <w:tc>
          <w:tcPr>
            <w:tcW w:type="dxa" w:w="2520"/>
          </w:tcPr>
          <w:p>
            <w:r>
              <w:t>52</w:t>
            </w:r>
          </w:p>
        </w:tc>
      </w:tr>
      <w:tr>
        <w:tc>
          <w:tcPr>
            <w:tcW w:type="dxa" w:w="2520"/>
          </w:tcPr>
          <w:p>
            <w:r>
              <w:t>2</w:t>
            </w:r>
          </w:p>
        </w:tc>
        <w:tc>
          <w:tcPr>
            <w:tcW w:type="dxa" w:w="2520"/>
          </w:tcPr>
          <w:p>
            <w:r>
              <w:t>224</w:t>
            </w:r>
          </w:p>
        </w:tc>
        <w:tc>
          <w:tcPr>
            <w:tcW w:type="dxa" w:w="2520"/>
          </w:tcPr>
          <w:p>
            <w:r>
              <w:t>29</w:t>
            </w:r>
          </w:p>
        </w:tc>
        <w:tc>
          <w:tcPr>
            <w:tcW w:type="dxa" w:w="2520"/>
          </w:tcPr>
          <w:p>
            <w:r>
              <w:t>69</w:t>
            </w:r>
          </w:p>
        </w:tc>
      </w:tr>
      <w:tr>
        <w:tc>
          <w:tcPr>
            <w:tcW w:type="dxa" w:w="2520"/>
          </w:tcPr>
          <w:p>
            <w:r>
              <w:t>3</w:t>
            </w:r>
          </w:p>
        </w:tc>
        <w:tc>
          <w:tcPr>
            <w:tcW w:type="dxa" w:w="2520"/>
          </w:tcPr>
          <w:p>
            <w:r>
              <w:t>224</w:t>
            </w:r>
          </w:p>
        </w:tc>
        <w:tc>
          <w:tcPr>
            <w:tcW w:type="dxa" w:w="2520"/>
          </w:tcPr>
          <w:p>
            <w:r>
              <w:t>34</w:t>
            </w:r>
          </w:p>
        </w:tc>
        <w:tc>
          <w:tcPr>
            <w:tcW w:type="dxa" w:w="2520"/>
          </w:tcPr>
          <w:p>
            <w:r>
              <w:t>64</w:t>
            </w:r>
          </w:p>
        </w:tc>
      </w:tr>
      <w:tr>
        <w:tc>
          <w:tcPr>
            <w:tcW w:type="dxa" w:w="2520"/>
          </w:tcPr>
          <w:p>
            <w:r>
              <w:t>4</w:t>
            </w:r>
          </w:p>
        </w:tc>
        <w:tc>
          <w:tcPr>
            <w:tcW w:type="dxa" w:w="2520"/>
          </w:tcPr>
          <w:p>
            <w:r>
              <w:t>209</w:t>
            </w:r>
          </w:p>
        </w:tc>
        <w:tc>
          <w:tcPr>
            <w:tcW w:type="dxa" w:w="2520"/>
          </w:tcPr>
          <w:p>
            <w:r>
              <w:t>39</w:t>
            </w:r>
          </w:p>
        </w:tc>
        <w:tc>
          <w:tcPr>
            <w:tcW w:type="dxa" w:w="2520"/>
          </w:tcPr>
          <w:p>
            <w:r>
              <w:t>74</w:t>
            </w:r>
          </w:p>
        </w:tc>
      </w:tr>
    </w:tbl>
    <w:p>
      <w:r>
        <w:t>The code explicitly asserts that there is no patient overlap between train/validation/test and that every nodule appears in exactly one test fold. The recorded dataset fingerprint was 1675f74dcca2d3ce.</w:t>
      </w:r>
    </w:p>
    <w:p>
      <w:pPr>
        <w:pStyle w:val="Heading1"/>
      </w:pPr>
      <w:r>
        <w:t>8. The ResNet-18 Model</w:t>
      </w:r>
    </w:p>
    <w:p>
      <w:r>
        <w:t>ResNet-18 is a convolutional neural network designed to learn visual patterns. Here it receives the 3-slice CT patch and outputs two logits corresponding to benign and malignant.</w:t>
      </w:r>
    </w:p>
    <w:p>
      <w:pPr>
        <w:pStyle w:val="ListBullet"/>
      </w:pPr>
      <w:r>
        <w:t>It uses ImageNet-pretrained weights.</w:t>
      </w:r>
    </w:p>
    <w:p>
      <w:pPr>
        <w:pStyle w:val="ListBullet"/>
      </w:pPr>
      <w:r>
        <w:t>The model has about 11.2 million parameters in the notebook's model check.</w:t>
      </w:r>
    </w:p>
    <w:p>
      <w:pPr>
        <w:pStyle w:val="ListBullet"/>
      </w:pPr>
      <w:r>
        <w:t>Dropout is included during training (probability 0.30).</w:t>
      </w:r>
    </w:p>
    <w:p>
      <w:pPr>
        <w:pStyle w:val="ListBullet"/>
      </w:pPr>
      <w:r>
        <w:t>The default dropout mode is 'head_and_stages', meaning dropout is used near the classifier and after residual stages.</w:t>
      </w:r>
    </w:p>
    <w:p>
      <w:pPr>
        <w:pStyle w:val="ListBullet"/>
      </w:pPr>
      <w:r>
        <w:t>This dropout design also prepares the model for later uncertainty estimation with Monte Carlo Dropout.</w:t>
      </w:r>
    </w:p>
    <w:p>
      <w:pPr>
        <w:pStyle w:val="Heading1"/>
      </w:pPr>
      <w:r>
        <w:t>9. Training Process</w:t>
      </w:r>
    </w:p>
    <w:p>
      <w:r>
        <w:t>For every fold, the notebook creates a fresh ResNet-18, trains it on the training patients, monitors validation AUROC, keeps the best checkpoint, and stops early if validation AUROC does not improve for 7 epochs.</w:t>
      </w:r>
    </w:p>
    <w:p>
      <w:pPr>
        <w:pStyle w:val="ListBullet"/>
      </w:pPr>
      <w:r>
        <w:t>Optimizer: AdamW</w:t>
      </w:r>
    </w:p>
    <w:p>
      <w:pPr>
        <w:pStyle w:val="ListBullet"/>
      </w:pPr>
      <w:r>
        <w:t>Learning rate: 3 × 10⁻⁴</w:t>
      </w:r>
    </w:p>
    <w:p>
      <w:pPr>
        <w:pStyle w:val="ListBullet"/>
      </w:pPr>
      <w:r>
        <w:t>Weight decay: 1 × 10⁻⁴</w:t>
      </w:r>
    </w:p>
    <w:p>
      <w:pPr>
        <w:pStyle w:val="ListBullet"/>
      </w:pPr>
      <w:r>
        <w:t>Maximum epochs: 30</w:t>
      </w:r>
    </w:p>
    <w:p>
      <w:pPr>
        <w:pStyle w:val="ListBullet"/>
      </w:pPr>
      <w:r>
        <w:t>Batch size: 32</w:t>
      </w:r>
    </w:p>
    <w:p>
      <w:pPr>
        <w:pStyle w:val="ListBullet"/>
      </w:pPr>
      <w:r>
        <w:t>Class weighting/sampling is enabled to reduce the effect of class imbalance</w:t>
      </w:r>
    </w:p>
    <w:p>
      <w:pPr>
        <w:pStyle w:val="ListBullet"/>
      </w:pPr>
      <w:r>
        <w:t>Best epoch is selected using validation AUROC rather than test accuracy</w:t>
      </w:r>
    </w:p>
    <w:p>
      <w:pPr>
        <w:pStyle w:val="Heading1"/>
      </w:pPr>
      <w:r>
        <w:t>10. Evaluation – What Numbers Are Measured?</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Simple explanation</w:t>
            </w:r>
          </w:p>
        </w:tc>
      </w:tr>
      <w:tr>
        <w:tc>
          <w:tcPr>
            <w:tcW w:type="dxa" w:w="5040"/>
          </w:tcPr>
          <w:p>
            <w:r>
              <w:t>Accuracy</w:t>
            </w:r>
          </w:p>
        </w:tc>
        <w:tc>
          <w:tcPr>
            <w:tcW w:type="dxa" w:w="5040"/>
          </w:tcPr>
          <w:p>
            <w:r>
              <w:t>Overall percentage classified correctly.</w:t>
            </w:r>
          </w:p>
        </w:tc>
      </w:tr>
      <w:tr>
        <w:tc>
          <w:tcPr>
            <w:tcW w:type="dxa" w:w="5040"/>
          </w:tcPr>
          <w:p>
            <w:r>
              <w:t>Precision</w:t>
            </w:r>
          </w:p>
        </w:tc>
        <w:tc>
          <w:tcPr>
            <w:tcW w:type="dxa" w:w="5040"/>
          </w:tcPr>
          <w:p>
            <w:r>
              <w:t>Of predicted malignant cases, how many were actually malignant.</w:t>
            </w:r>
          </w:p>
        </w:tc>
      </w:tr>
      <w:tr>
        <w:tc>
          <w:tcPr>
            <w:tcW w:type="dxa" w:w="5040"/>
          </w:tcPr>
          <w:p>
            <w:r>
              <w:t>Recall / Sensitivity</w:t>
            </w:r>
          </w:p>
        </w:tc>
        <w:tc>
          <w:tcPr>
            <w:tcW w:type="dxa" w:w="5040"/>
          </w:tcPr>
          <w:p>
            <w:r>
              <w:t>Of actual malignant cases, how many were detected.</w:t>
            </w:r>
          </w:p>
        </w:tc>
      </w:tr>
      <w:tr>
        <w:tc>
          <w:tcPr>
            <w:tcW w:type="dxa" w:w="5040"/>
          </w:tcPr>
          <w:p>
            <w:r>
              <w:t>Specificity</w:t>
            </w:r>
          </w:p>
        </w:tc>
        <w:tc>
          <w:tcPr>
            <w:tcW w:type="dxa" w:w="5040"/>
          </w:tcPr>
          <w:p>
            <w:r>
              <w:t>Of benign cases, how many were correctly rejected as malignant.</w:t>
            </w:r>
          </w:p>
        </w:tc>
      </w:tr>
      <w:tr>
        <w:tc>
          <w:tcPr>
            <w:tcW w:type="dxa" w:w="5040"/>
          </w:tcPr>
          <w:p>
            <w:r>
              <w:t>F1</w:t>
            </w:r>
          </w:p>
        </w:tc>
        <w:tc>
          <w:tcPr>
            <w:tcW w:type="dxa" w:w="5040"/>
          </w:tcPr>
          <w:p>
            <w:r>
              <w:t>Balance between precision and recall.</w:t>
            </w:r>
          </w:p>
        </w:tc>
      </w:tr>
      <w:tr>
        <w:tc>
          <w:tcPr>
            <w:tcW w:type="dxa" w:w="5040"/>
          </w:tcPr>
          <w:p>
            <w:r>
              <w:t>AUROC</w:t>
            </w:r>
          </w:p>
        </w:tc>
        <w:tc>
          <w:tcPr>
            <w:tcW w:type="dxa" w:w="5040"/>
          </w:tcPr>
          <w:p>
            <w:r>
              <w:t>How well the model ranks malignant cases above benign cases across thresholds.</w:t>
            </w:r>
          </w:p>
        </w:tc>
      </w:tr>
      <w:tr>
        <w:tc>
          <w:tcPr>
            <w:tcW w:type="dxa" w:w="5040"/>
          </w:tcPr>
          <w:p>
            <w:r>
              <w:t>AUPRC</w:t>
            </w:r>
          </w:p>
        </w:tc>
        <w:tc>
          <w:tcPr>
            <w:tcW w:type="dxa" w:w="5040"/>
          </w:tcPr>
          <w:p>
            <w:r>
              <w:t>Performance summarized through the precision–recall relationship.</w:t>
            </w:r>
          </w:p>
        </w:tc>
      </w:tr>
      <w:tr>
        <w:tc>
          <w:tcPr>
            <w:tcW w:type="dxa" w:w="5040"/>
          </w:tcPr>
          <w:p>
            <w:r>
              <w:t>Brier score</w:t>
            </w:r>
          </w:p>
        </w:tc>
        <w:tc>
          <w:tcPr>
            <w:tcW w:type="dxa" w:w="5040"/>
          </w:tcPr>
          <w:p>
            <w:r>
              <w:t>How accurate the predicted probabilities are; lower is better.</w:t>
            </w:r>
          </w:p>
        </w:tc>
      </w:tr>
      <w:tr>
        <w:tc>
          <w:tcPr>
            <w:tcW w:type="dxa" w:w="5040"/>
          </w:tcPr>
          <w:p>
            <w:r>
              <w:t>ECE</w:t>
            </w:r>
          </w:p>
        </w:tc>
        <w:tc>
          <w:tcPr>
            <w:tcW w:type="dxa" w:w="5040"/>
          </w:tcPr>
          <w:p>
            <w:r>
              <w:t>Expected calibration error; lower means predicted probabilities are better calibrated.</w:t>
            </w:r>
          </w:p>
        </w:tc>
      </w:tr>
      <w:tr>
        <w:tc>
          <w:tcPr>
            <w:tcW w:type="dxa" w:w="5040"/>
          </w:tcPr>
          <w:p>
            <w:r>
              <w:t>Sensitivity at fixed specificity</w:t>
            </w:r>
          </w:p>
        </w:tc>
        <w:tc>
          <w:tcPr>
            <w:tcW w:type="dxa" w:w="5040"/>
          </w:tcPr>
          <w:p>
            <w:r>
              <w:t>Shows how many malignant cases can be detected while requiring 90%, 95%, or 99% specificity.</w:t>
            </w:r>
          </w:p>
        </w:tc>
      </w:tr>
    </w:tbl>
    <w:p>
      <w:r>
        <w:t>Confidence intervals are obtained using patient-level bootstrap resampling, because nodules from the same patient are correlated.</w:t>
      </w:r>
    </w:p>
    <w:p>
      <w:pPr>
        <w:pStyle w:val="Heading1"/>
      </w:pPr>
      <w:r>
        <w:t>11. Results Obtained</w:t>
      </w:r>
    </w:p>
    <w:p>
      <w:pPr>
        <w:pStyle w:val="Heading2"/>
      </w:pPr>
      <w:r>
        <w:t>11.1 Per-fold performance</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Fold</w:t>
            </w:r>
          </w:p>
        </w:tc>
        <w:tc>
          <w:tcPr>
            <w:tcW w:type="dxa" w:w="1260"/>
          </w:tcPr>
          <w:p>
            <w:r>
              <w:t>AUROC</w:t>
            </w:r>
          </w:p>
        </w:tc>
        <w:tc>
          <w:tcPr>
            <w:tcW w:type="dxa" w:w="1260"/>
          </w:tcPr>
          <w:p>
            <w:r>
              <w:t>AUPRC</w:t>
            </w:r>
          </w:p>
        </w:tc>
        <w:tc>
          <w:tcPr>
            <w:tcW w:type="dxa" w:w="1260"/>
          </w:tcPr>
          <w:p>
            <w:r>
              <w:t>Accuracy</w:t>
            </w:r>
          </w:p>
        </w:tc>
        <w:tc>
          <w:tcPr>
            <w:tcW w:type="dxa" w:w="1260"/>
          </w:tcPr>
          <w:p>
            <w:r>
              <w:t>Recall</w:t>
            </w:r>
          </w:p>
        </w:tc>
        <w:tc>
          <w:tcPr>
            <w:tcW w:type="dxa" w:w="1260"/>
          </w:tcPr>
          <w:p>
            <w:r>
              <w:t>Specificity</w:t>
            </w:r>
          </w:p>
        </w:tc>
        <w:tc>
          <w:tcPr>
            <w:tcW w:type="dxa" w:w="1260"/>
          </w:tcPr>
          <w:p>
            <w:r>
              <w:t>F1</w:t>
            </w:r>
          </w:p>
        </w:tc>
        <w:tc>
          <w:tcPr>
            <w:tcW w:type="dxa" w:w="1260"/>
          </w:tcPr>
          <w:p>
            <w:r>
              <w:t>FN</w:t>
            </w:r>
          </w:p>
        </w:tc>
      </w:tr>
      <w:tr>
        <w:tc>
          <w:tcPr>
            <w:tcW w:type="dxa" w:w="1260"/>
          </w:tcPr>
          <w:p>
            <w:r>
              <w:t>0</w:t>
            </w:r>
          </w:p>
        </w:tc>
        <w:tc>
          <w:tcPr>
            <w:tcW w:type="dxa" w:w="1260"/>
          </w:tcPr>
          <w:p>
            <w:r>
              <w:t>0.9446</w:t>
            </w:r>
          </w:p>
        </w:tc>
        <w:tc>
          <w:tcPr>
            <w:tcW w:type="dxa" w:w="1260"/>
          </w:tcPr>
          <w:p>
            <w:r>
              <w:t>0.9708</w:t>
            </w:r>
          </w:p>
        </w:tc>
        <w:tc>
          <w:tcPr>
            <w:tcW w:type="dxa" w:w="1260"/>
          </w:tcPr>
          <w:p>
            <w:r>
              <w:t>0.8413</w:t>
            </w:r>
          </w:p>
        </w:tc>
        <w:tc>
          <w:tcPr>
            <w:tcW w:type="dxa" w:w="1260"/>
          </w:tcPr>
          <w:p>
            <w:r>
              <w:t>0.775</w:t>
            </w:r>
          </w:p>
        </w:tc>
        <w:tc>
          <w:tcPr>
            <w:tcW w:type="dxa" w:w="1260"/>
          </w:tcPr>
          <w:p>
            <w:r>
              <w:t>0.9565</w:t>
            </w:r>
          </w:p>
        </w:tc>
        <w:tc>
          <w:tcPr>
            <w:tcW w:type="dxa" w:w="1260"/>
          </w:tcPr>
          <w:p>
            <w:r>
              <w:t>0.8611</w:t>
            </w:r>
          </w:p>
        </w:tc>
        <w:tc>
          <w:tcPr>
            <w:tcW w:type="dxa" w:w="1260"/>
          </w:tcPr>
          <w:p>
            <w:r>
              <w:t>9</w:t>
            </w:r>
          </w:p>
        </w:tc>
      </w:tr>
      <w:tr>
        <w:tc>
          <w:tcPr>
            <w:tcW w:type="dxa" w:w="1260"/>
          </w:tcPr>
          <w:p>
            <w:r>
              <w:t>1</w:t>
            </w:r>
          </w:p>
        </w:tc>
        <w:tc>
          <w:tcPr>
            <w:tcW w:type="dxa" w:w="1260"/>
          </w:tcPr>
          <w:p>
            <w:r>
              <w:t>0.8787</w:t>
            </w:r>
          </w:p>
        </w:tc>
        <w:tc>
          <w:tcPr>
            <w:tcW w:type="dxa" w:w="1260"/>
          </w:tcPr>
          <w:p>
            <w:r>
              <w:t>0.9086</w:t>
            </w:r>
          </w:p>
        </w:tc>
        <w:tc>
          <w:tcPr>
            <w:tcW w:type="dxa" w:w="1260"/>
          </w:tcPr>
          <w:p>
            <w:r>
              <w:t>0.7885</w:t>
            </w:r>
          </w:p>
        </w:tc>
        <w:tc>
          <w:tcPr>
            <w:tcW w:type="dxa" w:w="1260"/>
          </w:tcPr>
          <w:p>
            <w:r>
              <w:t>0.8846</w:t>
            </w:r>
          </w:p>
        </w:tc>
        <w:tc>
          <w:tcPr>
            <w:tcW w:type="dxa" w:w="1260"/>
          </w:tcPr>
          <w:p>
            <w:r>
              <w:t>0.6923</w:t>
            </w:r>
          </w:p>
        </w:tc>
        <w:tc>
          <w:tcPr>
            <w:tcW w:type="dxa" w:w="1260"/>
          </w:tcPr>
          <w:p>
            <w:r>
              <w:t>0.807</w:t>
            </w:r>
          </w:p>
        </w:tc>
        <w:tc>
          <w:tcPr>
            <w:tcW w:type="dxa" w:w="1260"/>
          </w:tcPr>
          <w:p>
            <w:r>
              <w:t>3</w:t>
            </w:r>
          </w:p>
        </w:tc>
      </w:tr>
      <w:tr>
        <w:tc>
          <w:tcPr>
            <w:tcW w:type="dxa" w:w="1260"/>
          </w:tcPr>
          <w:p>
            <w:r>
              <w:t>2</w:t>
            </w:r>
          </w:p>
        </w:tc>
        <w:tc>
          <w:tcPr>
            <w:tcW w:type="dxa" w:w="1260"/>
          </w:tcPr>
          <w:p>
            <w:r>
              <w:t>0.9386</w:t>
            </w:r>
          </w:p>
        </w:tc>
        <w:tc>
          <w:tcPr>
            <w:tcW w:type="dxa" w:w="1260"/>
          </w:tcPr>
          <w:p>
            <w:r>
              <w:t>0.94</w:t>
            </w:r>
          </w:p>
        </w:tc>
        <w:tc>
          <w:tcPr>
            <w:tcW w:type="dxa" w:w="1260"/>
          </w:tcPr>
          <w:p>
            <w:r>
              <w:t>0.8261</w:t>
            </w:r>
          </w:p>
        </w:tc>
        <w:tc>
          <w:tcPr>
            <w:tcW w:type="dxa" w:w="1260"/>
          </w:tcPr>
          <w:p>
            <w:r>
              <w:t>0.8182</w:t>
            </w:r>
          </w:p>
        </w:tc>
        <w:tc>
          <w:tcPr>
            <w:tcW w:type="dxa" w:w="1260"/>
          </w:tcPr>
          <w:p>
            <w:r>
              <w:t>0.8333</w:t>
            </w:r>
          </w:p>
        </w:tc>
        <w:tc>
          <w:tcPr>
            <w:tcW w:type="dxa" w:w="1260"/>
          </w:tcPr>
          <w:p>
            <w:r>
              <w:t>0.8182</w:t>
            </w:r>
          </w:p>
        </w:tc>
        <w:tc>
          <w:tcPr>
            <w:tcW w:type="dxa" w:w="1260"/>
          </w:tcPr>
          <w:p>
            <w:r>
              <w:t>6</w:t>
            </w:r>
          </w:p>
        </w:tc>
      </w:tr>
      <w:tr>
        <w:tc>
          <w:tcPr>
            <w:tcW w:type="dxa" w:w="1260"/>
          </w:tcPr>
          <w:p>
            <w:r>
              <w:t>3</w:t>
            </w:r>
          </w:p>
        </w:tc>
        <w:tc>
          <w:tcPr>
            <w:tcW w:type="dxa" w:w="1260"/>
          </w:tcPr>
          <w:p>
            <w:r>
              <w:t>0.9251</w:t>
            </w:r>
          </w:p>
        </w:tc>
        <w:tc>
          <w:tcPr>
            <w:tcW w:type="dxa" w:w="1260"/>
          </w:tcPr>
          <w:p>
            <w:r>
              <w:t>0.9163</w:t>
            </w:r>
          </w:p>
        </w:tc>
        <w:tc>
          <w:tcPr>
            <w:tcW w:type="dxa" w:w="1260"/>
          </w:tcPr>
          <w:p>
            <w:r>
              <w:t>0.8594</w:t>
            </w:r>
          </w:p>
        </w:tc>
        <w:tc>
          <w:tcPr>
            <w:tcW w:type="dxa" w:w="1260"/>
          </w:tcPr>
          <w:p>
            <w:r>
              <w:t>0.9655</w:t>
            </w:r>
          </w:p>
        </w:tc>
        <w:tc>
          <w:tcPr>
            <w:tcW w:type="dxa" w:w="1260"/>
          </w:tcPr>
          <w:p>
            <w:r>
              <w:t>0.7714</w:t>
            </w:r>
          </w:p>
        </w:tc>
        <w:tc>
          <w:tcPr>
            <w:tcW w:type="dxa" w:w="1260"/>
          </w:tcPr>
          <w:p>
            <w:r>
              <w:t>0.8615</w:t>
            </w:r>
          </w:p>
        </w:tc>
        <w:tc>
          <w:tcPr>
            <w:tcW w:type="dxa" w:w="1260"/>
          </w:tcPr>
          <w:p>
            <w:r>
              <w:t>1</w:t>
            </w:r>
          </w:p>
        </w:tc>
      </w:tr>
      <w:tr>
        <w:tc>
          <w:tcPr>
            <w:tcW w:type="dxa" w:w="1260"/>
          </w:tcPr>
          <w:p>
            <w:r>
              <w:t>4</w:t>
            </w:r>
          </w:p>
        </w:tc>
        <w:tc>
          <w:tcPr>
            <w:tcW w:type="dxa" w:w="1260"/>
          </w:tcPr>
          <w:p>
            <w:r>
              <w:t>0.9299</w:t>
            </w:r>
          </w:p>
        </w:tc>
        <w:tc>
          <w:tcPr>
            <w:tcW w:type="dxa" w:w="1260"/>
          </w:tcPr>
          <w:p>
            <w:r>
              <w:t>0.9754</w:t>
            </w:r>
          </w:p>
        </w:tc>
        <w:tc>
          <w:tcPr>
            <w:tcW w:type="dxa" w:w="1260"/>
          </w:tcPr>
          <w:p>
            <w:r>
              <w:t>0.8649</w:t>
            </w:r>
          </w:p>
        </w:tc>
        <w:tc>
          <w:tcPr>
            <w:tcW w:type="dxa" w:w="1260"/>
          </w:tcPr>
          <w:p>
            <w:r>
              <w:t>0.8491</w:t>
            </w:r>
          </w:p>
        </w:tc>
        <w:tc>
          <w:tcPr>
            <w:tcW w:type="dxa" w:w="1260"/>
          </w:tcPr>
          <w:p>
            <w:r>
              <w:t>0.9048</w:t>
            </w:r>
          </w:p>
        </w:tc>
        <w:tc>
          <w:tcPr>
            <w:tcW w:type="dxa" w:w="1260"/>
          </w:tcPr>
          <w:p>
            <w:r>
              <w:t>0.9</w:t>
            </w:r>
          </w:p>
        </w:tc>
        <w:tc>
          <w:tcPr>
            <w:tcW w:type="dxa" w:w="1260"/>
          </w:tcPr>
          <w:p>
            <w:r>
              <w:t>8</w:t>
            </w:r>
          </w:p>
        </w:tc>
      </w:tr>
    </w:tbl>
    <w:p>
      <w:pPr>
        <w:pStyle w:val="Heading2"/>
      </w:pPr>
      <w:r>
        <w:t>11.2 Mean performance across the five folds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Mean ± SD</w:t>
            </w:r>
          </w:p>
        </w:tc>
      </w:tr>
      <w:tr>
        <w:tc>
          <w:tcPr>
            <w:tcW w:type="dxa" w:w="5040"/>
          </w:tcPr>
          <w:p>
            <w:r>
              <w:t>AUROC</w:t>
            </w:r>
          </w:p>
        </w:tc>
        <w:tc>
          <w:tcPr>
            <w:tcW w:type="dxa" w:w="5040"/>
          </w:tcPr>
          <w:p>
            <w:r>
              <w:t>0.9234 ± 0.0261</w:t>
            </w:r>
          </w:p>
        </w:tc>
      </w:tr>
      <w:tr>
        <w:tc>
          <w:tcPr>
            <w:tcW w:type="dxa" w:w="5040"/>
          </w:tcPr>
          <w:p>
            <w:r>
              <w:t>AUPRC</w:t>
            </w:r>
          </w:p>
        </w:tc>
        <w:tc>
          <w:tcPr>
            <w:tcW w:type="dxa" w:w="5040"/>
          </w:tcPr>
          <w:p>
            <w:r>
              <w:t>0.9422 ± 0.0305</w:t>
            </w:r>
          </w:p>
        </w:tc>
      </w:tr>
      <w:tr>
        <w:tc>
          <w:tcPr>
            <w:tcW w:type="dxa" w:w="5040"/>
          </w:tcPr>
          <w:p>
            <w:r>
              <w:t>Accuracy</w:t>
            </w:r>
          </w:p>
        </w:tc>
        <w:tc>
          <w:tcPr>
            <w:tcW w:type="dxa" w:w="5040"/>
          </w:tcPr>
          <w:p>
            <w:r>
              <w:t>0.8360 ± 0.0307</w:t>
            </w:r>
          </w:p>
        </w:tc>
      </w:tr>
      <w:tr>
        <w:tc>
          <w:tcPr>
            <w:tcW w:type="dxa" w:w="5040"/>
          </w:tcPr>
          <w:p>
            <w:r>
              <w:t>Recall / Sensitivity</w:t>
            </w:r>
          </w:p>
        </w:tc>
        <w:tc>
          <w:tcPr>
            <w:tcW w:type="dxa" w:w="5040"/>
          </w:tcPr>
          <w:p>
            <w:r>
              <w:t>0.8585 ± 0.0721</w:t>
            </w:r>
          </w:p>
        </w:tc>
      </w:tr>
      <w:tr>
        <w:tc>
          <w:tcPr>
            <w:tcW w:type="dxa" w:w="5040"/>
          </w:tcPr>
          <w:p>
            <w:r>
              <w:t>Specificity</w:t>
            </w:r>
          </w:p>
        </w:tc>
        <w:tc>
          <w:tcPr>
            <w:tcW w:type="dxa" w:w="5040"/>
          </w:tcPr>
          <w:p>
            <w:r>
              <w:t>0.8317 ± 0.1049</w:t>
            </w:r>
          </w:p>
        </w:tc>
      </w:tr>
      <w:tr>
        <w:tc>
          <w:tcPr>
            <w:tcW w:type="dxa" w:w="5040"/>
          </w:tcPr>
          <w:p>
            <w:r>
              <w:t>F1</w:t>
            </w:r>
          </w:p>
        </w:tc>
        <w:tc>
          <w:tcPr>
            <w:tcW w:type="dxa" w:w="5040"/>
          </w:tcPr>
          <w:p>
            <w:r>
              <w:t>0.8496 ± 0.0375</w:t>
            </w:r>
          </w:p>
        </w:tc>
      </w:tr>
      <w:tr>
        <w:tc>
          <w:tcPr>
            <w:tcW w:type="dxa" w:w="5040"/>
          </w:tcPr>
          <w:p>
            <w:r>
              <w:t>ECE</w:t>
            </w:r>
          </w:p>
        </w:tc>
        <w:tc>
          <w:tcPr>
            <w:tcW w:type="dxa" w:w="5040"/>
          </w:tcPr>
          <w:p>
            <w:r>
              <w:t>0.1355 ± 0.0400</w:t>
            </w:r>
          </w:p>
        </w:tc>
      </w:tr>
    </w:tbl>
    <w:p>
      <w:pPr>
        <w:pStyle w:val="Heading2"/>
      </w:pPr>
      <w:r>
        <w:t>11.3 Pooled out-of-fold result</w:t>
      </w:r>
    </w:p>
    <w:tbl>
      <w:tblPr>
        <w:tblStyle w:val="TableGrid"/>
        <w:tblW w:type="auto" w:w="0"/>
        <w:tblLook w:firstColumn="1" w:firstRow="1" w:lastColumn="0" w:lastRow="0" w:noHBand="0" w:noVBand="1" w:val="04A0"/>
      </w:tblPr>
      <w:tblGrid>
        <w:gridCol w:w="5040"/>
        <w:gridCol w:w="5040"/>
      </w:tblGrid>
      <w:tr>
        <w:tc>
          <w:tcPr>
            <w:tcW w:type="dxa" w:w="5040"/>
          </w:tcPr>
          <w:p>
            <w:r>
              <w:t>Result</w:t>
            </w:r>
          </w:p>
        </w:tc>
        <w:tc>
          <w:tcPr>
            <w:tcW w:type="dxa" w:w="5040"/>
          </w:tcPr>
          <w:p>
            <w:r>
              <w:t>Value</w:t>
            </w:r>
          </w:p>
        </w:tc>
      </w:tr>
      <w:tr>
        <w:tc>
          <w:tcPr>
            <w:tcW w:type="dxa" w:w="5040"/>
          </w:tcPr>
          <w:p>
            <w:r>
              <w:t>AUROC</w:t>
            </w:r>
          </w:p>
        </w:tc>
        <w:tc>
          <w:tcPr>
            <w:tcW w:type="dxa" w:w="5040"/>
          </w:tcPr>
          <w:p>
            <w:r>
              <w:t>0.9005 (95% CI: 0.8668–0.9344)</w:t>
            </w:r>
          </w:p>
        </w:tc>
      </w:tr>
      <w:tr>
        <w:tc>
          <w:tcPr>
            <w:tcW w:type="dxa" w:w="5040"/>
          </w:tcPr>
          <w:p>
            <w:r>
              <w:t>AUPRC</w:t>
            </w:r>
          </w:p>
        </w:tc>
        <w:tc>
          <w:tcPr>
            <w:tcW w:type="dxa" w:w="5040"/>
          </w:tcPr>
          <w:p>
            <w:r>
              <w:t>0.9235 (95% CI: 0.8867–0.9558)</w:t>
            </w:r>
          </w:p>
        </w:tc>
      </w:tr>
      <w:tr>
        <w:tc>
          <w:tcPr>
            <w:tcW w:type="dxa" w:w="5040"/>
          </w:tcPr>
          <w:p>
            <w:r>
              <w:t>Accuracy</w:t>
            </w:r>
          </w:p>
        </w:tc>
        <w:tc>
          <w:tcPr>
            <w:tcW w:type="dxa" w:w="5040"/>
          </w:tcPr>
          <w:p>
            <w:r>
              <w:t>0.8385 (95% CI: 0.8000–0.8780)</w:t>
            </w:r>
          </w:p>
        </w:tc>
      </w:tr>
      <w:tr>
        <w:tc>
          <w:tcPr>
            <w:tcW w:type="dxa" w:w="5040"/>
          </w:tcPr>
          <w:p>
            <w:r>
              <w:t>Sensitivity</w:t>
            </w:r>
          </w:p>
        </w:tc>
        <w:tc>
          <w:tcPr>
            <w:tcW w:type="dxa" w:w="5040"/>
          </w:tcPr>
          <w:p>
            <w:r>
              <w:t>0.8508 (95% CI: 0.8030–0.8994)</w:t>
            </w:r>
          </w:p>
        </w:tc>
      </w:tr>
      <w:tr>
        <w:tc>
          <w:tcPr>
            <w:tcW w:type="dxa" w:w="5040"/>
          </w:tcPr>
          <w:p>
            <w:r>
              <w:t>Specificity</w:t>
            </w:r>
          </w:p>
        </w:tc>
        <w:tc>
          <w:tcPr>
            <w:tcW w:type="dxa" w:w="5040"/>
          </w:tcPr>
          <w:p>
            <w:r>
              <w:t>0.8227</w:t>
            </w:r>
          </w:p>
        </w:tc>
      </w:tr>
      <w:tr>
        <w:tc>
          <w:tcPr>
            <w:tcW w:type="dxa" w:w="5040"/>
          </w:tcPr>
          <w:p>
            <w:r>
              <w:t>Precision</w:t>
            </w:r>
          </w:p>
        </w:tc>
        <w:tc>
          <w:tcPr>
            <w:tcW w:type="dxa" w:w="5040"/>
          </w:tcPr>
          <w:p>
            <w:r>
              <w:t>0.8603</w:t>
            </w:r>
          </w:p>
        </w:tc>
      </w:tr>
      <w:tr>
        <w:tc>
          <w:tcPr>
            <w:tcW w:type="dxa" w:w="5040"/>
          </w:tcPr>
          <w:p>
            <w:r>
              <w:t>F1</w:t>
            </w:r>
          </w:p>
        </w:tc>
        <w:tc>
          <w:tcPr>
            <w:tcW w:type="dxa" w:w="5040"/>
          </w:tcPr>
          <w:p>
            <w:r>
              <w:t>0.8556</w:t>
            </w:r>
          </w:p>
        </w:tc>
      </w:tr>
      <w:tr>
        <w:tc>
          <w:tcPr>
            <w:tcW w:type="dxa" w:w="5040"/>
          </w:tcPr>
          <w:p>
            <w:r>
              <w:t>Brier</w:t>
            </w:r>
          </w:p>
        </w:tc>
        <w:tc>
          <w:tcPr>
            <w:tcW w:type="dxa" w:w="5040"/>
          </w:tcPr>
          <w:p>
            <w:r>
              <w:t>0.1310</w:t>
            </w:r>
          </w:p>
        </w:tc>
      </w:tr>
      <w:tr>
        <w:tc>
          <w:tcPr>
            <w:tcW w:type="dxa" w:w="5040"/>
          </w:tcPr>
          <w:p>
            <w:r>
              <w:t>ECE</w:t>
            </w:r>
          </w:p>
        </w:tc>
        <w:tc>
          <w:tcPr>
            <w:tcW w:type="dxa" w:w="5040"/>
          </w:tcPr>
          <w:p>
            <w:r>
              <w:t>0.1022</w:t>
            </w:r>
          </w:p>
        </w:tc>
      </w:tr>
      <w:tr>
        <w:tc>
          <w:tcPr>
            <w:tcW w:type="dxa" w:w="5040"/>
          </w:tcPr>
          <w:p>
            <w:r>
              <w:t>True positives</w:t>
            </w:r>
          </w:p>
        </w:tc>
        <w:tc>
          <w:tcPr>
            <w:tcW w:type="dxa" w:w="5040"/>
          </w:tcPr>
          <w:p>
            <w:r>
              <w:t>154</w:t>
            </w:r>
          </w:p>
        </w:tc>
      </w:tr>
      <w:tr>
        <w:tc>
          <w:tcPr>
            <w:tcW w:type="dxa" w:w="5040"/>
          </w:tcPr>
          <w:p>
            <w:r>
              <w:t>False positives</w:t>
            </w:r>
          </w:p>
        </w:tc>
        <w:tc>
          <w:tcPr>
            <w:tcW w:type="dxa" w:w="5040"/>
          </w:tcPr>
          <w:p>
            <w:r>
              <w:t>25</w:t>
            </w:r>
          </w:p>
        </w:tc>
      </w:tr>
      <w:tr>
        <w:tc>
          <w:tcPr>
            <w:tcW w:type="dxa" w:w="5040"/>
          </w:tcPr>
          <w:p>
            <w:r>
              <w:t>True negatives</w:t>
            </w:r>
          </w:p>
        </w:tc>
        <w:tc>
          <w:tcPr>
            <w:tcW w:type="dxa" w:w="5040"/>
          </w:tcPr>
          <w:p>
            <w:r>
              <w:t>116</w:t>
            </w:r>
          </w:p>
        </w:tc>
      </w:tr>
      <w:tr>
        <w:tc>
          <w:tcPr>
            <w:tcW w:type="dxa" w:w="5040"/>
          </w:tcPr>
          <w:p>
            <w:r>
              <w:t>False negatives</w:t>
            </w:r>
          </w:p>
        </w:tc>
        <w:tc>
          <w:tcPr>
            <w:tcW w:type="dxa" w:w="5040"/>
          </w:tcPr>
          <w:p>
            <w:r>
              <w:t>27</w:t>
            </w:r>
          </w:p>
        </w:tc>
      </w:tr>
    </w:tbl>
    <w:p>
      <w:pPr>
        <w:pStyle w:val="Heading2"/>
      </w:pPr>
      <w:r>
        <w:t>11.4 False-negative / clinical operating points</w:t>
      </w:r>
    </w:p>
    <w:p>
      <w:r>
        <w:t>The notebook also asks: if we demand a high specificity, how much sensitivity can we retain?</w:t>
      </w:r>
    </w:p>
    <w:tbl>
      <w:tblPr>
        <w:tblStyle w:val="TableGrid"/>
        <w:tblW w:type="auto" w:w="0"/>
        <w:tblLook w:firstColumn="1" w:firstRow="1" w:lastColumn="0" w:lastRow="0" w:noHBand="0" w:noVBand="1" w:val="04A0"/>
      </w:tblPr>
      <w:tblGrid>
        <w:gridCol w:w="3360"/>
        <w:gridCol w:w="3360"/>
        <w:gridCol w:w="3360"/>
      </w:tblGrid>
      <w:tr>
        <w:tc>
          <w:tcPr>
            <w:tcW w:type="dxa" w:w="3360"/>
          </w:tcPr>
          <w:p>
            <w:r>
              <w:t>Required specificity</w:t>
            </w:r>
          </w:p>
        </w:tc>
        <w:tc>
          <w:tcPr>
            <w:tcW w:type="dxa" w:w="3360"/>
          </w:tcPr>
          <w:p>
            <w:r>
              <w:t>Sensitivity obtained</w:t>
            </w:r>
          </w:p>
        </w:tc>
        <w:tc>
          <w:tcPr>
            <w:tcW w:type="dxa" w:w="3360"/>
          </w:tcPr>
          <w:p>
            <w:r>
              <w:t>Threshold</w:t>
            </w:r>
          </w:p>
        </w:tc>
      </w:tr>
      <w:tr>
        <w:tc>
          <w:tcPr>
            <w:tcW w:type="dxa" w:w="3360"/>
          </w:tcPr>
          <w:p>
            <w:r>
              <w:t>≥ 0.90</w:t>
            </w:r>
          </w:p>
        </w:tc>
        <w:tc>
          <w:tcPr>
            <w:tcW w:type="dxa" w:w="3360"/>
          </w:tcPr>
          <w:p>
            <w:r>
              <w:t>0.7459</w:t>
            </w:r>
          </w:p>
        </w:tc>
        <w:tc>
          <w:tcPr>
            <w:tcW w:type="dxa" w:w="3360"/>
          </w:tcPr>
          <w:p>
            <w:r>
              <w:t>0.8979</w:t>
            </w:r>
          </w:p>
        </w:tc>
      </w:tr>
      <w:tr>
        <w:tc>
          <w:tcPr>
            <w:tcW w:type="dxa" w:w="3360"/>
          </w:tcPr>
          <w:p>
            <w:r>
              <w:t>≥ 0.95</w:t>
            </w:r>
          </w:p>
        </w:tc>
        <w:tc>
          <w:tcPr>
            <w:tcW w:type="dxa" w:w="3360"/>
          </w:tcPr>
          <w:p>
            <w:r>
              <w:t>0.6022</w:t>
            </w:r>
          </w:p>
        </w:tc>
        <w:tc>
          <w:tcPr>
            <w:tcW w:type="dxa" w:w="3360"/>
          </w:tcPr>
          <w:p>
            <w:r>
              <w:t>0.9897</w:t>
            </w:r>
          </w:p>
        </w:tc>
      </w:tr>
      <w:tr>
        <w:tc>
          <w:tcPr>
            <w:tcW w:type="dxa" w:w="3360"/>
          </w:tcPr>
          <w:p>
            <w:r>
              <w:t>≥ 0.99</w:t>
            </w:r>
          </w:p>
        </w:tc>
        <w:tc>
          <w:tcPr>
            <w:tcW w:type="dxa" w:w="3360"/>
          </w:tcPr>
          <w:p>
            <w:r>
              <w:t>0.2486</w:t>
            </w:r>
          </w:p>
        </w:tc>
        <w:tc>
          <w:tcPr>
            <w:tcW w:type="dxa" w:w="3360"/>
          </w:tcPr>
          <w:p>
            <w:r>
              <w:t>0.9999</w:t>
            </w:r>
          </w:p>
        </w:tc>
      </w:tr>
    </w:tbl>
    <w:p>
      <w:r>
        <w:t>These results show the trade-off: demanding extremely high specificity causes sensitivity to fall substantially.</w:t>
      </w:r>
    </w:p>
    <w:p>
      <w:pPr>
        <w:pStyle w:val="Heading1"/>
      </w:pPr>
      <w:r>
        <w:t>12. What the Results Mean in Simple Terms</w:t>
      </w:r>
    </w:p>
    <w:p>
      <w:pPr>
        <w:pStyle w:val="ListBullet"/>
      </w:pPr>
      <w:r>
        <w:t>The model learned useful information from the CT patches: the mean fold AUROC was about 0.92, which indicates good ranking ability.</w:t>
      </w:r>
    </w:p>
    <w:p>
      <w:pPr>
        <w:pStyle w:val="ListBullet"/>
      </w:pPr>
      <w:r>
        <w:t>Performance was not identical across folds. AUROC ranged from 0.8787 to 0.9446, so the dataset and patient groups still produce noticeable variation.</w:t>
      </w:r>
    </w:p>
    <w:p>
      <w:pPr>
        <w:pStyle w:val="ListBullet"/>
      </w:pPr>
      <w:r>
        <w:t>The pooled out-of-fold AUROC was 0.9005, with a 95% confidence interval of 0.8668–0.9344.</w:t>
      </w:r>
    </w:p>
    <w:p>
      <w:pPr>
        <w:pStyle w:val="ListBullet"/>
      </w:pPr>
      <w:r>
        <w:t>At the default evaluation threshold used by the notebook, sensitivity was about 85.1% and specificity about 82.3%.</w:t>
      </w:r>
    </w:p>
    <w:p>
      <w:pPr>
        <w:pStyle w:val="ListBullet"/>
      </w:pPr>
      <w:r>
        <w:t>There were 27 false negatives out of 181 malignant nodules, corresponding to a false-negative rate of about 14.9%.</w:t>
      </w:r>
    </w:p>
    <w:p>
      <w:pPr>
        <w:pStyle w:val="ListBullet"/>
      </w:pPr>
      <w:r>
        <w:t>Calibration is not perfect: pooled ECE was 0.1022 and Brier score was 0.1310.</w:t>
      </w:r>
    </w:p>
    <w:p>
      <w:pPr>
        <w:pStyle w:val="ListBullet"/>
      </w:pPr>
      <w:r>
        <w:t>The model performs much less favorably when specificity is forced to 95% or 99%; this is important if the intended application strongly prioritizes avoiding false positives.</w:t>
      </w:r>
    </w:p>
    <w:p>
      <w:pPr>
        <w:pStyle w:val="Heading1"/>
      </w:pPr>
      <w:r>
        <w:t>13. Important Limitations / Things to Mention in a Report</w:t>
      </w:r>
    </w:p>
    <w:p>
      <w:pPr>
        <w:pStyle w:val="ListBullet"/>
      </w:pPr>
      <w:r>
        <w:t>Only 322 nodules from 187 patients were available in the recorded cache, although the configuration targeted 300 patients and the notebook checklist recommends at least 500 nodules before final reporting.</w:t>
      </w:r>
    </w:p>
    <w:p>
      <w:pPr>
        <w:pStyle w:val="ListBullet"/>
      </w:pPr>
      <w:r>
        <w:t>The notebook itself marks SMOKE mode as False, so the recorded results are based on real LIDC data rather than synthetic phantom data.</w:t>
      </w:r>
    </w:p>
    <w:p>
      <w:pPr>
        <w:pStyle w:val="ListBullet"/>
      </w:pPr>
      <w:r>
        <w:t>The setup output in the notebook showed no GPU visible at that particular execution point and stated that five-fold training on CPU would not be practical. The recorded training/evaluation outputs nevertheless contain completed ResNet-18 fold results.</w:t>
      </w:r>
    </w:p>
    <w:p>
      <w:pPr>
        <w:pStyle w:val="ListBullet"/>
      </w:pPr>
      <w:r>
        <w:t>The notebook asks the user to visually inspect the patch-centering plots before trusting the final metrics. The automated checklist records that this visual inspection was not yet checked.</w:t>
      </w:r>
    </w:p>
    <w:p>
      <w:pPr>
        <w:pStyle w:val="ListBullet"/>
      </w:pPr>
      <w:r>
        <w:t>A single model result is a baseline, not proof of clinical readiness. The notebook is explicitly designed so that Task 4 can later be compared with another architecture using the same data/folds.</w:t>
      </w:r>
    </w:p>
    <w:p>
      <w:pPr>
        <w:pStyle w:val="Heading1"/>
      </w:pPr>
      <w:r>
        <w:t>14. Why the Fingerprint and Saved Files Matter</w:t>
      </w:r>
    </w:p>
    <w:p>
      <w:r>
        <w:t>The notebook creates a short dataset fingerprint so Task 4 and a later Task 5 run can prove that both models were evaluated on the same nodules using the same patient-level folds and protocol. The recorded fingerprint is 1675f74dcca2d3ce.</w:t>
      </w:r>
    </w:p>
    <w:p>
      <w:pPr>
        <w:pStyle w:val="ListBullet"/>
      </w:pPr>
      <w:r>
        <w:t>OOF predictions: per-nodule probability, label, patient, and fold information.</w:t>
      </w:r>
    </w:p>
    <w:p>
      <w:pPr>
        <w:pStyle w:val="ListBullet"/>
      </w:pPr>
      <w:r>
        <w:t>Fold metrics CSV: performance of each fold.</w:t>
      </w:r>
    </w:p>
    <w:p>
      <w:pPr>
        <w:pStyle w:val="ListBullet"/>
      </w:pPr>
      <w:r>
        <w:t>Summary JSON: pooled metrics, configuration, environment, and fingerprint.</w:t>
      </w:r>
    </w:p>
    <w:p>
      <w:pPr>
        <w:pStyle w:val="ListBullet"/>
      </w:pPr>
      <w:r>
        <w:t>Fold table CSV: exact split information.</w:t>
      </w:r>
    </w:p>
    <w:p>
      <w:pPr>
        <w:pStyle w:val="ListBullet"/>
      </w:pPr>
      <w:r>
        <w:t>Training and ROC/PR curve images: figures for the report.</w:t>
      </w:r>
    </w:p>
    <w:p>
      <w:pPr>
        <w:pStyle w:val="ListBullet"/>
      </w:pPr>
      <w:r>
        <w:t>Five best model checkpoint files: one for each fold.</w:t>
      </w:r>
    </w:p>
    <w:p>
      <w:pPr>
        <w:pStyle w:val="Heading1"/>
      </w:pPr>
      <w:r>
        <w:t>15. Final Summary</w:t>
      </w:r>
    </w:p>
    <w:p>
      <w:r>
        <w:t>Task 04 builds a reproducible medical-imaging classification baseline. It starts with radiologist-annotated LIDC-IDRI CT scans, creates standardized lung-nodule patches, carefully prevents patient leakage, and trains a pretrained ResNet-18 to classify nodules as benign or malignant. The recorded five-fold experiment achieved a mean AUROC of 0.9234 ± 0.0261 and a pooled out-of-fold AUROC of 0.9005. The model detected about 85% of malignant nodules at the reported default operating point, but performance dropped when specificity was forced to very high levels. The most important next step is to increase the dataset toward the notebook's 500-nodule target and then use the identical fingerprint/protocol for a fair comparison with the next architecture.</w:t>
      </w:r>
    </w:p>
    <w:p/>
    <w:p>
      <w:r>
        <w:rPr>
          <w:b/>
        </w:rPr>
        <w:t xml:space="preserve">Source: </w:t>
      </w:r>
      <w:r>
        <w:t>Task-04-Medical-AI-Imaging.ipynb supplied with this request. All numerical results above are taken from the notebook's recorded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