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Task 05 – Medical AI Imaging</w:t>
        <w:br/>
      </w:r>
      <w:r>
        <w:rPr>
          <w:sz w:val="28"/>
        </w:rPr>
        <w:t>Simple Explanation of the ViT-Tiny Comparison on LIDC-IDRI</w:t>
      </w:r>
    </w:p>
    <w:p>
      <w:pPr>
        <w:jc w:val="center"/>
      </w:pPr>
      <w:r>
        <w:rPr>
          <w:i/>
        </w:rPr>
        <w:t>Purpose: explain the code, the experimental agenda, and the results in simple terms.</w:t>
      </w:r>
    </w:p>
    <w:p>
      <w:pPr>
        <w:pStyle w:val="Heading1"/>
      </w:pPr>
      <w:r>
        <w:t>1. Agenda / What Task 05 Is Trying to Do</w:t>
      </w:r>
    </w:p>
    <w:p>
      <w:pPr>
        <w:pStyle w:val="ListBullet"/>
      </w:pPr>
      <w:r>
        <w:t>Use the same LIDC-IDRI lung-nodule dataset and the same experimental protocol as Task 04.</w:t>
      </w:r>
    </w:p>
    <w:p>
      <w:pPr>
        <w:pStyle w:val="ListBullet"/>
      </w:pPr>
      <w:r>
        <w:t>Replace the Task 04 ResNet-18 CNN with a pretrained Vision Transformer (ViT-Tiny).</w:t>
      </w:r>
    </w:p>
    <w:p>
      <w:pPr>
        <w:pStyle w:val="ListBullet"/>
      </w:pPr>
      <w:r>
        <w:t>Keep the data preparation, patient-level folds, training settings, and evaluation framework consistent so the architecture comparison is fair.</w:t>
      </w:r>
    </w:p>
    <w:p>
      <w:pPr>
        <w:pStyle w:val="ListBullet"/>
      </w:pPr>
      <w:r>
        <w:t>Produce out-of-fold predictions for every nodule.</w:t>
      </w:r>
    </w:p>
    <w:p>
      <w:pPr>
        <w:pStyle w:val="ListBullet"/>
      </w:pPr>
      <w:r>
        <w:t>Measure classification performance, calibration, false negatives, and sensitivity at high-specificity operating points.</w:t>
      </w:r>
    </w:p>
    <w:p>
      <w:pPr>
        <w:pStyle w:val="ListBullet"/>
      </w:pPr>
      <w:r>
        <w:t>Save a complete results bundle so Task 04 (ResNet-18) and Task 05 (ViT-Tiny) can later be compared with paired statistical tests.</w:t>
      </w:r>
    </w:p>
    <w:p>
      <w:pPr>
        <w:pStyle w:val="Heading1"/>
      </w:pPr>
      <w:r>
        <w:t>2. The Main Idea in Simple Terms</w:t>
      </w:r>
    </w:p>
    <w:p>
      <w:r>
        <w:t>Task 04 used a convolutional neural network (ResNet-18) to classify lung nodules. Task 05 asks whether a Vision Transformer can do better when everything else is kept the same.</w:t>
      </w:r>
    </w:p>
    <w:p>
      <w:r>
        <w:t>The important point is that this is intended to be an architecture comparison, not a completely new experiment. The same patients, labels, CT patches, folds, and evaluation rules are used. The main change is the model: Task 04 = ResNet-18; Task 05 = ViT-Tiny.</w:t>
      </w:r>
    </w:p>
    <w:p>
      <w:pPr>
        <w:pStyle w:val="Heading1"/>
      </w:pPr>
      <w:r>
        <w:t>3. Configuration – Main Experimental Settings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Setting</w:t>
            </w:r>
          </w:p>
        </w:tc>
        <w:tc>
          <w:tcPr>
            <w:tcW w:type="dxa" w:w="3360"/>
          </w:tcPr>
          <w:p>
            <w:r>
              <w:t>Value</w:t>
            </w:r>
          </w:p>
        </w:tc>
        <w:tc>
          <w:tcPr>
            <w:tcW w:type="dxa" w:w="3360"/>
          </w:tcPr>
          <w:p>
            <w:r>
              <w:t>Simple meaning</w:t>
            </w:r>
          </w:p>
        </w:tc>
      </w:tr>
      <w:tr>
        <w:tc>
          <w:tcPr>
            <w:tcW w:type="dxa" w:w="3360"/>
          </w:tcPr>
          <w:p>
            <w:r>
              <w:t>Model</w:t>
            </w:r>
          </w:p>
        </w:tc>
        <w:tc>
          <w:tcPr>
            <w:tcW w:type="dxa" w:w="3360"/>
          </w:tcPr>
          <w:p>
            <w:r>
              <w:t>vit_tiny</w:t>
            </w:r>
          </w:p>
        </w:tc>
        <w:tc>
          <w:tcPr>
            <w:tcW w:type="dxa" w:w="3360"/>
          </w:tcPr>
          <w:p>
            <w:r>
              <w:t>Vision Transformer Tiny; the specified Task 05 comparison model</w:t>
            </w:r>
          </w:p>
        </w:tc>
      </w:tr>
      <w:tr>
        <w:tc>
          <w:tcPr>
            <w:tcW w:type="dxa" w:w="3360"/>
          </w:tcPr>
          <w:p>
            <w:r>
              <w:t>Pretrained</w:t>
            </w:r>
          </w:p>
        </w:tc>
        <w:tc>
          <w:tcPr>
            <w:tcW w:type="dxa" w:w="3360"/>
          </w:tcPr>
          <w:p>
            <w:r>
              <w:t>Yes</w:t>
            </w:r>
          </w:p>
        </w:tc>
        <w:tc>
          <w:tcPr>
            <w:tcW w:type="dxa" w:w="3360"/>
          </w:tcPr>
          <w:p>
            <w:r>
              <w:t>Starts from ImageNet-pretrained weights</w:t>
            </w:r>
          </w:p>
        </w:tc>
      </w:tr>
      <w:tr>
        <w:tc>
          <w:tcPr>
            <w:tcW w:type="dxa" w:w="3360"/>
          </w:tcPr>
          <w:p>
            <w:r>
              <w:t>Target patients</w:t>
            </w:r>
          </w:p>
        </w:tc>
        <w:tc>
          <w:tcPr>
            <w:tcW w:type="dxa" w:w="3360"/>
          </w:tcPr>
          <w:p>
            <w:r>
              <w:t>300</w:t>
            </w:r>
          </w:p>
        </w:tc>
        <w:tc>
          <w:tcPr>
            <w:tcW w:type="dxa" w:w="3360"/>
          </w:tcPr>
          <w:p>
            <w:r>
              <w:t>Maximum requested when building the LIDC cache</w:t>
            </w:r>
          </w:p>
        </w:tc>
      </w:tr>
      <w:tr>
        <w:tc>
          <w:tcPr>
            <w:tcW w:type="dxa" w:w="3360"/>
          </w:tcPr>
          <w:p>
            <w:r>
              <w:t>Minimum readers</w:t>
            </w:r>
          </w:p>
        </w:tc>
        <w:tc>
          <w:tcPr>
            <w:tcW w:type="dxa" w:w="3360"/>
          </w:tcPr>
          <w:p>
            <w:r>
              <w:t>3</w:t>
            </w:r>
          </w:p>
        </w:tc>
        <w:tc>
          <w:tcPr>
            <w:tcW w:type="dxa" w:w="3360"/>
          </w:tcPr>
          <w:p>
            <w:r>
              <w:t>Nodule must be marked by at least 3 radiologists</w:t>
            </w:r>
          </w:p>
        </w:tc>
      </w:tr>
      <w:tr>
        <w:tc>
          <w:tcPr>
            <w:tcW w:type="dxa" w:w="3360"/>
          </w:tcPr>
          <w:p>
            <w:r>
              <w:t>Median malignancy = 3</w:t>
            </w:r>
          </w:p>
        </w:tc>
        <w:tc>
          <w:tcPr>
            <w:tcW w:type="dxa" w:w="3360"/>
          </w:tcPr>
          <w:p>
            <w:r>
              <w:t>Dropped</w:t>
            </w:r>
          </w:p>
        </w:tc>
        <w:tc>
          <w:tcPr>
            <w:tcW w:type="dxa" w:w="3360"/>
          </w:tcPr>
          <w:p>
            <w:r>
              <w:t>Indeterminate cases are excluded</w:t>
            </w:r>
          </w:p>
        </w:tc>
      </w:tr>
      <w:tr>
        <w:tc>
          <w:tcPr>
            <w:tcW w:type="dxa" w:w="3360"/>
          </w:tcPr>
          <w:p>
            <w:r>
              <w:t>Reader matching radius</w:t>
            </w:r>
          </w:p>
        </w:tc>
        <w:tc>
          <w:tcPr>
            <w:tcW w:type="dxa" w:w="3360"/>
          </w:tcPr>
          <w:p>
            <w:r>
              <w:t>6 mm</w:t>
            </w:r>
          </w:p>
        </w:tc>
        <w:tc>
          <w:tcPr>
            <w:tcW w:type="dxa" w:w="3360"/>
          </w:tcPr>
          <w:p>
            <w:r>
              <w:t>Used to identify the same nodule across readers</w:t>
            </w:r>
          </w:p>
        </w:tc>
      </w:tr>
      <w:tr>
        <w:tc>
          <w:tcPr>
            <w:tcW w:type="dxa" w:w="3360"/>
          </w:tcPr>
          <w:p>
            <w:r>
              <w:t>Patch field of view</w:t>
            </w:r>
          </w:p>
        </w:tc>
        <w:tc>
          <w:tcPr>
            <w:tcW w:type="dxa" w:w="3360"/>
          </w:tcPr>
          <w:p>
            <w:r>
              <w:t>48 mm × 48 mm</w:t>
            </w:r>
          </w:p>
        </w:tc>
        <w:tc>
          <w:tcPr>
            <w:tcW w:type="dxa" w:w="3360"/>
          </w:tcPr>
          <w:p>
            <w:r>
              <w:t>Same physical crop around every nodule</w:t>
            </w:r>
          </w:p>
        </w:tc>
      </w:tr>
      <w:tr>
        <w:tc>
          <w:tcPr>
            <w:tcW w:type="dxa" w:w="3360"/>
          </w:tcPr>
          <w:p>
            <w:r>
              <w:t>Image size</w:t>
            </w:r>
          </w:p>
        </w:tc>
        <w:tc>
          <w:tcPr>
            <w:tcW w:type="dxa" w:w="3360"/>
          </w:tcPr>
          <w:p>
            <w:r>
              <w:t>224 × 224</w:t>
            </w:r>
          </w:p>
        </w:tc>
        <w:tc>
          <w:tcPr>
            <w:tcW w:type="dxa" w:w="3360"/>
          </w:tcPr>
          <w:p>
            <w:r>
              <w:t>Input resolution</w:t>
            </w:r>
          </w:p>
        </w:tc>
      </w:tr>
      <w:tr>
        <w:tc>
          <w:tcPr>
            <w:tcW w:type="dxa" w:w="3360"/>
          </w:tcPr>
          <w:p>
            <w:r>
              <w:t>Slices</w:t>
            </w:r>
          </w:p>
        </w:tc>
        <w:tc>
          <w:tcPr>
            <w:tcW w:type="dxa" w:w="3360"/>
          </w:tcPr>
          <w:p>
            <w:r>
              <w:t>3</w:t>
            </w:r>
          </w:p>
        </w:tc>
        <w:tc>
          <w:tcPr>
            <w:tcW w:type="dxa" w:w="3360"/>
          </w:tcPr>
          <w:p>
            <w:r>
              <w:t>Three adjacent CT slices form a 2.5D input</w:t>
            </w:r>
          </w:p>
        </w:tc>
      </w:tr>
      <w:tr>
        <w:tc>
          <w:tcPr>
            <w:tcW w:type="dxa" w:w="3360"/>
          </w:tcPr>
          <w:p>
            <w:r>
              <w:t>HU window</w:t>
            </w:r>
          </w:p>
        </w:tc>
        <w:tc>
          <w:tcPr>
            <w:tcW w:type="dxa" w:w="3360"/>
          </w:tcPr>
          <w:p>
            <w:r>
              <w:t>-1000 to 400</w:t>
            </w:r>
          </w:p>
        </w:tc>
        <w:tc>
          <w:tcPr>
            <w:tcW w:type="dxa" w:w="3360"/>
          </w:tcPr>
          <w:p>
            <w:r>
              <w:t>CT intensity range used for the patch</w:t>
            </w:r>
          </w:p>
        </w:tc>
      </w:tr>
      <w:tr>
        <w:tc>
          <w:tcPr>
            <w:tcW w:type="dxa" w:w="3360"/>
          </w:tcPr>
          <w:p>
            <w:r>
              <w:t>Cross-validation</w:t>
            </w:r>
          </w:p>
        </w:tc>
        <w:tc>
          <w:tcPr>
            <w:tcW w:type="dxa" w:w="3360"/>
          </w:tcPr>
          <w:p>
            <w:r>
              <w:t>5-fold, patient-level</w:t>
            </w:r>
          </w:p>
        </w:tc>
        <w:tc>
          <w:tcPr>
            <w:tcW w:type="dxa" w:w="3360"/>
          </w:tcPr>
          <w:p>
            <w:r>
              <w:t>Patients never cross train/validation/test within a fold</w:t>
            </w:r>
          </w:p>
        </w:tc>
      </w:tr>
      <w:tr>
        <w:tc>
          <w:tcPr>
            <w:tcW w:type="dxa" w:w="3360"/>
          </w:tcPr>
          <w:p>
            <w:r>
              <w:t>Validation fraction</w:t>
            </w:r>
          </w:p>
        </w:tc>
        <w:tc>
          <w:tcPr>
            <w:tcW w:type="dxa" w:w="3360"/>
          </w:tcPr>
          <w:p>
            <w:r>
              <w:t>15% of training pool</w:t>
            </w:r>
          </w:p>
        </w:tc>
        <w:tc>
          <w:tcPr>
            <w:tcW w:type="dxa" w:w="3360"/>
          </w:tcPr>
          <w:p>
            <w:r>
              <w:t>Used for early stopping</w:t>
            </w:r>
          </w:p>
        </w:tc>
      </w:tr>
      <w:tr>
        <w:tc>
          <w:tcPr>
            <w:tcW w:type="dxa" w:w="3360"/>
          </w:tcPr>
          <w:p>
            <w:r>
              <w:t>Maximum epochs</w:t>
            </w:r>
          </w:p>
        </w:tc>
        <w:tc>
          <w:tcPr>
            <w:tcW w:type="dxa" w:w="3360"/>
          </w:tcPr>
          <w:p>
            <w:r>
              <w:t>30</w:t>
            </w:r>
          </w:p>
        </w:tc>
        <w:tc>
          <w:tcPr>
            <w:tcW w:type="dxa" w:w="3360"/>
          </w:tcPr>
          <w:p>
            <w:r>
              <w:t>Training limit</w:t>
            </w:r>
          </w:p>
        </w:tc>
      </w:tr>
      <w:tr>
        <w:tc>
          <w:tcPr>
            <w:tcW w:type="dxa" w:w="3360"/>
          </w:tcPr>
          <w:p>
            <w:r>
              <w:t>Batch size</w:t>
            </w:r>
          </w:p>
        </w:tc>
        <w:tc>
          <w:tcPr>
            <w:tcW w:type="dxa" w:w="3360"/>
          </w:tcPr>
          <w:p>
            <w:r>
              <w:t>32</w:t>
            </w:r>
          </w:p>
        </w:tc>
        <w:tc>
          <w:tcPr>
            <w:tcW w:type="dxa" w:w="3360"/>
          </w:tcPr>
          <w:p>
            <w:r>
              <w:t>Samples processed together</w:t>
            </w:r>
          </w:p>
        </w:tc>
      </w:tr>
      <w:tr>
        <w:tc>
          <w:tcPr>
            <w:tcW w:type="dxa" w:w="3360"/>
          </w:tcPr>
          <w:p>
            <w:r>
              <w:t>Learning rate</w:t>
            </w:r>
          </w:p>
        </w:tc>
        <w:tc>
          <w:tcPr>
            <w:tcW w:type="dxa" w:w="3360"/>
          </w:tcPr>
          <w:p>
            <w:r>
              <w:t>0.0003</w:t>
            </w:r>
          </w:p>
        </w:tc>
        <w:tc>
          <w:tcPr>
            <w:tcW w:type="dxa" w:w="3360"/>
          </w:tcPr>
          <w:p>
            <w:r>
              <w:t>AdamW learning rate</w:t>
            </w:r>
          </w:p>
        </w:tc>
      </w:tr>
      <w:tr>
        <w:tc>
          <w:tcPr>
            <w:tcW w:type="dxa" w:w="3360"/>
          </w:tcPr>
          <w:p>
            <w:r>
              <w:t>Weight decay</w:t>
            </w:r>
          </w:p>
        </w:tc>
        <w:tc>
          <w:tcPr>
            <w:tcW w:type="dxa" w:w="3360"/>
          </w:tcPr>
          <w:p>
            <w:r>
              <w:t>0.0001</w:t>
            </w:r>
          </w:p>
        </w:tc>
        <w:tc>
          <w:tcPr>
            <w:tcW w:type="dxa" w:w="3360"/>
          </w:tcPr>
          <w:p>
            <w:r>
              <w:t>Regularization</w:t>
            </w:r>
          </w:p>
        </w:tc>
      </w:tr>
      <w:tr>
        <w:tc>
          <w:tcPr>
            <w:tcW w:type="dxa" w:w="3360"/>
          </w:tcPr>
          <w:p>
            <w:r>
              <w:t>Dropout</w:t>
            </w:r>
          </w:p>
        </w:tc>
        <w:tc>
          <w:tcPr>
            <w:tcW w:type="dxa" w:w="3360"/>
          </w:tcPr>
          <w:p>
            <w:r>
              <w:t>0.30</w:t>
            </w:r>
          </w:p>
        </w:tc>
        <w:tc>
          <w:tcPr>
            <w:tcW w:type="dxa" w:w="3360"/>
          </w:tcPr>
          <w:p>
            <w:r>
              <w:t>Used during training and later for MC Dropout</w:t>
            </w:r>
          </w:p>
        </w:tc>
      </w:tr>
      <w:tr>
        <w:tc>
          <w:tcPr>
            <w:tcW w:type="dxa" w:w="3360"/>
          </w:tcPr>
          <w:p>
            <w:r>
              <w:t>Early stopping</w:t>
            </w:r>
          </w:p>
        </w:tc>
        <w:tc>
          <w:tcPr>
            <w:tcW w:type="dxa" w:w="3360"/>
          </w:tcPr>
          <w:p>
            <w:r>
              <w:t>7 epochs</w:t>
            </w:r>
          </w:p>
        </w:tc>
        <w:tc>
          <w:tcPr>
            <w:tcW w:type="dxa" w:w="3360"/>
          </w:tcPr>
          <w:p>
            <w:r>
              <w:t>Stop if validation AUROC does not improve</w:t>
            </w:r>
          </w:p>
        </w:tc>
      </w:tr>
      <w:tr>
        <w:tc>
          <w:tcPr>
            <w:tcW w:type="dxa" w:w="3360"/>
          </w:tcPr>
          <w:p>
            <w:r>
              <w:t>Bootstrap</w:t>
            </w:r>
          </w:p>
        </w:tc>
        <w:tc>
          <w:tcPr>
            <w:tcW w:type="dxa" w:w="3360"/>
          </w:tcPr>
          <w:p>
            <w:r>
              <w:t>1000 samples</w:t>
            </w:r>
          </w:p>
        </w:tc>
        <w:tc>
          <w:tcPr>
            <w:tcW w:type="dxa" w:w="3360"/>
          </w:tcPr>
          <w:p>
            <w:r>
              <w:t>Patient-level confidence intervals</w:t>
            </w:r>
          </w:p>
        </w:tc>
      </w:tr>
      <w:tr>
        <w:tc>
          <w:tcPr>
            <w:tcW w:type="dxa" w:w="3360"/>
          </w:tcPr>
          <w:p>
            <w:r>
              <w:t>Target specificity</w:t>
            </w:r>
          </w:p>
        </w:tc>
        <w:tc>
          <w:tcPr>
            <w:tcW w:type="dxa" w:w="3360"/>
          </w:tcPr>
          <w:p>
            <w:r>
              <w:t>90%, 95%, 99%</w:t>
            </w:r>
          </w:p>
        </w:tc>
        <w:tc>
          <w:tcPr>
            <w:tcW w:type="dxa" w:w="3360"/>
          </w:tcPr>
          <w:p>
            <w:r>
              <w:t>Used to examine false-negative performance</w:t>
            </w:r>
          </w:p>
        </w:tc>
      </w:tr>
    </w:tbl>
    <w:p>
      <w:pPr>
        <w:pStyle w:val="Heading1"/>
      </w:pPr>
      <w:r>
        <w:t>4. Data Preparation</w:t>
      </w:r>
    </w:p>
    <w:p>
      <w:pPr>
        <w:pStyle w:val="Heading2"/>
      </w:pPr>
      <w:r>
        <w:t>4.1 Reading the LIDC-IDRI annotations</w:t>
      </w:r>
    </w:p>
    <w:p>
      <w:r>
        <w:t>The LIDC-IDRI dataset does not provide one simple benign/malignant column. Up to four radiologists independently outline nodules and assign scores. The notebook reads the XML annotation files and extracts the nodule contours and nine characteristics, including malignancy.</w:t>
      </w:r>
    </w:p>
    <w:p>
      <w:pPr>
        <w:pStyle w:val="Heading2"/>
      </w:pPr>
      <w:r>
        <w:t>4.2 Matching radiologists' annotations</w:t>
      </w:r>
    </w:p>
    <w:p>
      <w:r>
        <w:t>Two radiologists may give different IDs to the same physical nodule. The code therefore groups annotations using the distance between their 3D centroids. The matching radius is 6 mm, and a cluster is not allowed to contain two nodules from the same reader.</w:t>
      </w:r>
    </w:p>
    <w:p>
      <w:pPr>
        <w:pStyle w:val="Heading2"/>
      </w:pPr>
      <w:r>
        <w:t>4.3 Turning reader scores into labels</w:t>
      </w:r>
    </w:p>
    <w:p>
      <w:pPr>
        <w:pStyle w:val="ListBullet"/>
      </w:pPr>
      <w:r>
        <w:t>Keep nodules marked by at least 3 radiologists.</w:t>
      </w:r>
    </w:p>
    <w:p>
      <w:pPr>
        <w:pStyle w:val="ListBullet"/>
      </w:pPr>
      <w:r>
        <w:t>Take the median malignancy score across the readers.</w:t>
      </w:r>
    </w:p>
    <w:p>
      <w:pPr>
        <w:pStyle w:val="ListBullet"/>
      </w:pPr>
      <w:r>
        <w:t>Drop cases with median score exactly 3 because they are treated as indeterminate.</w:t>
      </w:r>
    </w:p>
    <w:p>
      <w:pPr>
        <w:pStyle w:val="ListBullet"/>
      </w:pPr>
      <w:r>
        <w:t>Median score above 3 → malignant (label 1).</w:t>
      </w:r>
    </w:p>
    <w:p>
      <w:pPr>
        <w:pStyle w:val="ListBullet"/>
      </w:pPr>
      <w:r>
        <w:t>Median score below 3 → benign (label 0).</w:t>
      </w:r>
    </w:p>
    <w:p>
      <w:pPr>
        <w:pStyle w:val="Heading1"/>
      </w:pPr>
      <w:r>
        <w:t>5. Turning CT Scans into Model Inputs</w:t>
      </w:r>
    </w:p>
    <w:p>
      <w:pPr>
        <w:pStyle w:val="ListBullet"/>
      </w:pPr>
      <w:r>
        <w:t>The DICOM CT series is loaded and sorted along the z-axis.</w:t>
      </w:r>
    </w:p>
    <w:p>
      <w:pPr>
        <w:pStyle w:val="ListBullet"/>
      </w:pPr>
      <w:r>
        <w:t>Stored CT values are converted into Hounsfield Units (HU).</w:t>
      </w:r>
    </w:p>
    <w:p>
      <w:pPr>
        <w:pStyle w:val="ListBullet"/>
      </w:pPr>
      <w:r>
        <w:t>A 48 mm × 48 mm physical patch is extracted around the nodule. Using millimetres rather than a fixed pixel crop keeps the physical anatomy comparable across scanners.</w:t>
      </w:r>
    </w:p>
    <w:p>
      <w:pPr>
        <w:pStyle w:val="ListBullet"/>
      </w:pPr>
      <w:r>
        <w:t>The patch is resized to 224 × 224 pixels.</w:t>
      </w:r>
    </w:p>
    <w:p>
      <w:pPr>
        <w:pStyle w:val="ListBullet"/>
      </w:pPr>
      <w:r>
        <w:t>Three adjacent axial slices are stacked as three channels. This is called a 2.5D input because it provides limited through-plane context while still looking like a 3-channel image.</w:t>
      </w:r>
    </w:p>
    <w:p>
      <w:pPr>
        <w:pStyle w:val="ListBullet"/>
      </w:pPr>
      <w:r>
        <w:t>The HU range -1000 to 400 is converted to an 8-bit image representation.</w:t>
      </w:r>
    </w:p>
    <w:p>
      <w:pPr>
        <w:pStyle w:val="ListBullet"/>
      </w:pPr>
      <w:r>
        <w:t>Only training data is augmented. Validation and test data remain untouched.</w:t>
      </w:r>
    </w:p>
    <w:p>
      <w:pPr>
        <w:pStyle w:val="Heading1"/>
      </w:pPr>
      <w:r>
        <w:t>6. Dataset Used in the Recorded Run</w:t>
      </w:r>
    </w:p>
    <w:p>
      <w:r>
        <w:t>The notebook found a pre-built LIDC cache, so the recorded run used the real LIDC data rather than synthetic phantom data.</w:t>
      </w:r>
    </w:p>
    <w:tbl>
      <w:tblPr>
        <w:tblStyle w:val="TableGrid"/>
        <w:tblW w:type="auto" w:w="0"/>
        <w:tblLook w:firstColumn="1" w:firstRow="1" w:lastColumn="0" w:lastRow="0" w:noHBand="0" w:noVBand="1" w:val="04A0"/>
      </w:tblPr>
      <w:tblGrid>
        <w:gridCol w:w="5040"/>
        <w:gridCol w:w="5040"/>
      </w:tblGrid>
      <w:tr>
        <w:tc>
          <w:tcPr>
            <w:tcW w:type="dxa" w:w="5040"/>
          </w:tcPr>
          <w:p>
            <w:r>
              <w:t>Item</w:t>
            </w:r>
          </w:p>
        </w:tc>
        <w:tc>
          <w:tcPr>
            <w:tcW w:type="dxa" w:w="5040"/>
          </w:tcPr>
          <w:p>
            <w:r>
              <w:t>Recorded value</w:t>
            </w:r>
          </w:p>
        </w:tc>
      </w:tr>
      <w:tr>
        <w:tc>
          <w:tcPr>
            <w:tcW w:type="dxa" w:w="5040"/>
          </w:tcPr>
          <w:p>
            <w:r>
              <w:t>Nodules</w:t>
            </w:r>
          </w:p>
        </w:tc>
        <w:tc>
          <w:tcPr>
            <w:tcW w:type="dxa" w:w="5040"/>
          </w:tcPr>
          <w:p>
            <w:r>
              <w:t>322</w:t>
            </w:r>
          </w:p>
        </w:tc>
      </w:tr>
      <w:tr>
        <w:tc>
          <w:tcPr>
            <w:tcW w:type="dxa" w:w="5040"/>
          </w:tcPr>
          <w:p>
            <w:r>
              <w:t>Patients</w:t>
            </w:r>
          </w:p>
        </w:tc>
        <w:tc>
          <w:tcPr>
            <w:tcW w:type="dxa" w:w="5040"/>
          </w:tcPr>
          <w:p>
            <w:r>
              <w:t>187</w:t>
            </w:r>
          </w:p>
        </w:tc>
      </w:tr>
      <w:tr>
        <w:tc>
          <w:tcPr>
            <w:tcW w:type="dxa" w:w="5040"/>
          </w:tcPr>
          <w:p>
            <w:r>
              <w:t>Benign nodules</w:t>
            </w:r>
          </w:p>
        </w:tc>
        <w:tc>
          <w:tcPr>
            <w:tcW w:type="dxa" w:w="5040"/>
          </w:tcPr>
          <w:p>
            <w:r>
              <w:t>141</w:t>
            </w:r>
          </w:p>
        </w:tc>
      </w:tr>
      <w:tr>
        <w:tc>
          <w:tcPr>
            <w:tcW w:type="dxa" w:w="5040"/>
          </w:tcPr>
          <w:p>
            <w:r>
              <w:t>Malignant nodules</w:t>
            </w:r>
          </w:p>
        </w:tc>
        <w:tc>
          <w:tcPr>
            <w:tcW w:type="dxa" w:w="5040"/>
          </w:tcPr>
          <w:p>
            <w:r>
              <w:t>181</w:t>
            </w:r>
          </w:p>
        </w:tc>
      </w:tr>
      <w:tr>
        <w:tc>
          <w:tcPr>
            <w:tcW w:type="dxa" w:w="5040"/>
          </w:tcPr>
          <w:p>
            <w:r>
              <w:t>Malignant proportion</w:t>
            </w:r>
          </w:p>
        </w:tc>
        <w:tc>
          <w:tcPr>
            <w:tcW w:type="dxa" w:w="5040"/>
          </w:tcPr>
          <w:p>
            <w:r>
              <w:t>56.2%</w:t>
            </w:r>
          </w:p>
        </w:tc>
      </w:tr>
      <w:tr>
        <w:tc>
          <w:tcPr>
            <w:tcW w:type="dxa" w:w="5040"/>
          </w:tcPr>
          <w:p>
            <w:r>
              <w:t>SMOKE / phantom mode</w:t>
            </w:r>
          </w:p>
        </w:tc>
        <w:tc>
          <w:tcPr>
            <w:tcW w:type="dxa" w:w="5040"/>
          </w:tcPr>
          <w:p>
            <w:r>
              <w:t>False</w:t>
            </w:r>
          </w:p>
        </w:tc>
      </w:tr>
      <w:tr>
        <w:tc>
          <w:tcPr>
            <w:tcW w:type="dxa" w:w="5040"/>
          </w:tcPr>
          <w:p>
            <w:r>
              <w:t>Dataset/protocol fingerprint</w:t>
            </w:r>
          </w:p>
        </w:tc>
        <w:tc>
          <w:tcPr>
            <w:tcW w:type="dxa" w:w="5040"/>
          </w:tcPr>
          <w:p>
            <w:r>
              <w:t>1675f74dcca2d3ce</w:t>
            </w:r>
          </w:p>
        </w:tc>
      </w:tr>
    </w:tbl>
    <w:p>
      <w:r>
        <w:t>The notebook's reporting checklist is important: the experiment has real LIDC data and more than 100 patients, but it has only 322 nodules, below the stated 500-nodule target. The patch-centering visual check is also marked as not yet inspected.</w:t>
      </w:r>
    </w:p>
    <w:p>
      <w:pPr>
        <w:pStyle w:val="Heading1"/>
      </w:pPr>
      <w:r>
        <w:t>7. Why Patient-Level 5-Fold Cross-Validation Is Used</w:t>
      </w:r>
    </w:p>
    <w:p>
      <w:r>
        <w:t>A patient can have multiple nodules from the same scan. If one nodule from a patient went into training and another went into testing, the model could partly recognize patient-specific information. That would make the result look better than it really is.</w:t>
      </w:r>
    </w:p>
    <w:p>
      <w:r>
        <w:t>The notebook therefore keeps whole patients together. Each of the five folds has a separate training group, validation group, and held-out test group. Assertions in the code explicitly check that there is no patient overlap.</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Fold</w:t>
            </w:r>
          </w:p>
        </w:tc>
        <w:tc>
          <w:tcPr>
            <w:tcW w:type="dxa" w:w="2520"/>
          </w:tcPr>
          <w:p>
            <w:r>
              <w:t>Train</w:t>
            </w:r>
          </w:p>
        </w:tc>
        <w:tc>
          <w:tcPr>
            <w:tcW w:type="dxa" w:w="2520"/>
          </w:tcPr>
          <w:p>
            <w:r>
              <w:t>Validation</w:t>
            </w:r>
          </w:p>
        </w:tc>
        <w:tc>
          <w:tcPr>
            <w:tcW w:type="dxa" w:w="2520"/>
          </w:tcPr>
          <w:p>
            <w:r>
              <w:t>Test</w:t>
            </w:r>
          </w:p>
        </w:tc>
      </w:tr>
      <w:tr>
        <w:tc>
          <w:tcPr>
            <w:tcW w:type="dxa" w:w="2520"/>
          </w:tcPr>
          <w:p>
            <w:r>
              <w:t>0</w:t>
            </w:r>
          </w:p>
        </w:tc>
        <w:tc>
          <w:tcPr>
            <w:tcW w:type="dxa" w:w="2520"/>
          </w:tcPr>
          <w:p>
            <w:r>
              <w:t>221</w:t>
            </w:r>
          </w:p>
        </w:tc>
        <w:tc>
          <w:tcPr>
            <w:tcW w:type="dxa" w:w="2520"/>
          </w:tcPr>
          <w:p>
            <w:r>
              <w:t>38</w:t>
            </w:r>
          </w:p>
        </w:tc>
        <w:tc>
          <w:tcPr>
            <w:tcW w:type="dxa" w:w="2520"/>
          </w:tcPr>
          <w:p>
            <w:r>
              <w:t>63</w:t>
            </w:r>
          </w:p>
        </w:tc>
      </w:tr>
      <w:tr>
        <w:tc>
          <w:tcPr>
            <w:tcW w:type="dxa" w:w="2520"/>
          </w:tcPr>
          <w:p>
            <w:r>
              <w:t>1</w:t>
            </w:r>
          </w:p>
        </w:tc>
        <w:tc>
          <w:tcPr>
            <w:tcW w:type="dxa" w:w="2520"/>
          </w:tcPr>
          <w:p>
            <w:r>
              <w:t>225</w:t>
            </w:r>
          </w:p>
        </w:tc>
        <w:tc>
          <w:tcPr>
            <w:tcW w:type="dxa" w:w="2520"/>
          </w:tcPr>
          <w:p>
            <w:r>
              <w:t>45</w:t>
            </w:r>
          </w:p>
        </w:tc>
        <w:tc>
          <w:tcPr>
            <w:tcW w:type="dxa" w:w="2520"/>
          </w:tcPr>
          <w:p>
            <w:r>
              <w:t>52</w:t>
            </w:r>
          </w:p>
        </w:tc>
      </w:tr>
      <w:tr>
        <w:tc>
          <w:tcPr>
            <w:tcW w:type="dxa" w:w="2520"/>
          </w:tcPr>
          <w:p>
            <w:r>
              <w:t>2</w:t>
            </w:r>
          </w:p>
        </w:tc>
        <w:tc>
          <w:tcPr>
            <w:tcW w:type="dxa" w:w="2520"/>
          </w:tcPr>
          <w:p>
            <w:r>
              <w:t>224</w:t>
            </w:r>
          </w:p>
        </w:tc>
        <w:tc>
          <w:tcPr>
            <w:tcW w:type="dxa" w:w="2520"/>
          </w:tcPr>
          <w:p>
            <w:r>
              <w:t>29</w:t>
            </w:r>
          </w:p>
        </w:tc>
        <w:tc>
          <w:tcPr>
            <w:tcW w:type="dxa" w:w="2520"/>
          </w:tcPr>
          <w:p>
            <w:r>
              <w:t>69</w:t>
            </w:r>
          </w:p>
        </w:tc>
      </w:tr>
      <w:tr>
        <w:tc>
          <w:tcPr>
            <w:tcW w:type="dxa" w:w="2520"/>
          </w:tcPr>
          <w:p>
            <w:r>
              <w:t>3</w:t>
            </w:r>
          </w:p>
        </w:tc>
        <w:tc>
          <w:tcPr>
            <w:tcW w:type="dxa" w:w="2520"/>
          </w:tcPr>
          <w:p>
            <w:r>
              <w:t>224</w:t>
            </w:r>
          </w:p>
        </w:tc>
        <w:tc>
          <w:tcPr>
            <w:tcW w:type="dxa" w:w="2520"/>
          </w:tcPr>
          <w:p>
            <w:r>
              <w:t>34</w:t>
            </w:r>
          </w:p>
        </w:tc>
        <w:tc>
          <w:tcPr>
            <w:tcW w:type="dxa" w:w="2520"/>
          </w:tcPr>
          <w:p>
            <w:r>
              <w:t>64</w:t>
            </w:r>
          </w:p>
        </w:tc>
      </w:tr>
      <w:tr>
        <w:tc>
          <w:tcPr>
            <w:tcW w:type="dxa" w:w="2520"/>
          </w:tcPr>
          <w:p>
            <w:r>
              <w:t>4</w:t>
            </w:r>
          </w:p>
        </w:tc>
        <w:tc>
          <w:tcPr>
            <w:tcW w:type="dxa" w:w="2520"/>
          </w:tcPr>
          <w:p>
            <w:r>
              <w:t>209</w:t>
            </w:r>
          </w:p>
        </w:tc>
        <w:tc>
          <w:tcPr>
            <w:tcW w:type="dxa" w:w="2520"/>
          </w:tcPr>
          <w:p>
            <w:r>
              <w:t>39</w:t>
            </w:r>
          </w:p>
        </w:tc>
        <w:tc>
          <w:tcPr>
            <w:tcW w:type="dxa" w:w="2520"/>
          </w:tcPr>
          <w:p>
            <w:r>
              <w:t>74</w:t>
            </w:r>
          </w:p>
        </w:tc>
      </w:tr>
    </w:tbl>
    <w:p>
      <w:r>
        <w:t>The same fingerprint, 1675f74dcca2d3ce, is especially important because Task 05 is meant to be compared with Task 04. If the fingerprint differs between the two notebooks, the comparison would not be a clean paired comparison.</w:t>
      </w:r>
    </w:p>
    <w:p>
      <w:pPr>
        <w:pStyle w:val="Heading1"/>
      </w:pPr>
      <w:r>
        <w:t>8. The ViT-Tiny Model</w:t>
      </w:r>
    </w:p>
    <w:p>
      <w:r>
        <w:t>A Vision Transformer (ViT) processes an image as a sequence of image patches and uses transformer attention to learn relationships between those patches. Here, the notebook uses the pretrained timm model `vit_tiny_patch16_224` and adds a two-class output layer for benign vs malignant.</w:t>
      </w:r>
    </w:p>
    <w:p>
      <w:pPr>
        <w:pStyle w:val="ListBullet"/>
      </w:pPr>
      <w:r>
        <w:t>Input: 224 × 224 image with 3 channels.</w:t>
      </w:r>
    </w:p>
    <w:p>
      <w:pPr>
        <w:pStyle w:val="ListBullet"/>
      </w:pPr>
      <w:r>
        <w:t>Backbone: pretrained ViT-Tiny.</w:t>
      </w:r>
    </w:p>
    <w:p>
      <w:pPr>
        <w:pStyle w:val="ListBullet"/>
      </w:pPr>
      <w:r>
        <w:t>Output: two class scores (benign and malignant).</w:t>
      </w:r>
    </w:p>
    <w:p>
      <w:pPr>
        <w:pStyle w:val="ListBullet"/>
      </w:pPr>
      <w:r>
        <w:t>The final classifier uses dropout with p = 0.30.</w:t>
      </w:r>
    </w:p>
    <w:p>
      <w:pPr>
        <w:pStyle w:val="ListBullet"/>
      </w:pPr>
      <w:r>
        <w:t>Transformer projection/MLP dropout is also enabled at p = 0.15 (0.30 × 0.5) so that later MC Dropout can sample meaningful internal uncertainty.</w:t>
      </w:r>
    </w:p>
    <w:p>
      <w:pPr>
        <w:pStyle w:val="ListBullet"/>
      </w:pPr>
      <w:r>
        <w:t>Attention-weight dropout is deliberately kept at zero.</w:t>
      </w:r>
    </w:p>
    <w:p>
      <w:r>
        <w:t>The code contains an important implementation detail: simply setting the classifier's dropout rate would not activate dropout inside the transformer blocks in the relevant timm version. The notebook therefore explicitly enables projection/MLP dropout so Task 6 can later perform MC Dropout uncertainty estimation.</w:t>
      </w:r>
    </w:p>
    <w:p>
      <w:pPr>
        <w:pStyle w:val="Heading1"/>
      </w:pPr>
      <w:r>
        <w:t>9. Data Augmentation and Class Balance</w:t>
      </w:r>
    </w:p>
    <w:p>
      <w:r>
        <w:t>Training patches can receive horizontal/vertical flips, 90-degree rotations, and a small intensity change. The augmentation is intentionally conservative because CT intensity values contain useful physical information.</w:t>
      </w:r>
    </w:p>
    <w:p>
      <w:r>
        <w:t>The training loader also uses rebalancing/class weighting because benign and malignant nodules are not perfectly balanced. Validation and test loaders are not rebalanced, so their reported metrics reflect the real test distribution.</w:t>
      </w:r>
    </w:p>
    <w:p>
      <w:pPr>
        <w:pStyle w:val="Heading1"/>
      </w:pPr>
      <w:r>
        <w:t>10. Training Process</w:t>
      </w:r>
    </w:p>
    <w:p>
      <w:r>
        <w:t>For each of the five folds, a fresh ViT-Tiny is created and trained. The model is selected using validation AUROC, not test performance and not simply validation accuracy.</w:t>
      </w:r>
    </w:p>
    <w:p>
      <w:pPr>
        <w:pStyle w:val="ListBullet"/>
      </w:pPr>
      <w:r>
        <w:t>Optimizer: AdamW.</w:t>
      </w:r>
    </w:p>
    <w:p>
      <w:pPr>
        <w:pStyle w:val="ListBullet"/>
      </w:pPr>
      <w:r>
        <w:t>Learning rate: 0.0003.</w:t>
      </w:r>
    </w:p>
    <w:p>
      <w:pPr>
        <w:pStyle w:val="ListBullet"/>
      </w:pPr>
      <w:r>
        <w:t>Weight decay: 0.0001.</w:t>
      </w:r>
    </w:p>
    <w:p>
      <w:pPr>
        <w:pStyle w:val="ListBullet"/>
      </w:pPr>
      <w:r>
        <w:t>Cosine annealing learning-rate schedule.</w:t>
      </w:r>
    </w:p>
    <w:p>
      <w:pPr>
        <w:pStyle w:val="ListBullet"/>
      </w:pPr>
      <w:r>
        <w:t>Maximum of 30 epochs.</w:t>
      </w:r>
    </w:p>
    <w:p>
      <w:pPr>
        <w:pStyle w:val="ListBullet"/>
      </w:pPr>
      <w:r>
        <w:t>Early stopping after 7 epochs without a new best validation AUROC.</w:t>
      </w:r>
    </w:p>
    <w:p>
      <w:pPr>
        <w:pStyle w:val="ListBullet"/>
      </w:pPr>
      <w:r>
        <w:t>The best checkpoint is restored before test prediction.</w:t>
      </w:r>
    </w:p>
    <w:p>
      <w:pPr>
        <w:pStyle w:val="ListBullet"/>
      </w:pPr>
      <w:r>
        <w:t>The test fold is never used to choose the epoch.</w:t>
      </w:r>
    </w:p>
    <w:p>
      <w:pPr>
        <w:pStyle w:val="Heading1"/>
      </w:pPr>
      <w:r>
        <w:t>11. Evaluation Metrics</w:t>
      </w:r>
    </w:p>
    <w:tbl>
      <w:tblPr>
        <w:tblStyle w:val="TableGrid"/>
        <w:tblW w:type="auto" w:w="0"/>
        <w:tblLook w:firstColumn="1" w:firstRow="1" w:lastColumn="0" w:lastRow="0" w:noHBand="0" w:noVBand="1" w:val="04A0"/>
      </w:tblPr>
      <w:tblGrid>
        <w:gridCol w:w="5040"/>
        <w:gridCol w:w="5040"/>
      </w:tblGrid>
      <w:tr>
        <w:tc>
          <w:tcPr>
            <w:tcW w:type="dxa" w:w="5040"/>
          </w:tcPr>
          <w:p>
            <w:r>
              <w:t>Metric</w:t>
            </w:r>
          </w:p>
        </w:tc>
        <w:tc>
          <w:tcPr>
            <w:tcW w:type="dxa" w:w="5040"/>
          </w:tcPr>
          <w:p>
            <w:r>
              <w:t>Simple meaning</w:t>
            </w:r>
          </w:p>
        </w:tc>
      </w:tr>
      <w:tr>
        <w:tc>
          <w:tcPr>
            <w:tcW w:type="dxa" w:w="5040"/>
          </w:tcPr>
          <w:p>
            <w:r>
              <w:t>Accuracy</w:t>
            </w:r>
          </w:p>
        </w:tc>
        <w:tc>
          <w:tcPr>
            <w:tcW w:type="dxa" w:w="5040"/>
          </w:tcPr>
          <w:p>
            <w:r>
              <w:t>Percentage of all nodules classified correctly.</w:t>
            </w:r>
          </w:p>
        </w:tc>
      </w:tr>
      <w:tr>
        <w:tc>
          <w:tcPr>
            <w:tcW w:type="dxa" w:w="5040"/>
          </w:tcPr>
          <w:p>
            <w:r>
              <w:t>Precision</w:t>
            </w:r>
          </w:p>
        </w:tc>
        <w:tc>
          <w:tcPr>
            <w:tcW w:type="dxa" w:w="5040"/>
          </w:tcPr>
          <w:p>
            <w:r>
              <w:t>Among nodules predicted malignant, proportion that really are malignant.</w:t>
            </w:r>
          </w:p>
        </w:tc>
      </w:tr>
      <w:tr>
        <w:tc>
          <w:tcPr>
            <w:tcW w:type="dxa" w:w="5040"/>
          </w:tcPr>
          <w:p>
            <w:r>
              <w:t>Sensitivity / Recall</w:t>
            </w:r>
          </w:p>
        </w:tc>
        <w:tc>
          <w:tcPr>
            <w:tcW w:type="dxa" w:w="5040"/>
          </w:tcPr>
          <w:p>
            <w:r>
              <w:t>Among malignant nodules, proportion detected by the model.</w:t>
            </w:r>
          </w:p>
        </w:tc>
      </w:tr>
      <w:tr>
        <w:tc>
          <w:tcPr>
            <w:tcW w:type="dxa" w:w="5040"/>
          </w:tcPr>
          <w:p>
            <w:r>
              <w:t>Specificity</w:t>
            </w:r>
          </w:p>
        </w:tc>
        <w:tc>
          <w:tcPr>
            <w:tcW w:type="dxa" w:w="5040"/>
          </w:tcPr>
          <w:p>
            <w:r>
              <w:t>Among benign nodules, proportion correctly identified as benign.</w:t>
            </w:r>
          </w:p>
        </w:tc>
      </w:tr>
      <w:tr>
        <w:tc>
          <w:tcPr>
            <w:tcW w:type="dxa" w:w="5040"/>
          </w:tcPr>
          <w:p>
            <w:r>
              <w:t>F1</w:t>
            </w:r>
          </w:p>
        </w:tc>
        <w:tc>
          <w:tcPr>
            <w:tcW w:type="dxa" w:w="5040"/>
          </w:tcPr>
          <w:p>
            <w:r>
              <w:t>Combined measure of precision and recall.</w:t>
            </w:r>
          </w:p>
        </w:tc>
      </w:tr>
      <w:tr>
        <w:tc>
          <w:tcPr>
            <w:tcW w:type="dxa" w:w="5040"/>
          </w:tcPr>
          <w:p>
            <w:r>
              <w:t>AUROC</w:t>
            </w:r>
          </w:p>
        </w:tc>
        <w:tc>
          <w:tcPr>
            <w:tcW w:type="dxa" w:w="5040"/>
          </w:tcPr>
          <w:p>
            <w:r>
              <w:t>How well the model ranks malignant cases above benign cases over different thresholds.</w:t>
            </w:r>
          </w:p>
        </w:tc>
      </w:tr>
      <w:tr>
        <w:tc>
          <w:tcPr>
            <w:tcW w:type="dxa" w:w="5040"/>
          </w:tcPr>
          <w:p>
            <w:r>
              <w:t>AUPRC</w:t>
            </w:r>
          </w:p>
        </w:tc>
        <w:tc>
          <w:tcPr>
            <w:tcW w:type="dxa" w:w="5040"/>
          </w:tcPr>
          <w:p>
            <w:r>
              <w:t>Performance viewed through precision and recall; useful when class proportions are uneven.</w:t>
            </w:r>
          </w:p>
        </w:tc>
      </w:tr>
      <w:tr>
        <w:tc>
          <w:tcPr>
            <w:tcW w:type="dxa" w:w="5040"/>
          </w:tcPr>
          <w:p>
            <w:r>
              <w:t>Brier score</w:t>
            </w:r>
          </w:p>
        </w:tc>
        <w:tc>
          <w:tcPr>
            <w:tcW w:type="dxa" w:w="5040"/>
          </w:tcPr>
          <w:p>
            <w:r>
              <w:t>Measures probability prediction error; lower is better.</w:t>
            </w:r>
          </w:p>
        </w:tc>
      </w:tr>
      <w:tr>
        <w:tc>
          <w:tcPr>
            <w:tcW w:type="dxa" w:w="5040"/>
          </w:tcPr>
          <w:p>
            <w:r>
              <w:t>ECE</w:t>
            </w:r>
          </w:p>
        </w:tc>
        <w:tc>
          <w:tcPr>
            <w:tcW w:type="dxa" w:w="5040"/>
          </w:tcPr>
          <w:p>
            <w:r>
              <w:t>Measures how well predicted probabilities match actual outcomes; lower is better.</w:t>
            </w:r>
          </w:p>
        </w:tc>
      </w:tr>
      <w:tr>
        <w:tc>
          <w:tcPr>
            <w:tcW w:type="dxa" w:w="5040"/>
          </w:tcPr>
          <w:p>
            <w:r>
              <w:t>Sensitivity at fixed specificity</w:t>
            </w:r>
          </w:p>
        </w:tc>
        <w:tc>
          <w:tcPr>
            <w:tcW w:type="dxa" w:w="5040"/>
          </w:tcPr>
          <w:p>
            <w:r>
              <w:t>Shows how many cancers can be detected while forcing false positives to remain low.</w:t>
            </w:r>
          </w:p>
        </w:tc>
      </w:tr>
      <w:tr>
        <w:tc>
          <w:tcPr>
            <w:tcW w:type="dxa" w:w="5040"/>
          </w:tcPr>
          <w:p>
            <w:r>
              <w:t>Patient-level bootstrap CI</w:t>
            </w:r>
          </w:p>
        </w:tc>
        <w:tc>
          <w:tcPr>
            <w:tcW w:type="dxa" w:w="5040"/>
          </w:tcPr>
          <w:p>
            <w:r>
              <w:t>Confidence intervals calculated by resampling patients rather than individual nodules.</w:t>
            </w:r>
          </w:p>
        </w:tc>
      </w:tr>
    </w:tbl>
    <w:p>
      <w:pPr>
        <w:pStyle w:val="Heading1"/>
      </w:pPr>
      <w:r>
        <w:t>12. Results Obtained</w:t>
      </w:r>
    </w:p>
    <w:p>
      <w:pPr>
        <w:pStyle w:val="Heading2"/>
      </w:pPr>
      <w:r>
        <w:t>12.1 Per-fold results</w:t>
      </w:r>
    </w:p>
    <w:tbl>
      <w:tblPr>
        <w:tblStyle w:val="TableGrid"/>
        <w:tblW w:type="auto" w:w="0"/>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tcPr>
          <w:p>
            <w:r>
              <w:t>Fold</w:t>
            </w:r>
          </w:p>
        </w:tc>
        <w:tc>
          <w:tcPr>
            <w:tcW w:type="dxa" w:w="1120"/>
          </w:tcPr>
          <w:p>
            <w:r>
              <w:t>N</w:t>
            </w:r>
          </w:p>
        </w:tc>
        <w:tc>
          <w:tcPr>
            <w:tcW w:type="dxa" w:w="1120"/>
          </w:tcPr>
          <w:p>
            <w:r>
              <w:t>AUROC</w:t>
            </w:r>
          </w:p>
        </w:tc>
        <w:tc>
          <w:tcPr>
            <w:tcW w:type="dxa" w:w="1120"/>
          </w:tcPr>
          <w:p>
            <w:r>
              <w:t>AUPRC</w:t>
            </w:r>
          </w:p>
        </w:tc>
        <w:tc>
          <w:tcPr>
            <w:tcW w:type="dxa" w:w="1120"/>
          </w:tcPr>
          <w:p>
            <w:r>
              <w:t>Accuracy</w:t>
            </w:r>
          </w:p>
        </w:tc>
        <w:tc>
          <w:tcPr>
            <w:tcW w:type="dxa" w:w="1120"/>
          </w:tcPr>
          <w:p>
            <w:r>
              <w:t>Sensitivity</w:t>
            </w:r>
          </w:p>
        </w:tc>
        <w:tc>
          <w:tcPr>
            <w:tcW w:type="dxa" w:w="1120"/>
          </w:tcPr>
          <w:p>
            <w:r>
              <w:t>Specificity</w:t>
            </w:r>
          </w:p>
        </w:tc>
        <w:tc>
          <w:tcPr>
            <w:tcW w:type="dxa" w:w="1120"/>
          </w:tcPr>
          <w:p>
            <w:r>
              <w:t>F1</w:t>
            </w:r>
          </w:p>
        </w:tc>
        <w:tc>
          <w:tcPr>
            <w:tcW w:type="dxa" w:w="1120"/>
          </w:tcPr>
          <w:p>
            <w:r>
              <w:t>FN</w:t>
            </w:r>
          </w:p>
        </w:tc>
      </w:tr>
      <w:tr>
        <w:tc>
          <w:tcPr>
            <w:tcW w:type="dxa" w:w="1120"/>
          </w:tcPr>
          <w:p>
            <w:r>
              <w:t>0</w:t>
            </w:r>
          </w:p>
        </w:tc>
        <w:tc>
          <w:tcPr>
            <w:tcW w:type="dxa" w:w="1120"/>
          </w:tcPr>
          <w:p>
            <w:r>
              <w:t>63</w:t>
            </w:r>
          </w:p>
        </w:tc>
        <w:tc>
          <w:tcPr>
            <w:tcW w:type="dxa" w:w="1120"/>
          </w:tcPr>
          <w:p>
            <w:r>
              <w:t>0.663</w:t>
            </w:r>
          </w:p>
        </w:tc>
        <w:tc>
          <w:tcPr>
            <w:tcW w:type="dxa" w:w="1120"/>
          </w:tcPr>
          <w:p>
            <w:r>
              <w:t>0.7818</w:t>
            </w:r>
          </w:p>
        </w:tc>
        <w:tc>
          <w:tcPr>
            <w:tcW w:type="dxa" w:w="1120"/>
          </w:tcPr>
          <w:p>
            <w:r>
              <w:t>0.6032</w:t>
            </w:r>
          </w:p>
        </w:tc>
        <w:tc>
          <w:tcPr>
            <w:tcW w:type="dxa" w:w="1120"/>
          </w:tcPr>
          <w:p>
            <w:r>
              <w:t>0.675</w:t>
            </w:r>
          </w:p>
        </w:tc>
        <w:tc>
          <w:tcPr>
            <w:tcW w:type="dxa" w:w="1120"/>
          </w:tcPr>
          <w:p>
            <w:r>
              <w:t>0.4783</w:t>
            </w:r>
          </w:p>
        </w:tc>
        <w:tc>
          <w:tcPr>
            <w:tcW w:type="dxa" w:w="1120"/>
          </w:tcPr>
          <w:p>
            <w:r>
              <w:t>0.6835</w:t>
            </w:r>
          </w:p>
        </w:tc>
        <w:tc>
          <w:tcPr>
            <w:tcW w:type="dxa" w:w="1120"/>
          </w:tcPr>
          <w:p>
            <w:r>
              <w:t>13</w:t>
            </w:r>
          </w:p>
        </w:tc>
      </w:tr>
      <w:tr>
        <w:tc>
          <w:tcPr>
            <w:tcW w:type="dxa" w:w="1120"/>
          </w:tcPr>
          <w:p>
            <w:r>
              <w:t>1</w:t>
            </w:r>
          </w:p>
        </w:tc>
        <w:tc>
          <w:tcPr>
            <w:tcW w:type="dxa" w:w="1120"/>
          </w:tcPr>
          <w:p>
            <w:r>
              <w:t>52</w:t>
            </w:r>
          </w:p>
        </w:tc>
        <w:tc>
          <w:tcPr>
            <w:tcW w:type="dxa" w:w="1120"/>
          </w:tcPr>
          <w:p>
            <w:r>
              <w:t>0.6302</w:t>
            </w:r>
          </w:p>
        </w:tc>
        <w:tc>
          <w:tcPr>
            <w:tcW w:type="dxa" w:w="1120"/>
          </w:tcPr>
          <w:p>
            <w:r>
              <w:t>0.6507</w:t>
            </w:r>
          </w:p>
        </w:tc>
        <w:tc>
          <w:tcPr>
            <w:tcW w:type="dxa" w:w="1120"/>
          </w:tcPr>
          <w:p>
            <w:r>
              <w:t>0.5</w:t>
            </w:r>
          </w:p>
        </w:tc>
        <w:tc>
          <w:tcPr>
            <w:tcW w:type="dxa" w:w="1120"/>
          </w:tcPr>
          <w:p>
            <w:r>
              <w:t>1.0</w:t>
            </w:r>
          </w:p>
        </w:tc>
        <w:tc>
          <w:tcPr>
            <w:tcW w:type="dxa" w:w="1120"/>
          </w:tcPr>
          <w:p>
            <w:r>
              <w:t>0.0</w:t>
            </w:r>
          </w:p>
        </w:tc>
        <w:tc>
          <w:tcPr>
            <w:tcW w:type="dxa" w:w="1120"/>
          </w:tcPr>
          <w:p>
            <w:r>
              <w:t>0.6667</w:t>
            </w:r>
          </w:p>
        </w:tc>
        <w:tc>
          <w:tcPr>
            <w:tcW w:type="dxa" w:w="1120"/>
          </w:tcPr>
          <w:p>
            <w:r>
              <w:t>0</w:t>
            </w:r>
          </w:p>
        </w:tc>
      </w:tr>
      <w:tr>
        <w:tc>
          <w:tcPr>
            <w:tcW w:type="dxa" w:w="1120"/>
          </w:tcPr>
          <w:p>
            <w:r>
              <w:t>2</w:t>
            </w:r>
          </w:p>
        </w:tc>
        <w:tc>
          <w:tcPr>
            <w:tcW w:type="dxa" w:w="1120"/>
          </w:tcPr>
          <w:p>
            <w:r>
              <w:t>69</w:t>
            </w:r>
          </w:p>
        </w:tc>
        <w:tc>
          <w:tcPr>
            <w:tcW w:type="dxa" w:w="1120"/>
          </w:tcPr>
          <w:p>
            <w:r>
              <w:t>0.6162</w:t>
            </w:r>
          </w:p>
        </w:tc>
        <w:tc>
          <w:tcPr>
            <w:tcW w:type="dxa" w:w="1120"/>
          </w:tcPr>
          <w:p>
            <w:r>
              <w:t>0.5812</w:t>
            </w:r>
          </w:p>
        </w:tc>
        <w:tc>
          <w:tcPr>
            <w:tcW w:type="dxa" w:w="1120"/>
          </w:tcPr>
          <w:p>
            <w:r>
              <w:t>0.5217</w:t>
            </w:r>
          </w:p>
        </w:tc>
        <w:tc>
          <w:tcPr>
            <w:tcW w:type="dxa" w:w="1120"/>
          </w:tcPr>
          <w:p>
            <w:r>
              <w:t>0.0</w:t>
            </w:r>
          </w:p>
        </w:tc>
        <w:tc>
          <w:tcPr>
            <w:tcW w:type="dxa" w:w="1120"/>
          </w:tcPr>
          <w:p>
            <w:r>
              <w:t>1.0</w:t>
            </w:r>
          </w:p>
        </w:tc>
        <w:tc>
          <w:tcPr>
            <w:tcW w:type="dxa" w:w="1120"/>
          </w:tcPr>
          <w:p>
            <w:r>
              <w:t>0.0</w:t>
            </w:r>
          </w:p>
        </w:tc>
        <w:tc>
          <w:tcPr>
            <w:tcW w:type="dxa" w:w="1120"/>
          </w:tcPr>
          <w:p>
            <w:r>
              <w:t>33</w:t>
            </w:r>
          </w:p>
        </w:tc>
      </w:tr>
      <w:tr>
        <w:tc>
          <w:tcPr>
            <w:tcW w:type="dxa" w:w="1120"/>
          </w:tcPr>
          <w:p>
            <w:r>
              <w:t>3</w:t>
            </w:r>
          </w:p>
        </w:tc>
        <w:tc>
          <w:tcPr>
            <w:tcW w:type="dxa" w:w="1120"/>
          </w:tcPr>
          <w:p>
            <w:r>
              <w:t>64</w:t>
            </w:r>
          </w:p>
        </w:tc>
        <w:tc>
          <w:tcPr>
            <w:tcW w:type="dxa" w:w="1120"/>
          </w:tcPr>
          <w:p>
            <w:r>
              <w:t>0.8522</w:t>
            </w:r>
          </w:p>
        </w:tc>
        <w:tc>
          <w:tcPr>
            <w:tcW w:type="dxa" w:w="1120"/>
          </w:tcPr>
          <w:p>
            <w:r>
              <w:t>0.8001</w:t>
            </w:r>
          </w:p>
        </w:tc>
        <w:tc>
          <w:tcPr>
            <w:tcW w:type="dxa" w:w="1120"/>
          </w:tcPr>
          <w:p>
            <w:r>
              <w:t>0.75</w:t>
            </w:r>
          </w:p>
        </w:tc>
        <w:tc>
          <w:tcPr>
            <w:tcW w:type="dxa" w:w="1120"/>
          </w:tcPr>
          <w:p>
            <w:r>
              <w:t>0.9655</w:t>
            </w:r>
          </w:p>
        </w:tc>
        <w:tc>
          <w:tcPr>
            <w:tcW w:type="dxa" w:w="1120"/>
          </w:tcPr>
          <w:p>
            <w:r>
              <w:t>0.5714</w:t>
            </w:r>
          </w:p>
        </w:tc>
        <w:tc>
          <w:tcPr>
            <w:tcW w:type="dxa" w:w="1120"/>
          </w:tcPr>
          <w:p>
            <w:r>
              <w:t>0.7778</w:t>
            </w:r>
          </w:p>
        </w:tc>
        <w:tc>
          <w:tcPr>
            <w:tcW w:type="dxa" w:w="1120"/>
          </w:tcPr>
          <w:p>
            <w:r>
              <w:t>1</w:t>
            </w:r>
          </w:p>
        </w:tc>
      </w:tr>
      <w:tr>
        <w:tc>
          <w:tcPr>
            <w:tcW w:type="dxa" w:w="1120"/>
          </w:tcPr>
          <w:p>
            <w:r>
              <w:t>4</w:t>
            </w:r>
          </w:p>
        </w:tc>
        <w:tc>
          <w:tcPr>
            <w:tcW w:type="dxa" w:w="1120"/>
          </w:tcPr>
          <w:p>
            <w:r>
              <w:t>74</w:t>
            </w:r>
          </w:p>
        </w:tc>
        <w:tc>
          <w:tcPr>
            <w:tcW w:type="dxa" w:w="1120"/>
          </w:tcPr>
          <w:p>
            <w:r>
              <w:t>0.5157</w:t>
            </w:r>
          </w:p>
        </w:tc>
        <w:tc>
          <w:tcPr>
            <w:tcW w:type="dxa" w:w="1120"/>
          </w:tcPr>
          <w:p>
            <w:r>
              <w:t>0.6998</w:t>
            </w:r>
          </w:p>
        </w:tc>
        <w:tc>
          <w:tcPr>
            <w:tcW w:type="dxa" w:w="1120"/>
          </w:tcPr>
          <w:p>
            <w:r>
              <w:t>0.2703</w:t>
            </w:r>
          </w:p>
        </w:tc>
        <w:tc>
          <w:tcPr>
            <w:tcW w:type="dxa" w:w="1120"/>
          </w:tcPr>
          <w:p>
            <w:r>
              <w:t>0.0</w:t>
            </w:r>
          </w:p>
        </w:tc>
        <w:tc>
          <w:tcPr>
            <w:tcW w:type="dxa" w:w="1120"/>
          </w:tcPr>
          <w:p>
            <w:r>
              <w:t>0.9524</w:t>
            </w:r>
          </w:p>
        </w:tc>
        <w:tc>
          <w:tcPr>
            <w:tcW w:type="dxa" w:w="1120"/>
          </w:tcPr>
          <w:p>
            <w:r>
              <w:t>0.0</w:t>
            </w:r>
          </w:p>
        </w:tc>
        <w:tc>
          <w:tcPr>
            <w:tcW w:type="dxa" w:w="1120"/>
          </w:tcPr>
          <w:p>
            <w:r>
              <w:t>53</w:t>
            </w:r>
          </w:p>
        </w:tc>
      </w:tr>
    </w:tbl>
    <w:p>
      <w:pPr>
        <w:pStyle w:val="Heading2"/>
      </w:pPr>
      <w:r>
        <w:t>12.2 Mean ± SD across the five folds</w:t>
      </w:r>
    </w:p>
    <w:tbl>
      <w:tblPr>
        <w:tblStyle w:val="TableGrid"/>
        <w:tblW w:type="auto" w:w="0"/>
        <w:tblLook w:firstColumn="1" w:firstRow="1" w:lastColumn="0" w:lastRow="0" w:noHBand="0" w:noVBand="1" w:val="04A0"/>
      </w:tblPr>
      <w:tblGrid>
        <w:gridCol w:w="5040"/>
        <w:gridCol w:w="5040"/>
      </w:tblGrid>
      <w:tr>
        <w:tc>
          <w:tcPr>
            <w:tcW w:type="dxa" w:w="5040"/>
          </w:tcPr>
          <w:p>
            <w:r>
              <w:t>Metric</w:t>
            </w:r>
          </w:p>
        </w:tc>
        <w:tc>
          <w:tcPr>
            <w:tcW w:type="dxa" w:w="5040"/>
          </w:tcPr>
          <w:p>
            <w:r>
              <w:t>Mean ± SD</w:t>
            </w:r>
          </w:p>
        </w:tc>
      </w:tr>
      <w:tr>
        <w:tc>
          <w:tcPr>
            <w:tcW w:type="dxa" w:w="5040"/>
          </w:tcPr>
          <w:p>
            <w:r>
              <w:t>AUROC</w:t>
            </w:r>
          </w:p>
        </w:tc>
        <w:tc>
          <w:tcPr>
            <w:tcW w:type="dxa" w:w="5040"/>
          </w:tcPr>
          <w:p>
            <w:r>
              <w:t>0.6555 ± 0.1230</w:t>
            </w:r>
          </w:p>
        </w:tc>
      </w:tr>
      <w:tr>
        <w:tc>
          <w:tcPr>
            <w:tcW w:type="dxa" w:w="5040"/>
          </w:tcPr>
          <w:p>
            <w:r>
              <w:t>AUPRC</w:t>
            </w:r>
          </w:p>
        </w:tc>
        <w:tc>
          <w:tcPr>
            <w:tcW w:type="dxa" w:w="5040"/>
          </w:tcPr>
          <w:p>
            <w:r>
              <w:t>0.7027 ± 0.0911</w:t>
            </w:r>
          </w:p>
        </w:tc>
      </w:tr>
      <w:tr>
        <w:tc>
          <w:tcPr>
            <w:tcW w:type="dxa" w:w="5040"/>
          </w:tcPr>
          <w:p>
            <w:r>
              <w:t>Accuracy</w:t>
            </w:r>
          </w:p>
        </w:tc>
        <w:tc>
          <w:tcPr>
            <w:tcW w:type="dxa" w:w="5040"/>
          </w:tcPr>
          <w:p>
            <w:r>
              <w:t>0.5290 ± 0.1748</w:t>
            </w:r>
          </w:p>
        </w:tc>
      </w:tr>
      <w:tr>
        <w:tc>
          <w:tcPr>
            <w:tcW w:type="dxa" w:w="5040"/>
          </w:tcPr>
          <w:p>
            <w:r>
              <w:t>Sensitivity</w:t>
            </w:r>
          </w:p>
        </w:tc>
        <w:tc>
          <w:tcPr>
            <w:tcW w:type="dxa" w:w="5040"/>
          </w:tcPr>
          <w:p>
            <w:r>
              <w:t>0.5281 ± 0.4983</w:t>
            </w:r>
          </w:p>
        </w:tc>
      </w:tr>
      <w:tr>
        <w:tc>
          <w:tcPr>
            <w:tcW w:type="dxa" w:w="5040"/>
          </w:tcPr>
          <w:p>
            <w:r>
              <w:t>Specificity</w:t>
            </w:r>
          </w:p>
        </w:tc>
        <w:tc>
          <w:tcPr>
            <w:tcW w:type="dxa" w:w="5040"/>
          </w:tcPr>
          <w:p>
            <w:r>
              <w:t>0.6004 ± 0.4061</w:t>
            </w:r>
          </w:p>
        </w:tc>
      </w:tr>
      <w:tr>
        <w:tc>
          <w:tcPr>
            <w:tcW w:type="dxa" w:w="5040"/>
          </w:tcPr>
          <w:p>
            <w:r>
              <w:t>F1</w:t>
            </w:r>
          </w:p>
        </w:tc>
        <w:tc>
          <w:tcPr>
            <w:tcW w:type="dxa" w:w="5040"/>
          </w:tcPr>
          <w:p>
            <w:r>
              <w:t>0.4256 ± 0.3908</w:t>
            </w:r>
          </w:p>
        </w:tc>
      </w:tr>
      <w:tr>
        <w:tc>
          <w:tcPr>
            <w:tcW w:type="dxa" w:w="5040"/>
          </w:tcPr>
          <w:p>
            <w:r>
              <w:t>ECE</w:t>
            </w:r>
          </w:p>
        </w:tc>
        <w:tc>
          <w:tcPr>
            <w:tcW w:type="dxa" w:w="5040"/>
          </w:tcPr>
          <w:p>
            <w:r>
              <w:t>0.1869 ± 0.1275</w:t>
            </w:r>
          </w:p>
        </w:tc>
      </w:tr>
    </w:tbl>
    <w:p>
      <w:pPr>
        <w:pStyle w:val="Heading2"/>
      </w:pPr>
      <w:r>
        <w:t>12.3 Pooled out-of-fold result</w:t>
      </w:r>
    </w:p>
    <w:tbl>
      <w:tblPr>
        <w:tblStyle w:val="TableGrid"/>
        <w:tblW w:type="auto" w:w="0"/>
        <w:tblLook w:firstColumn="1" w:firstRow="1" w:lastColumn="0" w:lastRow="0" w:noHBand="0" w:noVBand="1" w:val="04A0"/>
      </w:tblPr>
      <w:tblGrid>
        <w:gridCol w:w="5040"/>
        <w:gridCol w:w="5040"/>
      </w:tblGrid>
      <w:tr>
        <w:tc>
          <w:tcPr>
            <w:tcW w:type="dxa" w:w="5040"/>
          </w:tcPr>
          <w:p>
            <w:r>
              <w:t>Result</w:t>
            </w:r>
          </w:p>
        </w:tc>
        <w:tc>
          <w:tcPr>
            <w:tcW w:type="dxa" w:w="5040"/>
          </w:tcPr>
          <w:p>
            <w:r>
              <w:t>Value</w:t>
            </w:r>
          </w:p>
        </w:tc>
      </w:tr>
      <w:tr>
        <w:tc>
          <w:tcPr>
            <w:tcW w:type="dxa" w:w="5040"/>
          </w:tcPr>
          <w:p>
            <w:r>
              <w:t>AUROC</w:t>
            </w:r>
          </w:p>
        </w:tc>
        <w:tc>
          <w:tcPr>
            <w:tcW w:type="dxa" w:w="5040"/>
          </w:tcPr>
          <w:p>
            <w:r>
              <w:t>0.6032 (95% CI: 0.5158–0.6766)</w:t>
            </w:r>
          </w:p>
        </w:tc>
      </w:tr>
      <w:tr>
        <w:tc>
          <w:tcPr>
            <w:tcW w:type="dxa" w:w="5040"/>
          </w:tcPr>
          <w:p>
            <w:r>
              <w:t>AUPRC</w:t>
            </w:r>
          </w:p>
        </w:tc>
        <w:tc>
          <w:tcPr>
            <w:tcW w:type="dxa" w:w="5040"/>
          </w:tcPr>
          <w:p>
            <w:r>
              <w:t>0.6487 (95% CI: 0.5626–0.7326)</w:t>
            </w:r>
          </w:p>
        </w:tc>
      </w:tr>
      <w:tr>
        <w:tc>
          <w:tcPr>
            <w:tcW w:type="dxa" w:w="5040"/>
          </w:tcPr>
          <w:p>
            <w:r>
              <w:t>Accuracy</w:t>
            </w:r>
          </w:p>
        </w:tc>
        <w:tc>
          <w:tcPr>
            <w:tcW w:type="dxa" w:w="5040"/>
          </w:tcPr>
          <w:p>
            <w:r>
              <w:t>0.5217 (95% CI: 0.4456–0.5875)</w:t>
            </w:r>
          </w:p>
        </w:tc>
      </w:tr>
      <w:tr>
        <w:tc>
          <w:tcPr>
            <w:tcW w:type="dxa" w:w="5040"/>
          </w:tcPr>
          <w:p>
            <w:r>
              <w:t>Sensitivity</w:t>
            </w:r>
          </w:p>
        </w:tc>
        <w:tc>
          <w:tcPr>
            <w:tcW w:type="dxa" w:w="5040"/>
          </w:tcPr>
          <w:p>
            <w:r>
              <w:t>0.4475 (95% CI: 0.3548–0.5414)</w:t>
            </w:r>
          </w:p>
        </w:tc>
      </w:tr>
      <w:tr>
        <w:tc>
          <w:tcPr>
            <w:tcW w:type="dxa" w:w="5040"/>
          </w:tcPr>
          <w:p>
            <w:r>
              <w:t>Specificity</w:t>
            </w:r>
          </w:p>
        </w:tc>
        <w:tc>
          <w:tcPr>
            <w:tcW w:type="dxa" w:w="5040"/>
          </w:tcPr>
          <w:p>
            <w:r>
              <w:t>0.6170</w:t>
            </w:r>
          </w:p>
        </w:tc>
      </w:tr>
      <w:tr>
        <w:tc>
          <w:tcPr>
            <w:tcW w:type="dxa" w:w="5040"/>
          </w:tcPr>
          <w:p>
            <w:r>
              <w:t>Precision</w:t>
            </w:r>
          </w:p>
        </w:tc>
        <w:tc>
          <w:tcPr>
            <w:tcW w:type="dxa" w:w="5040"/>
          </w:tcPr>
          <w:p>
            <w:r>
              <w:t>0.6000</w:t>
            </w:r>
          </w:p>
        </w:tc>
      </w:tr>
      <w:tr>
        <w:tc>
          <w:tcPr>
            <w:tcW w:type="dxa" w:w="5040"/>
          </w:tcPr>
          <w:p>
            <w:r>
              <w:t>F1</w:t>
            </w:r>
          </w:p>
        </w:tc>
        <w:tc>
          <w:tcPr>
            <w:tcW w:type="dxa" w:w="5040"/>
          </w:tcPr>
          <w:p>
            <w:r>
              <w:t>0.5127</w:t>
            </w:r>
          </w:p>
        </w:tc>
      </w:tr>
      <w:tr>
        <w:tc>
          <w:tcPr>
            <w:tcW w:type="dxa" w:w="5040"/>
          </w:tcPr>
          <w:p>
            <w:r>
              <w:t>Brier</w:t>
            </w:r>
          </w:p>
        </w:tc>
        <w:tc>
          <w:tcPr>
            <w:tcW w:type="dxa" w:w="5040"/>
          </w:tcPr>
          <w:p>
            <w:r>
              <w:t>0.2682</w:t>
            </w:r>
          </w:p>
        </w:tc>
      </w:tr>
      <w:tr>
        <w:tc>
          <w:tcPr>
            <w:tcW w:type="dxa" w:w="5040"/>
          </w:tcPr>
          <w:p>
            <w:r>
              <w:t>ECE</w:t>
            </w:r>
          </w:p>
        </w:tc>
        <w:tc>
          <w:tcPr>
            <w:tcW w:type="dxa" w:w="5040"/>
          </w:tcPr>
          <w:p>
            <w:r>
              <w:t>0.1564</w:t>
            </w:r>
          </w:p>
        </w:tc>
      </w:tr>
      <w:tr>
        <w:tc>
          <w:tcPr>
            <w:tcW w:type="dxa" w:w="5040"/>
          </w:tcPr>
          <w:p>
            <w:r>
              <w:t>True positives</w:t>
            </w:r>
          </w:p>
        </w:tc>
        <w:tc>
          <w:tcPr>
            <w:tcW w:type="dxa" w:w="5040"/>
          </w:tcPr>
          <w:p>
            <w:r>
              <w:t>81</w:t>
            </w:r>
          </w:p>
        </w:tc>
      </w:tr>
      <w:tr>
        <w:tc>
          <w:tcPr>
            <w:tcW w:type="dxa" w:w="5040"/>
          </w:tcPr>
          <w:p>
            <w:r>
              <w:t>False positives</w:t>
            </w:r>
          </w:p>
        </w:tc>
        <w:tc>
          <w:tcPr>
            <w:tcW w:type="dxa" w:w="5040"/>
          </w:tcPr>
          <w:p>
            <w:r>
              <w:t>54</w:t>
            </w:r>
          </w:p>
        </w:tc>
      </w:tr>
      <w:tr>
        <w:tc>
          <w:tcPr>
            <w:tcW w:type="dxa" w:w="5040"/>
          </w:tcPr>
          <w:p>
            <w:r>
              <w:t>True negatives</w:t>
            </w:r>
          </w:p>
        </w:tc>
        <w:tc>
          <w:tcPr>
            <w:tcW w:type="dxa" w:w="5040"/>
          </w:tcPr>
          <w:p>
            <w:r>
              <w:t>87</w:t>
            </w:r>
          </w:p>
        </w:tc>
      </w:tr>
      <w:tr>
        <w:tc>
          <w:tcPr>
            <w:tcW w:type="dxa" w:w="5040"/>
          </w:tcPr>
          <w:p>
            <w:r>
              <w:t>False negatives</w:t>
            </w:r>
          </w:p>
        </w:tc>
        <w:tc>
          <w:tcPr>
            <w:tcW w:type="dxa" w:w="5040"/>
          </w:tcPr>
          <w:p>
            <w:r>
              <w:t>100</w:t>
            </w:r>
          </w:p>
        </w:tc>
      </w:tr>
      <w:tr>
        <w:tc>
          <w:tcPr>
            <w:tcW w:type="dxa" w:w="5040"/>
          </w:tcPr>
          <w:p>
            <w:r>
              <w:t>False-negative rate</w:t>
            </w:r>
          </w:p>
        </w:tc>
        <w:tc>
          <w:tcPr>
            <w:tcW w:type="dxa" w:w="5040"/>
          </w:tcPr>
          <w:p>
            <w:r>
              <w:t>55.2%</w:t>
            </w:r>
          </w:p>
        </w:tc>
      </w:tr>
    </w:tbl>
    <w:p>
      <w:pPr>
        <w:pStyle w:val="Heading1"/>
      </w:pPr>
      <w:r>
        <w:t>13. Clinical Operating Points / False-Negative Results</w:t>
      </w:r>
    </w:p>
    <w:p>
      <w:r>
        <w:t>The notebook specifically checks what happens when we require high specificity. In a medical screening context, this matters because reducing false positives can also increase the number of malignant nodules that are missed.</w:t>
      </w:r>
    </w:p>
    <w:tbl>
      <w:tblPr>
        <w:tblStyle w:val="TableGrid"/>
        <w:tblW w:type="auto" w:w="0"/>
        <w:tblLook w:firstColumn="1" w:firstRow="1" w:lastColumn="0" w:lastRow="0" w:noHBand="0" w:noVBand="1" w:val="04A0"/>
      </w:tblPr>
      <w:tblGrid>
        <w:gridCol w:w="3360"/>
        <w:gridCol w:w="3360"/>
        <w:gridCol w:w="3360"/>
      </w:tblGrid>
      <w:tr>
        <w:tc>
          <w:tcPr>
            <w:tcW w:type="dxa" w:w="3360"/>
          </w:tcPr>
          <w:p>
            <w:r>
              <w:t>Required specificity</w:t>
            </w:r>
          </w:p>
        </w:tc>
        <w:tc>
          <w:tcPr>
            <w:tcW w:type="dxa" w:w="3360"/>
          </w:tcPr>
          <w:p>
            <w:r>
              <w:t>Sensitivity</w:t>
            </w:r>
          </w:p>
        </w:tc>
        <w:tc>
          <w:tcPr>
            <w:tcW w:type="dxa" w:w="3360"/>
          </w:tcPr>
          <w:p>
            <w:r>
              <w:t>Threshold</w:t>
            </w:r>
          </w:p>
        </w:tc>
      </w:tr>
      <w:tr>
        <w:tc>
          <w:tcPr>
            <w:tcW w:type="dxa" w:w="3360"/>
          </w:tcPr>
          <w:p>
            <w:r>
              <w:t>≥ 90%</w:t>
            </w:r>
          </w:p>
        </w:tc>
        <w:tc>
          <w:tcPr>
            <w:tcW w:type="dxa" w:w="3360"/>
          </w:tcPr>
          <w:p>
            <w:r>
              <w:t>16.02%</w:t>
            </w:r>
          </w:p>
        </w:tc>
        <w:tc>
          <w:tcPr>
            <w:tcW w:type="dxa" w:w="3360"/>
          </w:tcPr>
          <w:p>
            <w:r>
              <w:t>0.5869</w:t>
            </w:r>
          </w:p>
        </w:tc>
      </w:tr>
      <w:tr>
        <w:tc>
          <w:tcPr>
            <w:tcW w:type="dxa" w:w="3360"/>
          </w:tcPr>
          <w:p>
            <w:r>
              <w:t>≥ 95%</w:t>
            </w:r>
          </w:p>
        </w:tc>
        <w:tc>
          <w:tcPr>
            <w:tcW w:type="dxa" w:w="3360"/>
          </w:tcPr>
          <w:p>
            <w:r>
              <w:t>13.26%</w:t>
            </w:r>
          </w:p>
        </w:tc>
        <w:tc>
          <w:tcPr>
            <w:tcW w:type="dxa" w:w="3360"/>
          </w:tcPr>
          <w:p>
            <w:r>
              <w:t>0.8522</w:t>
            </w:r>
          </w:p>
        </w:tc>
      </w:tr>
      <w:tr>
        <w:tc>
          <w:tcPr>
            <w:tcW w:type="dxa" w:w="3360"/>
          </w:tcPr>
          <w:p>
            <w:r>
              <w:t>≥ 99%</w:t>
            </w:r>
          </w:p>
        </w:tc>
        <w:tc>
          <w:tcPr>
            <w:tcW w:type="dxa" w:w="3360"/>
          </w:tcPr>
          <w:p>
            <w:r>
              <w:t>2.21%</w:t>
            </w:r>
          </w:p>
        </w:tc>
        <w:tc>
          <w:tcPr>
            <w:tcW w:type="dxa" w:w="3360"/>
          </w:tcPr>
          <w:p>
            <w:r>
              <w:t>0.9968</w:t>
            </w:r>
          </w:p>
        </w:tc>
      </w:tr>
    </w:tbl>
    <w:p>
      <w:r>
        <w:t>This is a major result: the ViT-Tiny model's sensitivity becomes very low when the decision threshold is raised to achieve high specificity.</w:t>
      </w:r>
    </w:p>
    <w:p>
      <w:pPr>
        <w:pStyle w:val="Heading1"/>
      </w:pPr>
      <w:r>
        <w:t>14. What These Results Mean in Simple Terms</w:t>
      </w:r>
    </w:p>
    <w:p>
      <w:pPr>
        <w:pStyle w:val="ListBullet"/>
      </w:pPr>
      <w:r>
        <w:t>The ViT-Tiny did learn some signal from the CT patches, but the overall discrimination was weak in this recorded run.</w:t>
      </w:r>
    </w:p>
    <w:p>
      <w:pPr>
        <w:pStyle w:val="ListBullet"/>
      </w:pPr>
      <w:r>
        <w:t>The mean AUROC was 0.6555, but the spread was very large (±0.1230). This means performance changed substantially from one patient fold to another.</w:t>
      </w:r>
    </w:p>
    <w:p>
      <w:pPr>
        <w:pStyle w:val="ListBullet"/>
      </w:pPr>
      <w:r>
        <w:t>The pooled out-of-fold AUROC was only 0.6032, with a confidence interval extending from 0.5158 to 0.6766. The lower end is close to random-ranking performance.</w:t>
      </w:r>
    </w:p>
    <w:p>
      <w:pPr>
        <w:pStyle w:val="ListBullet"/>
      </w:pPr>
      <w:r>
        <w:t>At the default 0.5 threshold, the model detected only 44.75% of malignant nodules and missed 100 malignant nodules.</w:t>
      </w:r>
    </w:p>
    <w:p>
      <w:pPr>
        <w:pStyle w:val="ListBullet"/>
      </w:pPr>
      <w:r>
        <w:t>Specificity was 61.70%, meaning about 38.3% of benign nodules were classified as malignant at that threshold.</w:t>
      </w:r>
    </w:p>
    <w:p>
      <w:pPr>
        <w:pStyle w:val="ListBullet"/>
      </w:pPr>
      <w:r>
        <w:t>The very high fold-to-fold variation is particularly important. For example, fold 3 had AUROC 0.8522 and sensitivity 96.55%, while fold 4 had AUROC 0.5157 and sensitivity 0%.</w:t>
      </w:r>
    </w:p>
    <w:p>
      <w:pPr>
        <w:pStyle w:val="ListBullet"/>
      </w:pPr>
      <w:r>
        <w:t>The clinical operating-point results are unfavorable: at 90% specificity, sensitivity falls to 16.02%; at 95% specificity it falls to 13.26%; and at 99% specificity it is only 2.21%.</w:t>
      </w:r>
    </w:p>
    <w:p>
      <w:pPr>
        <w:pStyle w:val="Heading1"/>
      </w:pPr>
      <w:r>
        <w:t>15. Important Interpretation: This Is a Baseline/Comparison Result</w:t>
      </w:r>
    </w:p>
    <w:p>
      <w:r>
        <w:t>The notebook is designed as Task 05's ViT comparison arm. These results should therefore be interpreted as the performance of this specific ViT-Tiny configuration under the recorded protocol—not as a statement that Vision Transformers are generally bad for medical imaging.</w:t>
      </w:r>
    </w:p>
    <w:p>
      <w:r>
        <w:t>The dataset is relatively small for a deep-learning comparison (322 nodules from 187 patients), and the notebook itself requires/targets at least 500 nodules before final reporting. In addition, the patch-centering visual sanity check was not marked as completed. These points make the current result a useful experimental baseline, but not a final clinical conclusion.</w:t>
      </w:r>
    </w:p>
    <w:p>
      <w:pPr>
        <w:pStyle w:val="Heading1"/>
      </w:pPr>
      <w:r>
        <w:t>16. Why the Fingerprint Matters</w:t>
      </w:r>
    </w:p>
    <w:p>
      <w:r>
        <w:t>The fingerprint is 1675f74dcca2d3ce. It represents the data, labels, protocol constants, and fold assignment needed for a fair paired comparison. Task 04 and Task 05 should have the same fingerprint.</w:t>
      </w:r>
    </w:p>
    <w:p>
      <w:r>
        <w:t>The notebook also saves the individual out-of-fold predictions. This is important because statistical comparisons such as DeLong (for AUROC) and McNemar (for paired classification errors) need predictions for the same individual nodules from both models.</w:t>
      </w:r>
    </w:p>
    <w:p>
      <w:pPr>
        <w:pStyle w:val="Heading1"/>
      </w:pPr>
      <w:r>
        <w:t>17. Files Produced by the Notebook</w:t>
      </w:r>
    </w:p>
    <w:p>
      <w:pPr>
        <w:pStyle w:val="ListBullet"/>
      </w:pPr>
      <w:r>
        <w:t>vit_tiny_oof_predictions.npz – per-nodule out-of-fold predictions, labels, patient IDs, folds, malignancy scores and fingerprint.</w:t>
      </w:r>
    </w:p>
    <w:p>
      <w:pPr>
        <w:pStyle w:val="ListBullet"/>
      </w:pPr>
      <w:r>
        <w:t>vit_tiny_summary.json – overall configuration, results, fold summaries, fingerprint and environment information.</w:t>
      </w:r>
    </w:p>
    <w:p>
      <w:pPr>
        <w:pStyle w:val="ListBullet"/>
      </w:pPr>
      <w:r>
        <w:t>vit_tiny_fold_metrics.csv – metrics for each fold.</w:t>
      </w:r>
    </w:p>
    <w:p>
      <w:pPr>
        <w:pStyle w:val="ListBullet"/>
      </w:pPr>
      <w:r>
        <w:t>vit_tiny_history.csv – training/validation history by epoch.</w:t>
      </w:r>
    </w:p>
    <w:p>
      <w:pPr>
        <w:pStyle w:val="ListBullet"/>
      </w:pPr>
      <w:r>
        <w:t>vit_tiny_results.csv – collected results.</w:t>
      </w:r>
    </w:p>
    <w:p>
      <w:pPr>
        <w:pStyle w:val="ListBullet"/>
      </w:pPr>
      <w:r>
        <w:t>vit_tiny_curves.png – ROC, precision-recall and confusion-matrix plots.</w:t>
      </w:r>
    </w:p>
    <w:p>
      <w:pPr>
        <w:pStyle w:val="ListBullet"/>
      </w:pPr>
      <w:r>
        <w:t>vit_tiny_training.png – training loss and validation AUROC curves.</w:t>
      </w:r>
    </w:p>
    <w:p>
      <w:pPr>
        <w:pStyle w:val="ListBullet"/>
      </w:pPr>
      <w:r>
        <w:t>Five vit_tiny_fold*_best.pt files – best model checkpoint from each fold.</w:t>
      </w:r>
    </w:p>
    <w:p>
      <w:pPr>
        <w:pStyle w:val="ListBullet"/>
      </w:pPr>
      <w:r>
        <w:t>fold_table.csv and data/label diagnostic plots – supporting reproducibility and sanity checks.</w:t>
      </w:r>
    </w:p>
    <w:p>
      <w:pPr>
        <w:pStyle w:val="Heading1"/>
      </w:pPr>
      <w:r>
        <w:t>18. Final Summary</w:t>
      </w:r>
    </w:p>
    <w:p>
      <w:r>
        <w:t>Task 05 repeats the medical-imaging experiment using a pretrained ViT-Tiny instead of the ResNet-18 baseline. The data pipeline, labels, 48 mm CT patches, 3-slice input, patient-level 5-fold cross-validation, training procedure, and evaluation framework are deliberately kept the same so the architectures can be compared fairly.</w:t>
      </w:r>
    </w:p>
    <w:p>
      <w:r>
        <w:t>In the recorded run, ViT-Tiny achieved a mean AUROC of 0.6555 ± 0.1230 across folds and a pooled out-of-fold AUROC of 0.6032. At the default threshold, sensitivity was 44.75%, specificity 61.70%, and there were 100 false negatives. The very large fold-to-fold variation and poor performance at high-specificity operating points indicate that this particular ViT-Tiny run was not a strong classifier under the current dataset/protocol.</w:t>
      </w:r>
    </w:p>
    <w:p>
      <w:r>
        <w:t>The key value of Task 05 is that it produces a directly comparable ViT arm. Because the fingerprint matches the Task 04 protocol, the saved per-nodule OOF predictions can be used for a proper paired ResNet-vs-ViT statistical comparison.</w:t>
      </w:r>
    </w:p>
    <w:p>
      <w:r>
        <w:rPr>
          <w:b/>
        </w:rPr>
        <w:t xml:space="preserve">Source: </w:t>
      </w:r>
      <w:r>
        <w:t>task-05.ipynb supplied with this request. Numerical results and methodological details above are taken from the notebook's code and recorded outputs.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