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800" w:after="120"/>
        <w:jc w:val="center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EE-5214: Verification of Digital Systems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95959"/>
          <w:sz w:val="22"/>
          <w:szCs w:val="22"/>
        </w:rPr>
        <w:t>Lahore University of Management Sciences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595959"/>
          <w:sz w:val="24"/>
          <w:szCs w:val="24"/>
        </w:rPr>
        <w:t>Semester Project</w:t>
      </w:r>
    </w:p>
    <w:p>
      <w:pPr>
        <w:pStyle w:val="Normal"/>
        <w:pBdr>
          <w:bottom w:val="single" w:sz="6" w:space="0" w:color="2E75B6"/>
        </w:pBdr>
        <w:spacing w:before="0" w:after="80"/>
        <w:jc w:val="center"/>
        <w:rPr/>
      </w:pPr>
      <w:r>
        <w:rPr>
          <w:rFonts w:eastAsia="Calibri" w:cs="Calibri"/>
          <w:b/>
          <w:bCs/>
          <w:color w:val="1F3864"/>
          <w:sz w:val="36"/>
          <w:szCs w:val="36"/>
        </w:rPr>
        <w:t>AMBA AHB-Lite RAM Verification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22"/>
          <w:szCs w:val="22"/>
        </w:rPr>
        <w:t>Instructor: Dr. Tariq Ahmad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22"/>
          <w:szCs w:val="22"/>
        </w:rPr>
        <w:t>TAs: Sir Bilal Ahmed  |  Syed Ahsan Raza</w:t>
      </w:r>
    </w:p>
    <w:p>
      <w:pPr>
        <w:pStyle w:val="Normal"/>
        <w:spacing w:before="0" w:after="0"/>
        <w:jc w:val="center"/>
        <w:rPr/>
      </w:pPr>
      <w:r>
        <w:rPr>
          <w:rFonts w:eastAsia="Calibri" w:cs="Calibri"/>
          <w:color w:val="595959"/>
          <w:sz w:val="22"/>
          <w:szCs w:val="22"/>
        </w:rPr>
        <w:t>Spring 2025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Project Overview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This is a three-part project. You'll verify an open-source AHB-Lite RAM using simulation, SVA assertions, and formal methods. Each part builds on the last.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2197"/>
        <w:gridCol w:w="3882"/>
        <w:gridCol w:w="3281"/>
      </w:tblGrid>
      <w:tr>
        <w:trPr/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you do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you submit</w:t>
            </w:r>
          </w:p>
        </w:tc>
      </w:tr>
      <w:tr>
        <w:trPr/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1 — Simulation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Directed + random tests, scoreboard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Testbench, stimulus, scoreboard</w:t>
            </w:r>
          </w:p>
        </w:tc>
      </w:tr>
      <w:tr>
        <w:trPr/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2 — Assertions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SVA checker bound to DUT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Checker module, bind file, write-up</w:t>
            </w:r>
          </w:p>
        </w:tc>
      </w:tr>
      <w:tr>
        <w:trPr/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3 — Formal + Coverage</w:t>
            </w:r>
          </w:p>
        </w:tc>
        <w:tc>
          <w:tcPr>
            <w:tcW w:w="3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JasperGold FPV, covergroups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TCL script, assumptions, coverage report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10" w:space="0" w:color="CC0000"/>
        </w:pBdr>
        <w:shd w:val="clear" w:fill="FFF0F0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Do not touch the DUT RTL. Everything you write goes in separate files.</w:t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Team Split  (3 students)</w:t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1798"/>
        <w:gridCol w:w="4799"/>
        <w:gridCol w:w="2763"/>
      </w:tblGrid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 does what</w:t>
            </w:r>
          </w:p>
        </w:tc>
        <w:tc>
          <w:tcPr>
            <w:tcW w:w="27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  —  Testing</w:t>
            </w:r>
          </w:p>
        </w:tc>
        <w:tc>
          <w:tcPr>
            <w:tcW w:w="4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the test plan. Implement directed tests for all HTRANS, HBURST, and HSIZE combinations.</w:t>
            </w:r>
          </w:p>
        </w:tc>
        <w:tc>
          <w:tcPr>
            <w:tcW w:w="27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testplan.md directed_tests.sv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  —  Assertions &amp; Formal</w:t>
            </w:r>
          </w:p>
        </w:tc>
        <w:tc>
          <w:tcPr>
            <w:tcW w:w="4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the SVA checker, bind it to the DUT, handle Part 3 formal run.</w:t>
            </w:r>
          </w:p>
        </w:tc>
        <w:tc>
          <w:tcPr>
            <w:tcW w:w="27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ahb_checker.sv bind_ahb.sv</w:t>
            </w:r>
          </w:p>
        </w:tc>
      </w:tr>
      <w:tr>
        <w:trPr/>
        <w:tc>
          <w:tcPr>
            <w:tcW w:w="17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  —  TB &amp; Coverage</w:t>
            </w:r>
          </w:p>
        </w:tc>
        <w:tc>
          <w:tcPr>
            <w:tcW w:w="4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Build the testbench top, constrained-random master, scoreboard, covergroups.</w:t>
            </w:r>
          </w:p>
        </w:tc>
        <w:tc>
          <w:tcPr>
            <w:tcW w:w="27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tb_top.sv scoreboard.sv ahb_cov.sv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Read Before You Start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Spec link (read sections 2, 3, and 4 — signals, transfers, bursts):</w:t>
      </w:r>
    </w:p>
    <w:p>
      <w:pPr>
        <w:pStyle w:val="Normal"/>
        <w:spacing w:before="0" w:after="100"/>
        <w:ind w:left="480" w:hanging="0"/>
        <w:rPr/>
      </w:pPr>
      <w:hyperlink r:id="rId2">
        <w:r>
          <w:rPr>
            <w:rStyle w:val="InternetLink"/>
            <w:rFonts w:eastAsia="Calibri" w:cs="Calibri"/>
            <w:color w:val="0563C1"/>
            <w:sz w:val="22"/>
            <w:szCs w:val="22"/>
            <w:u w:val="single"/>
          </w:rPr>
          <w:t>ARM IHI0033A — AHB-Lite Protocol Specification</w:t>
        </w:r>
      </w:hyperlink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Also review Lab 2 (interfaces), Lab 3 (constrained-random), and Lab 4 (coverage) notes from this course.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DUT — What to Clone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Use the RoaLogic AHB3-Lite memory controller as your DUT. Clone both repos: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Main DUT: </w:t>
      </w:r>
      <w:hyperlink r:id="rId3">
        <w:r>
          <w:rPr>
            <w:rStyle w:val="InternetLink"/>
            <w:rFonts w:eastAsia="Calibri" w:cs="Calibri"/>
            <w:color w:val="0563C1"/>
            <w:sz w:val="22"/>
            <w:szCs w:val="22"/>
            <w:u w:val="single"/>
          </w:rPr>
          <w:t>github.com/RoaLogic/ahb3lite_memory</w:t>
        </w:r>
      </w:hyperlink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Required package: </w:t>
      </w:r>
      <w:hyperlink r:id="rId4">
        <w:r>
          <w:rPr>
            <w:rStyle w:val="InternetLink"/>
            <w:rFonts w:eastAsia="Calibri" w:cs="Calibri"/>
            <w:color w:val="0563C1"/>
            <w:sz w:val="22"/>
            <w:szCs w:val="22"/>
            <w:u w:val="single"/>
          </w:rPr>
          <w:t>github.com/RoaLogic/ahb3lite_pkg</w:t>
        </w:r>
      </w:hyperlink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Optional — interconnect: </w:t>
      </w:r>
      <w:hyperlink r:id="rId5">
        <w:r>
          <w:rPr>
            <w:rStyle w:val="InternetLink"/>
            <w:rFonts w:eastAsia="Calibri" w:cs="Calibri"/>
            <w:color w:val="0563C1"/>
            <w:sz w:val="22"/>
            <w:szCs w:val="22"/>
            <w:u w:val="single"/>
          </w:rPr>
          <w:t>github.com/RoaLogic/ahb3lite_interconnect</w:t>
        </w:r>
      </w:hyperlink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Optional — APB bridge: </w:t>
      </w:r>
      <w:hyperlink r:id="rId6">
        <w:r>
          <w:rPr>
            <w:rStyle w:val="InternetLink"/>
            <w:rFonts w:eastAsia="Calibri" w:cs="Calibri"/>
            <w:color w:val="0563C1"/>
            <w:sz w:val="22"/>
            <w:szCs w:val="22"/>
            <w:u w:val="single"/>
          </w:rPr>
          <w:t>github.com/RoaLogic/ahb3lite_apb_bridge</w:t>
        </w:r>
      </w:hyperlink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0" w:space="0" w:color="2E75B6"/>
        </w:pBdr>
        <w:shd w:val="clear" w:fill="EBF3FB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Get the DUT compiling with xrun before writing any testbench code.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AHB-Lite Quick Reference</w:t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Key signals</w:t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2398"/>
        <w:gridCol w:w="1099"/>
        <w:gridCol w:w="5863"/>
      </w:tblGrid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Dir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HCLK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Clock — everything happens on rising edge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HRESETn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Active-low reset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HADDR[31:0]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Address — must be aligned to HSIZE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HTRANS[1:0]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IDLE=00, BUSY=01, NONSEQ=10, SEQ=11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HWRITE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1=write, 0=read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HSIZE[2:0]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Transfer size: byte/halfword/word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HBURST[2:0]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SINGLE, INCR, WRAP4/8/16, INCR4/8/16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HWDATA[31:0]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M→S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Write data — valid the cycle after address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HRDATA[31:0]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Read data — valid when HREADY=1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HREADY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0 = slave not ready, hold address phase</w:t>
            </w:r>
          </w:p>
        </w:tc>
      </w:tr>
      <w:tr>
        <w:trPr/>
        <w:tc>
          <w:tcPr>
            <w:tcW w:w="23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HRESP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S→M</w:t>
            </w:r>
          </w:p>
        </w:tc>
        <w:tc>
          <w:tcPr>
            <w:tcW w:w="58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0=OK, 1=ERROR (must last 2 cycles)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Things to understand from the spec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/>
          <w:sz w:val="22"/>
          <w:szCs w:val="22"/>
        </w:rPr>
        <w:t>Address must be naturally aligned to HSIZE (word → HADDR[1:0]=00, halfword → HADDR[0]=0)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Calibri" w:cs="Calibri"/>
          <w:sz w:val="22"/>
          <w:szCs w:val="22"/>
        </w:rPr>
        <w:t>NONSEQ starts a transfer; SEQ continues it — SEQ cannot follow IDLE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Incrementing bursts must not cross a 1 KB boundary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Wrapping bursts wrap at a power-of-2 boundary aligned to burst size × HSIZE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means hold everything — master must not advance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lasts exactly 2 cycles; first cycle HREADY=0, second HREADY=1</w:t>
      </w:r>
    </w:p>
    <w:p>
      <w:pPr>
        <w:pStyle w:val="Normal"/>
        <w:spacing w:before="0" w:after="100"/>
        <w:rPr/>
      </w:pPr>
      <w:r>
        <w:rPr/>
      </w:r>
      <w:r>
        <w:br w:type="page"/>
      </w:r>
    </w:p>
    <w:p>
      <w:pPr>
        <w:pStyle w:val="Normal"/>
        <w:shd w:val="clear" w:fill="1F3864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1 — Simulation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build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Role A: </w:t>
      </w:r>
      <w:r>
        <w:rPr>
          <w:rFonts w:eastAsia="Calibri" w:cs="Calibri"/>
          <w:sz w:val="22"/>
          <w:szCs w:val="22"/>
        </w:rPr>
        <w:t>Write testplan.md first — list every scenario you intend to test with expected signal values. Then implement directed tests for all HTRANS, HBURST, and HSIZE combinations. Include wait-state and boundary scenarios.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Role C: </w:t>
      </w:r>
      <w:r>
        <w:rPr>
          <w:rFonts w:eastAsia="Calibri" w:cs="Calibri"/>
          <w:sz w:val="22"/>
          <w:szCs w:val="22"/>
        </w:rPr>
        <w:t>Build the testbench top, a constrained-random AHB master class (constraints: alignment, 1 KB boundary, legal HTRANS state machine), and a write-then-read scoreboard.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test (directed)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Calibri" w:cs="Calibri"/>
          <w:sz w:val="22"/>
          <w:szCs w:val="22"/>
        </w:rPr>
        <w:t>SINGLE read and write for byte, halfword, and word sizes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Calibri" w:cs="Calibri"/>
          <w:sz w:val="22"/>
          <w:szCs w:val="22"/>
        </w:rPr>
        <w:t>INCR4, INCR8, INCR16 — write then read back all beats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WRAP4, WRAP8 — verify the address actually wraps at the right boundary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— slave inserts wait states, master must hold address phase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Calibri" w:cs="Calibri"/>
          <w:sz w:val="22"/>
          <w:szCs w:val="22"/>
        </w:rPr>
        <w:t>Back-to-back transfers with no IDLE between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Random testing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Calibri" w:cs="Calibri"/>
          <w:sz w:val="22"/>
          <w:szCs w:val="22"/>
        </w:rPr>
        <w:t>Run at least 10,000 random transactions once directed tests pass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Calibri" w:cs="Calibri"/>
          <w:sz w:val="22"/>
          <w:szCs w:val="22"/>
        </w:rPr>
        <w:t>Any scoreboard mismatch = potential DUT bug — log it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1 deliverables</w:t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5999"/>
        <w:gridCol w:w="3360"/>
      </w:tblGrid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testplan.md — scenario list, expected values per test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A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directed_tests.sv — all directed test tasks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A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tb_top.sv — top-level testbench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scoreboard.sv — write-then-read checker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ahb_cov.sv — initial covergroups (expanded in Part 3)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5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xrun_args.txt + covfile.txt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Normal"/>
        <w:shd w:val="clear" w:fill="243F60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2 — Assertion-Based Verification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What to build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Write an SVA checker module and attach it to the DUT using bind. The DUT source stays untouched.</w:t>
      </w:r>
    </w:p>
    <w:p>
      <w:pPr>
        <w:pStyle w:val="Normal"/>
        <w:spacing w:before="0" w:after="80"/>
        <w:ind w:left="200" w:hanging="0"/>
        <w:rPr/>
      </w:pPr>
      <w:r>
        <w:rPr>
          <w:rFonts w:eastAsia="Courier New" w:cs="Courier New" w:ascii="Courier New" w:hAnsi="Courier New"/>
          <w:color w:val="1F3864"/>
          <w:sz w:val="20"/>
          <w:szCs w:val="20"/>
        </w:rPr>
        <w:t>bind ahb3lite_sram ahb_checker checker_i (.HCLK, .HRESETn, ...);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Inside the checker, set a default clocking and default disable iff at the top — saves you repeating it on every property.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Protocol assertions to write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Read the spec. Figure out which rules apply to a simple RAM slave. Below are the minimum — add more if you find relevant rules.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>
          <w:rFonts w:eastAsia="Calibri" w:cs="Calibri"/>
          <w:sz w:val="22"/>
          <w:szCs w:val="22"/>
        </w:rPr>
        <w:t>HADDR aligned to HSIZE on every NONSEQ and SEQ</w:t>
      </w:r>
    </w:p>
    <w:p>
      <w:pPr>
        <w:pStyle w:val="ListParagraph"/>
        <w:numPr>
          <w:ilvl w:val="0"/>
          <w:numId w:val="21"/>
        </w:numPr>
        <w:spacing w:before="0" w:after="80"/>
        <w:rPr/>
      </w:pPr>
      <w:r>
        <w:rPr>
          <w:rFonts w:eastAsia="Calibri" w:cs="Calibri"/>
          <w:sz w:val="22"/>
          <w:szCs w:val="22"/>
        </w:rPr>
        <w:t>SEQ can only follow NONSEQ or SEQ — not IDLE or BUSY at burst start</w:t>
      </w:r>
    </w:p>
    <w:p>
      <w:pPr>
        <w:pStyle w:val="ListParagraph"/>
        <w:numPr>
          <w:ilvl w:val="0"/>
          <w:numId w:val="22"/>
        </w:numPr>
        <w:spacing w:before="0" w:after="80"/>
        <w:rPr/>
      </w:pPr>
      <w:r>
        <w:rPr>
          <w:rFonts w:eastAsia="Calibri" w:cs="Calibri"/>
          <w:sz w:val="22"/>
          <w:szCs w:val="22"/>
        </w:rPr>
        <w:t>Fixed-length burst completes exactly the declared number of SEQ beats</w:t>
      </w:r>
    </w:p>
    <w:p>
      <w:pPr>
        <w:pStyle w:val="ListParagraph"/>
        <w:numPr>
          <w:ilvl w:val="0"/>
          <w:numId w:val="23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address-phase signals held stable when HREADY=0</w:t>
      </w:r>
    </w:p>
    <w:p>
      <w:pPr>
        <w:pStyle w:val="ListParagraph"/>
        <w:numPr>
          <w:ilvl w:val="0"/>
          <w:numId w:val="24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lasts exactly 2 cycles; HREADY=0 on cycle 1, HREADY=1 on cycle 2</w:t>
      </w:r>
    </w:p>
    <w:p>
      <w:pPr>
        <w:pStyle w:val="ListParagraph"/>
        <w:numPr>
          <w:ilvl w:val="0"/>
          <w:numId w:val="25"/>
        </w:numPr>
        <w:spacing w:before="0" w:after="80"/>
        <w:rPr/>
      </w:pPr>
      <w:r>
        <w:rPr>
          <w:rFonts w:eastAsia="Calibri" w:cs="Calibri"/>
          <w:sz w:val="22"/>
          <w:szCs w:val="22"/>
        </w:rPr>
        <w:t>BUSY not legal inside a SINGLE transfer</w:t>
      </w:r>
    </w:p>
    <w:p>
      <w:pPr>
        <w:pStyle w:val="ListParagraph"/>
        <w:numPr>
          <w:ilvl w:val="0"/>
          <w:numId w:val="26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 burst address stays within its naturally-aligned boundary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Functional assertions to write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These check the RAM itself, not the protocol.</w:t>
      </w:r>
    </w:p>
    <w:p>
      <w:pPr>
        <w:pStyle w:val="ListParagraph"/>
        <w:numPr>
          <w:ilvl w:val="0"/>
          <w:numId w:val="27"/>
        </w:numPr>
        <w:spacing w:before="0" w:after="80"/>
        <w:rPr/>
      </w:pPr>
      <w:r>
        <w:rPr>
          <w:rFonts w:eastAsia="Calibri" w:cs="Calibri"/>
          <w:sz w:val="22"/>
          <w:szCs w:val="22"/>
        </w:rPr>
        <w:t>Data written to address A must be readable from address A</w:t>
      </w:r>
    </w:p>
    <w:p>
      <w:pPr>
        <w:pStyle w:val="ListParagraph"/>
        <w:numPr>
          <w:ilvl w:val="0"/>
          <w:numId w:val="28"/>
        </w:numPr>
        <w:spacing w:before="0" w:after="80"/>
        <w:rPr/>
      </w:pPr>
      <w:r>
        <w:rPr>
          <w:rFonts w:eastAsia="Calibri" w:cs="Calibri"/>
          <w:sz w:val="22"/>
          <w:szCs w:val="22"/>
        </w:rPr>
        <w:t>No memory location changes without a valid write transaction</w:t>
      </w:r>
    </w:p>
    <w:p>
      <w:pPr>
        <w:pStyle w:val="ListParagraph"/>
        <w:numPr>
          <w:ilvl w:val="0"/>
          <w:numId w:val="29"/>
        </w:numPr>
        <w:spacing w:before="0" w:after="80"/>
        <w:rPr/>
      </w:pPr>
      <w:r>
        <w:rPr>
          <w:rFonts w:eastAsia="Calibri" w:cs="Calibri"/>
          <w:sz w:val="22"/>
          <w:szCs w:val="22"/>
        </w:rPr>
        <w:t>After reset, HREADY goes high and HRESP returns OK within a bounded number of cycles</w:t>
      </w:r>
    </w:p>
    <w:p>
      <w:pPr>
        <w:pStyle w:val="ListParagraph"/>
        <w:numPr>
          <w:ilvl w:val="0"/>
          <w:numId w:val="30"/>
        </w:numPr>
        <w:spacing w:before="0" w:after="80"/>
        <w:rPr/>
      </w:pPr>
      <w:r>
        <w:rPr>
          <w:rFonts w:eastAsia="Calibri" w:cs="Calibri"/>
          <w:sz w:val="22"/>
          <w:szCs w:val="22"/>
        </w:rPr>
        <w:t>Byte write to address A does not modify bytes A+1, A+2, A+3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A few things to keep in mind</w:t>
      </w:r>
    </w:p>
    <w:p>
      <w:pPr>
        <w:pStyle w:val="ListParagraph"/>
        <w:numPr>
          <w:ilvl w:val="0"/>
          <w:numId w:val="31"/>
        </w:numPr>
        <w:spacing w:before="0" w:after="80"/>
        <w:rPr/>
      </w:pPr>
      <w:r>
        <w:rPr>
          <w:rFonts w:eastAsia="Calibri" w:cs="Calibri"/>
          <w:sz w:val="22"/>
          <w:szCs w:val="22"/>
        </w:rPr>
        <w:t>Name every assertion and add a comment with the spec section it comes from</w:t>
      </w:r>
    </w:p>
    <w:p>
      <w:pPr>
        <w:pStyle w:val="ListParagraph"/>
        <w:numPr>
          <w:ilvl w:val="0"/>
          <w:numId w:val="32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at least one cover property next to each assertion to confirm the scenario is reachable</w:t>
      </w:r>
    </w:p>
    <w:p>
      <w:pPr>
        <w:pStyle w:val="ListParagraph"/>
        <w:numPr>
          <w:ilvl w:val="0"/>
          <w:numId w:val="33"/>
        </w:numPr>
        <w:spacing w:before="0" w:after="80"/>
        <w:rPr/>
      </w:pPr>
      <w:r>
        <w:rPr>
          <w:rFonts w:eastAsia="Calibri" w:cs="Calibri"/>
          <w:sz w:val="22"/>
          <w:szCs w:val="22"/>
        </w:rPr>
        <w:t>Deliberately inject violations and confirm each assertion fires</w:t>
      </w:r>
    </w:p>
    <w:p>
      <w:pPr>
        <w:pStyle w:val="ListParagraph"/>
        <w:numPr>
          <w:ilvl w:val="0"/>
          <w:numId w:val="34"/>
        </w:numPr>
        <w:spacing w:before="0" w:after="80"/>
        <w:rPr/>
      </w:pPr>
      <w:r>
        <w:rPr>
          <w:rFonts w:eastAsia="Calibri" w:cs="Calibri"/>
          <w:sz w:val="22"/>
          <w:szCs w:val="22"/>
        </w:rPr>
        <w:t>Aim for quality over quantity — explain what each one checks and why it matters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2 deliverables</w:t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6499"/>
        <w:gridCol w:w="2860"/>
      </w:tblGrid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ahb_checker.sv — all assertions with names and comments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bind_ahb.sv — bind statement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assertion_report.md — table: name | spec clause | result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Normal"/>
        <w:shd w:val="clear" w:fill="1E4D2B"/>
        <w:spacing w:before="0" w:after="80"/>
        <w:rPr/>
      </w:pPr>
      <w:r>
        <w:rPr>
          <w:rFonts w:eastAsia="Calibri" w:cs="Calibri"/>
          <w:b/>
          <w:bCs/>
          <w:color w:val="FFFFFF"/>
          <w:sz w:val="28"/>
          <w:szCs w:val="28"/>
        </w:rPr>
        <w:t xml:space="preserve">  </w:t>
      </w:r>
      <w:r>
        <w:rPr>
          <w:rFonts w:eastAsia="Calibri" w:cs="Calibri"/>
          <w:b/>
          <w:bCs/>
          <w:color w:val="FFFFFF"/>
          <w:sz w:val="28"/>
          <w:szCs w:val="28"/>
        </w:rPr>
        <w:t>Part 3 — Formal Verification &amp; Coverage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3.1 — Formal proof (JasperGold)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Load the design into JasperGold FPV with your Part 2 checker attached. Run prove -task FPV.</w:t>
      </w:r>
    </w:p>
    <w:p>
      <w:pPr>
        <w:pStyle w:val="ListParagraph"/>
        <w:numPr>
          <w:ilvl w:val="0"/>
          <w:numId w:val="35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assume properties to constrain the tool to legal master behaviour — think about what the master can and cannot do per the spec</w:t>
      </w:r>
    </w:p>
    <w:p>
      <w:pPr>
        <w:pStyle w:val="ListParagraph"/>
        <w:numPr>
          <w:ilvl w:val="0"/>
          <w:numId w:val="36"/>
        </w:numPr>
        <w:spacing w:before="0" w:after="80"/>
        <w:rPr/>
      </w:pPr>
      <w:r>
        <w:rPr>
          <w:rFonts w:eastAsia="Calibri" w:cs="Calibri"/>
          <w:sz w:val="22"/>
          <w:szCs w:val="22"/>
        </w:rPr>
        <w:t>For each assertion record the result: proven / counterexample / bounded</w:t>
      </w:r>
    </w:p>
    <w:p>
      <w:pPr>
        <w:pStyle w:val="ListParagraph"/>
        <w:numPr>
          <w:ilvl w:val="0"/>
          <w:numId w:val="37"/>
        </w:numPr>
        <w:spacing w:before="0" w:after="80"/>
        <w:rPr/>
      </w:pPr>
      <w:r>
        <w:rPr>
          <w:rFonts w:eastAsia="Calibri" w:cs="Calibri"/>
          <w:sz w:val="22"/>
          <w:szCs w:val="22"/>
        </w:rPr>
        <w:t>If you get a counterexample, debug it — is it a real DUT bug or a missing assumption?</w:t>
      </w:r>
    </w:p>
    <w:p>
      <w:pPr>
        <w:pStyle w:val="ListParagraph"/>
        <w:numPr>
          <w:ilvl w:val="0"/>
          <w:numId w:val="38"/>
        </w:numPr>
        <w:spacing w:before="0" w:after="80"/>
        <w:rPr/>
      </w:pPr>
      <w:r>
        <w:rPr>
          <w:rFonts w:eastAsia="Calibri" w:cs="Calibri"/>
          <w:sz w:val="22"/>
          <w:szCs w:val="22"/>
        </w:rPr>
        <w:t>Watch out for vacuity — if an assumption is too tight, assertions prove trivially; use cover properties to check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3.2 — Cover properties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Write cover property statements for interesting corner cases — at minimum:</w:t>
      </w:r>
    </w:p>
    <w:p>
      <w:pPr>
        <w:pStyle w:val="ListParagraph"/>
        <w:numPr>
          <w:ilvl w:val="0"/>
          <w:numId w:val="39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held for 3+ consecutive cycles</w:t>
      </w:r>
    </w:p>
    <w:p>
      <w:pPr>
        <w:pStyle w:val="ListParagraph"/>
        <w:numPr>
          <w:ilvl w:val="0"/>
          <w:numId w:val="40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WRAP4 burst where the wrap actually happens</w:t>
      </w:r>
    </w:p>
    <w:p>
      <w:pPr>
        <w:pStyle w:val="ListParagraph"/>
        <w:numPr>
          <w:ilvl w:val="0"/>
          <w:numId w:val="41"/>
        </w:numPr>
        <w:spacing w:before="0" w:after="80"/>
        <w:rPr/>
      </w:pPr>
      <w:r>
        <w:rPr>
          <w:rFonts w:eastAsia="Calibri" w:cs="Calibri"/>
          <w:sz w:val="22"/>
          <w:szCs w:val="22"/>
        </w:rPr>
        <w:t>Write immediately followed by read to the same address</w:t>
      </w:r>
    </w:p>
    <w:p>
      <w:pPr>
        <w:pStyle w:val="ListParagraph"/>
        <w:numPr>
          <w:ilvl w:val="0"/>
          <w:numId w:val="42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generated by the slave</w:t>
      </w:r>
    </w:p>
    <w:p>
      <w:pPr>
        <w:pStyle w:val="ListParagraph"/>
        <w:numPr>
          <w:ilvl w:val="0"/>
          <w:numId w:val="43"/>
        </w:numPr>
        <w:spacing w:before="0" w:after="80"/>
        <w:rPr/>
      </w:pPr>
      <w:r>
        <w:rPr>
          <w:rFonts w:eastAsia="Calibri" w:cs="Calibri"/>
          <w:sz w:val="22"/>
          <w:szCs w:val="22"/>
        </w:rPr>
        <w:t>Back-to-back NONSEQ with no IDLE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If a scenario turns out unreachable, explain why in your report.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Task 3.3 — Functional coverage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2"/>
          <w:szCs w:val="22"/>
        </w:rPr>
        <w:t>Extend the covergroups from Part 1. Target above 90% on all coverpoints.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595959"/>
          <w:sz w:val="22"/>
          <w:szCs w:val="22"/>
        </w:rPr>
        <w:t>Required coverpoints:</w:t>
      </w:r>
    </w:p>
    <w:p>
      <w:pPr>
        <w:pStyle w:val="ListParagraph"/>
        <w:numPr>
          <w:ilvl w:val="0"/>
          <w:numId w:val="44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HTRANS values (IDLE, BUSY, NONSEQ, SEQ)</w:t>
      </w:r>
    </w:p>
    <w:p>
      <w:pPr>
        <w:pStyle w:val="ListParagraph"/>
        <w:numPr>
          <w:ilvl w:val="0"/>
          <w:numId w:val="45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HBURST values</w:t>
      </w:r>
    </w:p>
    <w:p>
      <w:pPr>
        <w:pStyle w:val="ListParagraph"/>
        <w:numPr>
          <w:ilvl w:val="0"/>
          <w:numId w:val="46"/>
        </w:numPr>
        <w:spacing w:before="0" w:after="80"/>
        <w:rPr/>
      </w:pPr>
      <w:r>
        <w:rPr>
          <w:rFonts w:eastAsia="Calibri" w:cs="Calibri"/>
          <w:sz w:val="22"/>
          <w:szCs w:val="22"/>
        </w:rPr>
        <w:t>All HSIZE values</w:t>
      </w:r>
    </w:p>
    <w:p>
      <w:pPr>
        <w:pStyle w:val="ListParagraph"/>
        <w:numPr>
          <w:ilvl w:val="0"/>
          <w:numId w:val="47"/>
        </w:numPr>
        <w:spacing w:before="0" w:after="80"/>
        <w:rPr/>
      </w:pPr>
      <w:r>
        <w:rPr>
          <w:rFonts w:eastAsia="Calibri" w:cs="Calibri"/>
          <w:sz w:val="22"/>
          <w:szCs w:val="22"/>
        </w:rPr>
        <w:t>HWRITE (read and write)</w:t>
      </w:r>
    </w:p>
    <w:p>
      <w:pPr>
        <w:pStyle w:val="ListParagraph"/>
        <w:numPr>
          <w:ilvl w:val="0"/>
          <w:numId w:val="48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HREADY=0 observed at least once</w:t>
      </w:r>
    </w:p>
    <w:p>
      <w:pPr>
        <w:pStyle w:val="ListParagraph"/>
        <w:numPr>
          <w:ilvl w:val="0"/>
          <w:numId w:val="49"/>
        </w:numPr>
        <w:spacing w:before="0" w:after="80"/>
        <w:rPr/>
      </w:pPr>
      <w:r>
        <w:rPr>
          <w:rFonts w:eastAsia="Calibri" w:cs="Calibri"/>
          <w:sz w:val="22"/>
          <w:szCs w:val="22"/>
        </w:rPr>
        <w:t>HRESP=ERROR observed</w:t>
      </w:r>
    </w:p>
    <w:p>
      <w:pPr>
        <w:pStyle w:val="ListParagraph"/>
        <w:numPr>
          <w:ilvl w:val="0"/>
          <w:numId w:val="50"/>
        </w:numPr>
        <w:spacing w:before="0" w:after="80"/>
        <w:rPr/>
      </w:pPr>
      <w:r>
        <w:rPr>
          <w:rFonts w:eastAsia="Calibri" w:cs="Calibri"/>
          <w:sz w:val="22"/>
          <w:szCs w:val="22"/>
        </w:rPr>
        <w:t>Address space split into at least 4 bins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595959"/>
          <w:sz w:val="22"/>
          <w:szCs w:val="22"/>
        </w:rPr>
        <w:t>Required crosses:</w:t>
      </w:r>
    </w:p>
    <w:p>
      <w:pPr>
        <w:pStyle w:val="ListParagraph"/>
        <w:numPr>
          <w:ilvl w:val="0"/>
          <w:numId w:val="51"/>
        </w:numPr>
        <w:spacing w:before="0" w:after="80"/>
        <w:rPr/>
      </w:pPr>
      <w:r>
        <w:rPr>
          <w:rFonts w:eastAsia="Calibri" w:cs="Calibri"/>
          <w:sz w:val="22"/>
          <w:szCs w:val="22"/>
        </w:rPr>
        <w:t>HBURST x HWRITE</w:t>
      </w:r>
    </w:p>
    <w:p>
      <w:pPr>
        <w:pStyle w:val="ListParagraph"/>
        <w:numPr>
          <w:ilvl w:val="0"/>
          <w:numId w:val="52"/>
        </w:numPr>
        <w:spacing w:before="0" w:after="80"/>
        <w:rPr/>
      </w:pPr>
      <w:r>
        <w:rPr>
          <w:rFonts w:eastAsia="Calibri" w:cs="Calibri"/>
          <w:sz w:val="22"/>
          <w:szCs w:val="22"/>
        </w:rPr>
        <w:t>HSIZE x HWRITE</w:t>
      </w:r>
    </w:p>
    <w:p>
      <w:pPr>
        <w:pStyle w:val="ListParagraph"/>
        <w:numPr>
          <w:ilvl w:val="0"/>
          <w:numId w:val="53"/>
        </w:numPr>
        <w:spacing w:before="0" w:after="80"/>
        <w:rPr/>
      </w:pPr>
      <w:r>
        <w:rPr>
          <w:rFonts w:eastAsia="Calibri" w:cs="Calibri"/>
          <w:sz w:val="22"/>
          <w:szCs w:val="22"/>
        </w:rPr>
        <w:t>HTRANS x HREADY (especially SEQ with HREADY=0)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0" w:space="0" w:color="2E75B6"/>
        </w:pBdr>
        <w:shd w:val="clear" w:fill="EBF3FB"/>
        <w:spacing w:before="80" w:after="120"/>
        <w:ind w:left="120" w:hanging="0"/>
        <w:rPr/>
      </w:pPr>
      <w:r>
        <w:rPr>
          <w:rFonts w:eastAsia="Calibri" w:cs="Calibri"/>
          <w:i/>
          <w:iCs/>
          <w:sz w:val="22"/>
          <w:szCs w:val="22"/>
        </w:rPr>
        <w:t>Run IMC, find uncovered bins, add targeted tests. Any bin you exclude needs a written reason.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180" w:after="80"/>
        <w:rPr/>
      </w:pPr>
      <w:r>
        <w:rPr>
          <w:rFonts w:eastAsia="Calibri" w:cs="Calibri" w:ascii="Calibri" w:hAnsi="Calibri"/>
          <w:b/>
          <w:bCs/>
          <w:color w:val="2E75B6"/>
          <w:sz w:val="24"/>
          <w:szCs w:val="24"/>
        </w:rPr>
        <w:t>Part 3 deliverables</w:t>
      </w:r>
    </w:p>
    <w:tbl>
      <w:tblPr>
        <w:tblW w:w="9360" w:type="dxa"/>
        <w:jc w:val="left"/>
        <w:tblInd w:w="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top w:w="60" w:type="dxa"/>
          <w:left w:w="97" w:type="dxa"/>
          <w:bottom w:w="60" w:type="dxa"/>
          <w:right w:w="100" w:type="dxa"/>
        </w:tblCellMar>
      </w:tblPr>
      <w:tblGrid>
        <w:gridCol w:w="6499"/>
        <w:gridCol w:w="2860"/>
      </w:tblGrid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2E75B6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fpv_setup.tcl — analyze, elaborate, clock/reset, prove command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ahb_assumptions.sv — all assume properties (separate file)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ahb_cover.sv — cover property statements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B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ahb_cov.sv — updated covergroups from Part 1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2F2F2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Role C</w:t>
            </w:r>
          </w:p>
        </w:tc>
      </w:tr>
      <w:tr>
        <w:trPr/>
        <w:tc>
          <w:tcPr>
            <w:tcW w:w="6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Part 3 report — results table, coverage screenshots</w:t>
            </w:r>
          </w:p>
        </w:tc>
        <w:tc>
          <w:tcPr>
            <w:tcW w:w="2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  <w:insideH w:val="single" w:sz="2" w:space="0" w:color="AAAAAA"/>
              <w:insideV w:val="single" w:sz="2" w:space="0" w:color="AAAAAA"/>
            </w:tcBorders>
            <w:shd w:fill="FFFFFF" w:val="clear"/>
            <w:tcMar>
              <w:left w:w="97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All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>
          <w:rFonts w:eastAsia="Calibri" w:cs="Calibri" w:ascii="Calibri" w:hAnsi="Calibri"/>
          <w:b/>
          <w:bCs/>
          <w:color w:val="1F3864"/>
          <w:sz w:val="28"/>
          <w:szCs w:val="28"/>
        </w:rPr>
        <w:t>Final Report  (max 6 pages)</w:t>
      </w:r>
    </w:p>
    <w:p>
      <w:pPr>
        <w:pStyle w:val="ListParagraph"/>
        <w:numPr>
          <w:ilvl w:val="0"/>
          <w:numId w:val="54"/>
        </w:numPr>
        <w:spacing w:before="0" w:after="80"/>
        <w:rPr/>
      </w:pPr>
      <w:r>
        <w:rPr>
          <w:rFonts w:eastAsia="Calibri" w:cs="Calibri"/>
          <w:sz w:val="22"/>
          <w:szCs w:val="22"/>
        </w:rPr>
        <w:t>Testbench architecture — draw a diagram showing DUT, master, scoreboard, checker</w:t>
      </w:r>
    </w:p>
    <w:p>
      <w:pPr>
        <w:pStyle w:val="ListParagraph"/>
        <w:numPr>
          <w:ilvl w:val="0"/>
          <w:numId w:val="55"/>
        </w:numPr>
        <w:spacing w:before="0" w:after="80"/>
        <w:rPr/>
      </w:pPr>
      <w:r>
        <w:rPr>
          <w:rFonts w:eastAsia="Calibri" w:cs="Calibri"/>
          <w:sz w:val="22"/>
          <w:szCs w:val="22"/>
        </w:rPr>
        <w:t>Test plan summary — what you tested and why</w:t>
      </w:r>
    </w:p>
    <w:p>
      <w:pPr>
        <w:pStyle w:val="ListParagraph"/>
        <w:numPr>
          <w:ilvl w:val="0"/>
          <w:numId w:val="56"/>
        </w:numPr>
        <w:spacing w:before="0" w:after="80"/>
        <w:rPr/>
      </w:pPr>
      <w:r>
        <w:rPr>
          <w:rFonts w:eastAsia="Calibri" w:cs="Calibri"/>
          <w:sz w:val="22"/>
          <w:szCs w:val="22"/>
        </w:rPr>
        <w:t>Assertion list — each property, spec clause, example waveform</w:t>
      </w:r>
    </w:p>
    <w:p>
      <w:pPr>
        <w:pStyle w:val="ListParagraph"/>
        <w:numPr>
          <w:ilvl w:val="0"/>
          <w:numId w:val="57"/>
        </w:numPr>
        <w:spacing w:before="0" w:after="80"/>
        <w:rPr/>
      </w:pPr>
      <w:r>
        <w:rPr>
          <w:rFonts w:eastAsia="Calibri" w:cs="Calibri"/>
          <w:sz w:val="22"/>
          <w:szCs w:val="22"/>
        </w:rPr>
        <w:t>Coverage results — IMC screenshots before and after, any excluded bins explained</w:t>
      </w:r>
    </w:p>
    <w:p>
      <w:pPr>
        <w:pStyle w:val="ListParagraph"/>
        <w:numPr>
          <w:ilvl w:val="0"/>
          <w:numId w:val="58"/>
        </w:numPr>
        <w:spacing w:before="0" w:after="80"/>
        <w:rPr/>
      </w:pPr>
      <w:r>
        <w:rPr>
          <w:rFonts w:eastAsia="Calibri" w:cs="Calibri"/>
          <w:sz w:val="22"/>
          <w:szCs w:val="22"/>
        </w:rPr>
        <w:t>Bugs found — description, which test or assertion caught it</w:t>
      </w:r>
    </w:p>
    <w:p>
      <w:pPr>
        <w:pStyle w:val="ListParagraph"/>
        <w:numPr>
          <w:ilvl w:val="0"/>
          <w:numId w:val="59"/>
        </w:numPr>
        <w:spacing w:before="0" w:after="80"/>
        <w:rPr/>
      </w:pPr>
      <w:r>
        <w:rPr>
          <w:rFonts w:eastAsia="Calibri" w:cs="Calibri"/>
          <w:sz w:val="22"/>
          <w:szCs w:val="22"/>
        </w:rPr>
        <w:t>What surprised you or what you would do differently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4" w:space="1" w:color="2E75B6"/>
        </w:pBdr>
        <w:spacing w:before="280" w:after="80"/>
        <w:rPr/>
      </w:pPr>
      <w:r>
        <w:rPr/>
      </w:r>
    </w:p>
    <w:sectPr>
      <w:headerReference w:type="default" r:id="rId7"/>
      <w:footerReference w:type="default" r:id="rId8"/>
      <w:type w:val="nextPage"/>
      <w:pgSz w:w="12240" w:h="15840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1" w:color="D9D9D9"/>
      </w:pBdr>
      <w:tabs>
        <w:tab w:val="right" w:pos="9360" w:leader="none"/>
      </w:tabs>
      <w:spacing w:before="80" w:after="0"/>
      <w:rPr/>
    </w:pPr>
    <w:r>
      <w:rPr>
        <w:rFonts w:eastAsia="Calibri" w:cs="Calibri"/>
        <w:color w:val="888888"/>
        <w:sz w:val="18"/>
        <w:szCs w:val="18"/>
      </w:rPr>
      <w:t>Dr. Tariq Ahmad  |  TAs: Sir Bilal Ahmed, Syed Ahsan Raza</w:t>
    </w:r>
    <w:r>
      <w:rPr>
        <w:rFonts w:eastAsia="Calibri" w:cs="Calibri"/>
        <w:sz w:val="18"/>
        <w:szCs w:val="18"/>
      </w:rPr>
      <w:tab/>
    </w:r>
    <w:r>
      <w:rPr>
        <w:rFonts w:eastAsia="Calibri" w:cs="Calibri"/>
        <w:sz w:val="18"/>
        <w:szCs w:val="18"/>
      </w:rPr>
      <w:fldChar w:fldCharType="begin"/>
    </w:r>
    <w:r>
      <w:instrText> PAGE </w:instrText>
    </w:r>
    <w:r>
      <w:fldChar w:fldCharType="separate"/>
    </w:r>
    <w:r>
      <w:t>8</w:t>
    </w:r>
    <w: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1" w:color="D9D9D9"/>
      </w:pBdr>
      <w:tabs>
        <w:tab w:val="right" w:pos="9360" w:leader="none"/>
      </w:tabs>
      <w:spacing w:before="0" w:after="80"/>
      <w:rPr/>
    </w:pPr>
    <w:r>
      <w:rPr>
        <w:rFonts w:eastAsia="Calibri" w:cs="Calibri"/>
        <w:color w:val="888888"/>
        <w:sz w:val="18"/>
        <w:szCs w:val="18"/>
      </w:rPr>
      <w:t>EE-5214  |  AHB-Lite Verification Project</w:t>
    </w:r>
    <w:r>
      <w:rPr>
        <w:rFonts w:eastAsia="Calibri" w:cs="Calibri"/>
        <w:sz w:val="18"/>
        <w:szCs w:val="18"/>
      </w:rPr>
      <w:tab/>
    </w:r>
    <w:r>
      <w:rPr>
        <w:rFonts w:eastAsia="Calibri" w:cs="Calibri"/>
        <w:color w:val="888888"/>
        <w:sz w:val="18"/>
        <w:szCs w:val="18"/>
      </w:rPr>
      <w:t>LUMS  Spring 2025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bullet"/>
      <w:lvlText w:val=""/>
      <w:lvlJc w:val="left"/>
      <w:pPr>
        <w:ind w:left="480" w:hanging="24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A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8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00" w:after="60"/>
      <w:outlineLvl w:val="1"/>
    </w:pPr>
    <w:rPr>
      <w:rFonts w:ascii="Calibri" w:hAnsi="Calibri" w:eastAsia="Calibri" w:cs="Calibri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spacing w:before="160" w:after="40"/>
      <w:outlineLvl w:val="2"/>
    </w:pPr>
    <w:rPr>
      <w:rFonts w:ascii="Calibri" w:hAnsi="Calibri" w:eastAsia="Calibri" w:cs="Calibri"/>
      <w:b/>
      <w:bCs/>
      <w:color w:val="595959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Symbol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Symbol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Symbol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Symbol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Symbol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Symbol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Symbol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Symbol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Symbol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Symbol"/>
    </w:rPr>
  </w:style>
  <w:style w:type="character" w:styleId="ListLabel61">
    <w:name w:val="ListLabel 61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00000A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A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Symbol">
    <w:name w:val="Endnote Symbol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rm.com/documentation/ihi0033/latest" TargetMode="External"/><Relationship Id="rId3" Type="http://schemas.openxmlformats.org/officeDocument/2006/relationships/hyperlink" Target="https://github.com/RoaLogic/ahb3lite_memory" TargetMode="External"/><Relationship Id="rId4" Type="http://schemas.openxmlformats.org/officeDocument/2006/relationships/hyperlink" Target="https://github.com/RoaLogic/ahb3lite_pkg" TargetMode="External"/><Relationship Id="rId5" Type="http://schemas.openxmlformats.org/officeDocument/2006/relationships/hyperlink" Target="https://github.com/RoaLogic/ahb3lite_interconnect" TargetMode="External"/><Relationship Id="rId6" Type="http://schemas.openxmlformats.org/officeDocument/2006/relationships/hyperlink" Target="https://github.com/RoaLogic/ahb3lite_apb_bridg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LibreOffice/5.3.6.1$Linux_X86_64 LibreOffice_project/30$Build-1</Application>
  <Pages>8</Pages>
  <Words>1296</Words>
  <Characters>6907</Characters>
  <CharactersWithSpaces>8014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2026-04-20T06:50:01Z</dcterms:created>
  <dc:creator>Un-named</dc:creator>
  <dc:description/>
  <dc:language>en-US</dc:language>
  <cp:lastModifiedBy/>
  <dcterms:modified xsi:type="dcterms:W3CDTF">2026-04-28T23:17:09Z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