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56"/>
          <w:szCs w:val="56"/>
        </w:rPr>
        <w:t xml:space="preserve">CodeMap</w:t>
      </w:r>
    </w:p>
    <w:p>
      <w:pPr>
        <w:spacing w:after="40"/>
      </w:pPr>
      <w:r>
        <w:rPr>
          <w:color w:val="555555"/>
          <w:sz w:val="28"/>
          <w:szCs w:val="28"/>
        </w:rPr>
        <w:t xml:space="preserve">Product Requirements Document</w:t>
      </w:r>
    </w:p>
    <w:p>
      <w:pPr>
        <w:spacing w:after="40"/>
      </w:pPr>
      <w:r>
        <w:rPr>
          <w:i/>
          <w:iCs/>
          <w:color w:val="555555"/>
          <w:sz w:val="20"/>
          <w:szCs w:val="20"/>
        </w:rPr>
        <w:t xml:space="preserve">AB Talks 60-Day Claude AI Challenge — 10-Day Capstone Sprint</w:t>
      </w:r>
    </w:p>
    <w:p>
      <w:pPr>
        <w:spacing w:after="300"/>
      </w:pPr>
      <w:r>
        <w:rPr>
          <w:color w:val="555555"/>
          <w:sz w:val="20"/>
          <w:szCs w:val="20"/>
        </w:rPr>
        <w:t xml:space="preserve">Version 1.0 · Day 1: Requirements · July 20, 2026</w:t>
      </w:r>
    </w:p>
    <w:p>
      <w:pPr>
        <w:pBdr>
          <w:bottom w:val="single" w:color="CCCCCC" w:sz="6" w:space="4"/>
        </w:pBdr>
        <w:spacing w:after="200"/>
      </w:pPr>
    </w:p>
    <w:p>
      <w:pPr>
        <w:pStyle w:val="Heading1"/>
        <w:spacing w:after="160" w:before="360"/>
      </w:pPr>
      <w:r>
        <w:t xml:space="preserve">1. Problem Statement</w:t>
      </w:r>
    </w:p>
    <w:p>
      <w:pPr>
        <w:spacing w:after="120"/>
      </w:pPr>
      <w:r>
        <w:t xml:space="preserve">Open-source contributors routinely abandon potential contributions before writing a single line of code, not because they lack skill, but because unfamiliar codebases have a high orientation cost. A developer finds a promising repository, opens it, and is met with an inconsistent README, no map of the folder structure, and no sense of where the important logic lives. Working out the basics — what does this project do, what is it built with, where do I even start reading — can take thirty to sixty minutes before a contributor even knows whether they want to invest further effort. That friction quietly filters out qualified contributors before they ever open a pull request.</w:t>
      </w:r>
    </w:p>
    <w:p>
      <w:pPr>
        <w:spacing w:after="120"/>
      </w:pPr>
      <w:r>
        <w:t xml:space="preserve">CodeMap removes that friction. A contributor pastes a public repository link and receives, in under two minutes, a clear, structured onboarding report that answers exactly those orientation questions — without needing to open the repository first.</w:t>
      </w:r>
    </w:p>
    <w:p>
      <w:pPr>
        <w:pStyle w:val="Heading1"/>
        <w:spacing w:after="160" w:before="360"/>
      </w:pPr>
      <w:r>
        <w:t xml:space="preserve">2. Target Users</w:t>
      </w:r>
    </w:p>
    <w:p>
      <w:pPr>
        <w:pStyle w:val="Heading2"/>
        <w:spacing w:after="120" w:before="240"/>
      </w:pPr>
      <w:r>
        <w:t xml:space="preserve">Primary persona: The Curious Contributor</w:t>
      </w:r>
    </w:p>
    <w:p>
      <w:pPr>
        <w:spacing w:after="120"/>
      </w:pPr>
      <w:r>
        <w:t xml:space="preserve">A developer who wants to contribute to open-source projects — for learning, portfolio-building, or community involvement — and regularly evaluates unfamiliar repositories to decide whether and how to get involved. They are comfortable reading code but resent spending most of their available time on orientation rather than on the actual contribution.</w:t>
      </w:r>
    </w:p>
    <w:p>
      <w:pPr>
        <w:spacing w:after="120"/>
      </w:pPr>
      <w:r>
        <w:rPr>
          <w:b/>
          <w:bCs/>
        </w:rPr>
        <w:t xml:space="preserve">Their current alternatives, and why each falls short:</w:t>
      </w:r>
    </w:p>
    <w:p>
      <w:pPr>
        <w:pStyle w:val="ListParagraph"/>
        <w:numPr>
          <w:ilvl w:val="0"/>
          <w:numId w:val="2"/>
        </w:numPr>
        <w:spacing w:after="60"/>
      </w:pPr>
      <w:r>
        <w:rPr>
          <w:b w:val="false"/>
          <w:bCs w:val="false"/>
        </w:rPr>
        <w:t xml:space="preserve">Reading the README — often outdated, incomplete, or written for users rather than contributors.</w:t>
      </w:r>
    </w:p>
    <w:p>
      <w:pPr>
        <w:pStyle w:val="ListParagraph"/>
        <w:numPr>
          <w:ilvl w:val="0"/>
          <w:numId w:val="2"/>
        </w:numPr>
        <w:spacing w:after="60"/>
      </w:pPr>
      <w:r>
        <w:rPr>
          <w:b w:val="false"/>
          <w:bCs w:val="false"/>
        </w:rPr>
        <w:t xml:space="preserve">Manually browsing the file tree — slow, and offers no explanation of why the structure looks the way it does.</w:t>
      </w:r>
    </w:p>
    <w:p>
      <w:pPr>
        <w:pStyle w:val="ListParagraph"/>
        <w:numPr>
          <w:ilvl w:val="0"/>
          <w:numId w:val="2"/>
        </w:numPr>
        <w:spacing w:after="60"/>
      </w:pPr>
      <w:r>
        <w:rPr>
          <w:b w:val="false"/>
          <w:bCs w:val="false"/>
        </w:rPr>
        <w:t xml:space="preserve">Asking in the project's chat/Discord — depends on maintainer availability and response time.</w:t>
      </w:r>
    </w:p>
    <w:p>
      <w:pPr>
        <w:pStyle w:val="Heading1"/>
        <w:spacing w:after="160" w:before="360"/>
      </w:pPr>
      <w:r>
        <w:t xml:space="preserve">3. Core Product Loop</w:t>
      </w:r>
    </w:p>
    <w:p>
      <w:pPr>
        <w:spacing w:after="120"/>
      </w:pPr>
      <w:r>
        <w:t xml:space="preserve">The core loop is a single, linear flow with no account or login required:</w:t>
      </w:r>
    </w:p>
    <w:p>
      <w:pPr>
        <w:pStyle w:val="ListParagraph"/>
        <w:numPr>
          <w:ilvl w:val="0"/>
          <w:numId w:val="2"/>
        </w:numPr>
        <w:spacing w:after="60"/>
      </w:pPr>
      <w:r>
        <w:rPr>
          <w:b w:val="false"/>
          <w:bCs w:val="false"/>
        </w:rPr>
        <w:t xml:space="preserve">User visits the CodeMap web app.</w:t>
      </w:r>
    </w:p>
    <w:p>
      <w:pPr>
        <w:pStyle w:val="ListParagraph"/>
        <w:numPr>
          <w:ilvl w:val="0"/>
          <w:numId w:val="2"/>
        </w:numPr>
        <w:spacing w:after="60"/>
      </w:pPr>
      <w:r>
        <w:rPr>
          <w:b w:val="false"/>
          <w:bCs w:val="false"/>
        </w:rPr>
        <w:t xml:space="preserve">User pastes a public GitHub repository URL (JavaScript or Python project).</w:t>
      </w:r>
    </w:p>
    <w:p>
      <w:pPr>
        <w:pStyle w:val="ListParagraph"/>
        <w:numPr>
          <w:ilvl w:val="0"/>
          <w:numId w:val="2"/>
        </w:numPr>
        <w:spacing w:after="60"/>
      </w:pPr>
      <w:r>
        <w:rPr>
          <w:b w:val="false"/>
          <w:bCs w:val="false"/>
        </w:rPr>
        <w:t xml:space="preserve">User clicks “Generate Map.”</w:t>
      </w:r>
    </w:p>
    <w:p>
      <w:pPr>
        <w:pStyle w:val="ListParagraph"/>
        <w:numPr>
          <w:ilvl w:val="0"/>
          <w:numId w:val="2"/>
        </w:numPr>
        <w:spacing w:after="60"/>
      </w:pPr>
      <w:r>
        <w:rPr>
          <w:b w:val="false"/>
          <w:bCs w:val="false"/>
        </w:rPr>
        <w:t xml:space="preserve">The system fetches the repository’s file tree and a token-budgeted, curated set of key files: README, manifest files (e.g. package.json, requirements.txt), likely entry points, and additional source files sampled by size and location.</w:t>
      </w:r>
    </w:p>
    <w:p>
      <w:pPr>
        <w:pStyle w:val="ListParagraph"/>
        <w:numPr>
          <w:ilvl w:val="0"/>
          <w:numId w:val="2"/>
        </w:numPr>
        <w:spacing w:after="60"/>
      </w:pPr>
      <w:r>
        <w:rPr>
          <w:b w:val="false"/>
          <w:bCs w:val="false"/>
        </w:rPr>
        <w:t xml:space="preserve">The curated bundle is sent to Claude in a single, well-engineered synthesis request.</w:t>
      </w:r>
    </w:p>
    <w:p>
      <w:pPr>
        <w:pStyle w:val="ListParagraph"/>
        <w:numPr>
          <w:ilvl w:val="0"/>
          <w:numId w:val="2"/>
        </w:numPr>
        <w:spacing w:after="60"/>
      </w:pPr>
      <w:r>
        <w:rPr>
          <w:b w:val="false"/>
          <w:bCs w:val="false"/>
        </w:rPr>
        <w:t xml:space="preserve">Claude returns a structured onboarding report.</w:t>
      </w:r>
    </w:p>
    <w:p>
      <w:pPr>
        <w:pStyle w:val="ListParagraph"/>
        <w:numPr>
          <w:ilvl w:val="0"/>
          <w:numId w:val="2"/>
        </w:numPr>
        <w:spacing w:after="60"/>
      </w:pPr>
      <w:r>
        <w:rPr>
          <w:b w:val="false"/>
          <w:bCs w:val="false"/>
        </w:rPr>
        <w:t xml:space="preserve">The report renders in the browser across five sections: Project Overview, Tech Stack, Folder Structure Explained, Where to Start Reading, and Setup Instructions.</w:t>
      </w:r>
    </w:p>
    <w:p>
      <w:pPr>
        <w:pStyle w:val="ListParagraph"/>
        <w:numPr>
          <w:ilvl w:val="0"/>
          <w:numId w:val="2"/>
        </w:numPr>
        <w:spacing w:after="60"/>
      </w:pPr>
      <w:r>
        <w:rPr>
          <w:b w:val="false"/>
          <w:bCs w:val="false"/>
        </w:rPr>
        <w:t xml:space="preserve">The user now understands the project well enough to decide whether and how to contribute — without cloning or opening the actual repository.</w:t>
      </w:r>
    </w:p>
    <w:p>
      <w:pPr>
        <w:pStyle w:val="Heading1"/>
        <w:spacing w:after="160" w:before="360"/>
      </w:pPr>
      <w:r>
        <w:t xml:space="preserve">4. User Stories</w:t>
      </w:r>
    </w:p>
    <w:p>
      <w:pPr>
        <w:pStyle w:val="ListParagraph"/>
        <w:numPr>
          <w:ilvl w:val="0"/>
          <w:numId w:val="2"/>
        </w:numPr>
        <w:spacing w:after="60"/>
      </w:pPr>
      <w:r>
        <w:rPr>
          <w:b w:val="false"/>
          <w:bCs w:val="false"/>
        </w:rPr>
        <w:t xml:space="preserve">As a contributor, I want to paste a repo link and immediately understand what the project does, so I can decide if it interests me.</w:t>
      </w:r>
    </w:p>
    <w:p>
      <w:pPr>
        <w:pStyle w:val="ListParagraph"/>
        <w:numPr>
          <w:ilvl w:val="0"/>
          <w:numId w:val="2"/>
        </w:numPr>
        <w:spacing w:after="60"/>
      </w:pPr>
      <w:r>
        <w:rPr>
          <w:b w:val="false"/>
          <w:bCs w:val="false"/>
        </w:rPr>
        <w:t xml:space="preserve">As a contributor, I want to see the tech stack at a glance, so I can judge whether I have the right skills to help.</w:t>
      </w:r>
    </w:p>
    <w:p>
      <w:pPr>
        <w:pStyle w:val="ListParagraph"/>
        <w:numPr>
          <w:ilvl w:val="0"/>
          <w:numId w:val="2"/>
        </w:numPr>
        <w:spacing w:after="60"/>
      </w:pPr>
      <w:r>
        <w:rPr>
          <w:b w:val="false"/>
          <w:bCs w:val="false"/>
        </w:rPr>
        <w:t xml:space="preserve">As a contributor, I want the folder structure explained in plain English, so I don’t have to reverse-engineer the layout myself.</w:t>
      </w:r>
    </w:p>
    <w:p>
      <w:pPr>
        <w:pStyle w:val="ListParagraph"/>
        <w:numPr>
          <w:ilvl w:val="0"/>
          <w:numId w:val="2"/>
        </w:numPr>
        <w:spacing w:after="60"/>
      </w:pPr>
      <w:r>
        <w:rPr>
          <w:b w:val="false"/>
          <w:bCs w:val="false"/>
        </w:rPr>
        <w:t xml:space="preserve">As a contributor, I want to know the best entry points into the code, so I know where to start reading.</w:t>
      </w:r>
    </w:p>
    <w:p>
      <w:pPr>
        <w:pStyle w:val="ListParagraph"/>
        <w:numPr>
          <w:ilvl w:val="0"/>
          <w:numId w:val="2"/>
        </w:numPr>
        <w:spacing w:after="60"/>
      </w:pPr>
      <w:r>
        <w:rPr>
          <w:b w:val="false"/>
          <w:bCs w:val="false"/>
        </w:rPr>
        <w:t xml:space="preserve">As a contributor, I want setup instructions summarized clearly, so I can run the project locally without digging through a possibly stale README.</w:t>
      </w:r>
    </w:p>
    <w:p>
      <w:pPr>
        <w:pStyle w:val="ListParagraph"/>
        <w:numPr>
          <w:ilvl w:val="0"/>
          <w:numId w:val="2"/>
        </w:numPr>
        <w:spacing w:after="60"/>
      </w:pPr>
      <w:r>
        <w:rPr>
          <w:b w:val="false"/>
          <w:bCs w:val="false"/>
        </w:rPr>
        <w:t xml:space="preserve">As a user, I want a clear error message when I submit an invalid URL, a private repo, or an inaccessible repo, so I understand what went wrong.</w:t>
      </w:r>
    </w:p>
    <w:p>
      <w:pPr>
        <w:pStyle w:val="ListParagraph"/>
        <w:numPr>
          <w:ilvl w:val="0"/>
          <w:numId w:val="2"/>
        </w:numPr>
        <w:spacing w:after="60"/>
      </w:pPr>
      <w:r>
        <w:rPr>
          <w:b w:val="false"/>
          <w:bCs w:val="false"/>
        </w:rPr>
        <w:t xml:space="preserve">As a user, I want visible progress while the report generates, so I know the system is working and not stuck.</w:t>
      </w:r>
    </w:p>
    <w:p>
      <w:pPr>
        <w:pStyle w:val="Heading1"/>
        <w:spacing w:after="160" w:before="360"/>
      </w:pPr>
      <w:r>
        <w:t xml:space="preserve">5. 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7820"/>
      </w:tblGrid>
      <w:tr>
        <w:trPr>
          <w:tblHeader/>
        </w:trPr>
        <w:tc>
          <w:tcPr>
            <w:tcW w:type="dxa" w:w="1200"/>
            <w:shd w:fill="1E2761" w:val="clear"/>
          </w:tcPr>
          <w:p>
            <w:r>
              <w:rPr>
                <w:b/>
                <w:bCs/>
                <w:color w:val="FFFFFF"/>
                <w:sz w:val="20"/>
                <w:szCs w:val="20"/>
              </w:rPr>
              <w:t xml:space="preserve">ID</w:t>
            </w:r>
          </w:p>
        </w:tc>
        <w:tc>
          <w:tcPr>
            <w:tcW w:type="dxa" w:w="7820"/>
            <w:shd w:fill="1E2761" w:val="clear"/>
          </w:tcPr>
          <w:p>
            <w:r>
              <w:rPr>
                <w:b/>
                <w:bCs/>
                <w:color w:val="FFFFFF"/>
                <w:sz w:val="20"/>
                <w:szCs w:val="20"/>
              </w:rPr>
              <w:t xml:space="preserve">Requirement</w:t>
            </w:r>
          </w:p>
        </w:tc>
      </w:tr>
      <w:tr>
        <w:tc>
          <w:tcPr>
            <w:tcW w:type="dxa" w:w="1200"/>
          </w:tcPr>
          <w:p>
            <w:r>
              <w:rPr>
                <w:b w:val="false"/>
                <w:bCs w:val="false"/>
                <w:color w:val="000000"/>
                <w:sz w:val="20"/>
                <w:szCs w:val="20"/>
              </w:rPr>
              <w:t xml:space="preserve">FR1</w:t>
            </w:r>
          </w:p>
        </w:tc>
        <w:tc>
          <w:tcPr>
            <w:tcW w:type="dxa" w:w="7820"/>
          </w:tcPr>
          <w:p>
            <w:r>
              <w:rPr>
                <w:b w:val="false"/>
                <w:bCs w:val="false"/>
                <w:color w:val="000000"/>
                <w:sz w:val="20"/>
                <w:szCs w:val="20"/>
              </w:rPr>
              <w:t xml:space="preserve">Accept a public GitHub repository URL via a text input field.</w:t>
            </w:r>
          </w:p>
        </w:tc>
      </w:tr>
      <w:tr>
        <w:tc>
          <w:tcPr>
            <w:tcW w:type="dxa" w:w="1200"/>
          </w:tcPr>
          <w:p>
            <w:r>
              <w:rPr>
                <w:b w:val="false"/>
                <w:bCs w:val="false"/>
                <w:color w:val="000000"/>
                <w:sz w:val="20"/>
                <w:szCs w:val="20"/>
              </w:rPr>
              <w:t xml:space="preserve">FR2</w:t>
            </w:r>
          </w:p>
        </w:tc>
        <w:tc>
          <w:tcPr>
            <w:tcW w:type="dxa" w:w="7820"/>
          </w:tcPr>
          <w:p>
            <w:r>
              <w:rPr>
                <w:b w:val="false"/>
                <w:bCs w:val="false"/>
                <w:color w:val="000000"/>
                <w:sz w:val="20"/>
                <w:szCs w:val="20"/>
              </w:rPr>
              <w:t xml:space="preserve">Validate URL format and confirm the repository is publicly accessible before processing.</w:t>
            </w:r>
          </w:p>
        </w:tc>
      </w:tr>
      <w:tr>
        <w:tc>
          <w:tcPr>
            <w:tcW w:type="dxa" w:w="1200"/>
          </w:tcPr>
          <w:p>
            <w:r>
              <w:rPr>
                <w:b w:val="false"/>
                <w:bCs w:val="false"/>
                <w:color w:val="000000"/>
                <w:sz w:val="20"/>
                <w:szCs w:val="20"/>
              </w:rPr>
              <w:t xml:space="preserve">FR3</w:t>
            </w:r>
          </w:p>
        </w:tc>
        <w:tc>
          <w:tcPr>
            <w:tcW w:type="dxa" w:w="7820"/>
          </w:tcPr>
          <w:p>
            <w:r>
              <w:rPr>
                <w:b w:val="false"/>
                <w:bCs w:val="false"/>
                <w:color w:val="000000"/>
                <w:sz w:val="20"/>
                <w:szCs w:val="20"/>
              </w:rPr>
              <w:t xml:space="preserve">Fetch the repository's file tree via the GitHub API.</w:t>
            </w:r>
          </w:p>
        </w:tc>
      </w:tr>
      <w:tr>
        <w:tc>
          <w:tcPr>
            <w:tcW w:type="dxa" w:w="1200"/>
          </w:tcPr>
          <w:p>
            <w:r>
              <w:rPr>
                <w:b w:val="false"/>
                <w:bCs w:val="false"/>
                <w:color w:val="000000"/>
                <w:sz w:val="20"/>
                <w:szCs w:val="20"/>
              </w:rPr>
              <w:t xml:space="preserve">FR4</w:t>
            </w:r>
          </w:p>
        </w:tc>
        <w:tc>
          <w:tcPr>
            <w:tcW w:type="dxa" w:w="7820"/>
          </w:tcPr>
          <w:p>
            <w:r>
              <w:rPr>
                <w:b w:val="false"/>
                <w:bCs w:val="false"/>
                <w:color w:val="000000"/>
                <w:sz w:val="20"/>
                <w:szCs w:val="20"/>
              </w:rPr>
              <w:t xml:space="preserve">Detect the primary language. JavaScript and Python are fully supported in v1.0; other languages may still produce a best-effort result but are not guaranteed and are flagged as unsupported in the UI.</w:t>
            </w:r>
          </w:p>
        </w:tc>
      </w:tr>
      <w:tr>
        <w:tc>
          <w:tcPr>
            <w:tcW w:type="dxa" w:w="1200"/>
          </w:tcPr>
          <w:p>
            <w:r>
              <w:rPr>
                <w:b w:val="false"/>
                <w:bCs w:val="false"/>
                <w:color w:val="000000"/>
                <w:sz w:val="20"/>
                <w:szCs w:val="20"/>
              </w:rPr>
              <w:t xml:space="preserve">FR5</w:t>
            </w:r>
          </w:p>
        </w:tc>
        <w:tc>
          <w:tcPr>
            <w:tcW w:type="dxa" w:w="7820"/>
          </w:tcPr>
          <w:p>
            <w:r>
              <w:rPr>
                <w:b w:val="false"/>
                <w:bCs w:val="false"/>
                <w:color w:val="000000"/>
                <w:sz w:val="20"/>
                <w:szCs w:val="20"/>
              </w:rPr>
              <w:t xml:space="preserve">Fetch and prioritize key files: README, manifest files (package.json / requirements.txt / pyproject.toml), likely entry points, and additional source files sampled by size and folder depth.</w:t>
            </w:r>
          </w:p>
        </w:tc>
      </w:tr>
      <w:tr>
        <w:tc>
          <w:tcPr>
            <w:tcW w:type="dxa" w:w="1200"/>
          </w:tcPr>
          <w:p>
            <w:r>
              <w:rPr>
                <w:b w:val="false"/>
                <w:bCs w:val="false"/>
                <w:color w:val="000000"/>
                <w:sz w:val="20"/>
                <w:szCs w:val="20"/>
              </w:rPr>
              <w:t xml:space="preserve">FR6</w:t>
            </w:r>
          </w:p>
        </w:tc>
        <w:tc>
          <w:tcPr>
            <w:tcW w:type="dxa" w:w="7820"/>
          </w:tcPr>
          <w:p>
            <w:r>
              <w:rPr>
                <w:b w:val="false"/>
                <w:bCs w:val="false"/>
                <w:color w:val="000000"/>
                <w:sz w:val="20"/>
                <w:szCs w:val="20"/>
              </w:rPr>
              <w:t xml:space="preserve">Enforce a token budget for content sent to Claude. When a repository exceeds the budget, apply smart sampling rather than arbitrary truncation or outright rejection.</w:t>
            </w:r>
          </w:p>
        </w:tc>
      </w:tr>
      <w:tr>
        <w:tc>
          <w:tcPr>
            <w:tcW w:type="dxa" w:w="1200"/>
          </w:tcPr>
          <w:p>
            <w:r>
              <w:rPr>
                <w:b w:val="false"/>
                <w:bCs w:val="false"/>
                <w:color w:val="000000"/>
                <w:sz w:val="20"/>
                <w:szCs w:val="20"/>
              </w:rPr>
              <w:t xml:space="preserve">FR7</w:t>
            </w:r>
          </w:p>
        </w:tc>
        <w:tc>
          <w:tcPr>
            <w:tcW w:type="dxa" w:w="7820"/>
          </w:tcPr>
          <w:p>
            <w:r>
              <w:rPr>
                <w:b w:val="false"/>
                <w:bCs w:val="false"/>
                <w:color w:val="000000"/>
                <w:sz w:val="20"/>
                <w:szCs w:val="20"/>
              </w:rPr>
              <w:t xml:space="preserve">Send the curated file bundle to Claude in a single synthesis request using a structured prompt requesting all five report sections.</w:t>
            </w:r>
          </w:p>
        </w:tc>
      </w:tr>
      <w:tr>
        <w:tc>
          <w:tcPr>
            <w:tcW w:type="dxa" w:w="1200"/>
          </w:tcPr>
          <w:p>
            <w:r>
              <w:rPr>
                <w:b w:val="false"/>
                <w:bCs w:val="false"/>
                <w:color w:val="000000"/>
                <w:sz w:val="20"/>
                <w:szCs w:val="20"/>
              </w:rPr>
              <w:t xml:space="preserve">FR8</w:t>
            </w:r>
          </w:p>
        </w:tc>
        <w:tc>
          <w:tcPr>
            <w:tcW w:type="dxa" w:w="7820"/>
          </w:tcPr>
          <w:p>
            <w:r>
              <w:rPr>
                <w:b w:val="false"/>
                <w:bCs w:val="false"/>
                <w:color w:val="000000"/>
                <w:sz w:val="20"/>
                <w:szCs w:val="20"/>
              </w:rPr>
              <w:t xml:space="preserve">Parse Claude's structured response and render it as a clean, readable report in the browser.</w:t>
            </w:r>
          </w:p>
        </w:tc>
      </w:tr>
      <w:tr>
        <w:tc>
          <w:tcPr>
            <w:tcW w:type="dxa" w:w="1200"/>
          </w:tcPr>
          <w:p>
            <w:r>
              <w:rPr>
                <w:b w:val="false"/>
                <w:bCs w:val="false"/>
                <w:color w:val="000000"/>
                <w:sz w:val="20"/>
                <w:szCs w:val="20"/>
              </w:rPr>
              <w:t xml:space="preserve">FR9</w:t>
            </w:r>
          </w:p>
        </w:tc>
        <w:tc>
          <w:tcPr>
            <w:tcW w:type="dxa" w:w="7820"/>
          </w:tcPr>
          <w:p>
            <w:r>
              <w:rPr>
                <w:b w:val="false"/>
                <w:bCs w:val="false"/>
                <w:color w:val="000000"/>
                <w:sz w:val="20"/>
                <w:szCs w:val="20"/>
              </w:rPr>
              <w:t xml:space="preserve">Handle and clearly display error states: invalid URL, private/inaccessible repo, GitHub rate limit exceeded, Claude API failure or timeout.</w:t>
            </w:r>
          </w:p>
        </w:tc>
      </w:tr>
      <w:tr>
        <w:tc>
          <w:tcPr>
            <w:tcW w:type="dxa" w:w="1200"/>
          </w:tcPr>
          <w:p>
            <w:r>
              <w:rPr>
                <w:b w:val="false"/>
                <w:bCs w:val="false"/>
                <w:color w:val="000000"/>
                <w:sz w:val="20"/>
                <w:szCs w:val="20"/>
              </w:rPr>
              <w:t xml:space="preserve">FR10</w:t>
            </w:r>
          </w:p>
        </w:tc>
        <w:tc>
          <w:tcPr>
            <w:tcW w:type="dxa" w:w="7820"/>
          </w:tcPr>
          <w:p>
            <w:r>
              <w:rPr>
                <w:b w:val="false"/>
                <w:bCs w:val="false"/>
                <w:color w:val="000000"/>
                <w:sz w:val="20"/>
                <w:szCs w:val="20"/>
              </w:rPr>
              <w:t xml:space="preserve">Display a loading/progress indicator for the duration of report generation.</w:t>
            </w:r>
          </w:p>
        </w:tc>
      </w:tr>
      <w:tr>
        <w:tc>
          <w:tcPr>
            <w:tcW w:type="dxa" w:w="1200"/>
          </w:tcPr>
          <w:p>
            <w:r>
              <w:rPr>
                <w:b w:val="false"/>
                <w:bCs w:val="false"/>
                <w:color w:val="000000"/>
                <w:sz w:val="20"/>
                <w:szCs w:val="20"/>
              </w:rPr>
              <w:t xml:space="preserve">FR11 (stretch)</w:t>
            </w:r>
          </w:p>
        </w:tc>
        <w:tc>
          <w:tcPr>
            <w:tcW w:type="dxa" w:w="7820"/>
          </w:tcPr>
          <w:p>
            <w:r>
              <w:rPr>
                <w:b w:val="false"/>
                <w:bCs w:val="false"/>
                <w:color w:val="000000"/>
                <w:sz w:val="20"/>
                <w:szCs w:val="20"/>
              </w:rPr>
              <w:t xml:space="preserve">Fetch open issues labeled “good first issue” / “help wanted” and suggest relevant files for each, based on the codebase context already gathered.</w:t>
            </w:r>
          </w:p>
        </w:tc>
      </w:tr>
      <w:tr>
        <w:tc>
          <w:tcPr>
            <w:tcW w:type="dxa" w:w="1200"/>
          </w:tcPr>
          <w:p>
            <w:r>
              <w:rPr>
                <w:b w:val="false"/>
                <w:bCs w:val="false"/>
                <w:color w:val="000000"/>
                <w:sz w:val="20"/>
                <w:szCs w:val="20"/>
              </w:rPr>
              <w:t xml:space="preserve">FR12 (stretch)</w:t>
            </w:r>
          </w:p>
        </w:tc>
        <w:tc>
          <w:tcPr>
            <w:tcW w:type="dxa" w:w="7820"/>
          </w:tcPr>
          <w:p>
            <w:r>
              <w:rPr>
                <w:b w:val="false"/>
                <w:bCs w:val="false"/>
                <w:color w:val="000000"/>
                <w:sz w:val="20"/>
                <w:szCs w:val="20"/>
              </w:rPr>
              <w:t xml:space="preserve">Generate a visual architecture diagram (e.g. a rendered Mermaid diagram) of how folders/modules connect.</w:t>
            </w:r>
          </w:p>
        </w:tc>
      </w:tr>
      <w:tr>
        <w:tc>
          <w:tcPr>
            <w:tcW w:type="dxa" w:w="1200"/>
          </w:tcPr>
          <w:p>
            <w:r>
              <w:rPr>
                <w:b w:val="false"/>
                <w:bCs w:val="false"/>
                <w:color w:val="000000"/>
                <w:sz w:val="20"/>
                <w:szCs w:val="20"/>
              </w:rPr>
              <w:t xml:space="preserve">FR13</w:t>
            </w:r>
          </w:p>
        </w:tc>
        <w:tc>
          <w:tcPr>
            <w:tcW w:type="dxa" w:w="7820"/>
          </w:tcPr>
          <w:p>
            <w:r>
              <w:rPr>
                <w:b w:val="false"/>
                <w:bCs w:val="false"/>
                <w:color w:val="000000"/>
                <w:sz w:val="20"/>
                <w:szCs w:val="20"/>
              </w:rPr>
              <w:t xml:space="preserve">Deploy the application to a publicly accessible URL.</w:t>
            </w:r>
          </w:p>
        </w:tc>
      </w:tr>
    </w:tbl>
    <w:p>
      <w:pPr>
        <w:pStyle w:val="Heading1"/>
        <w:spacing w:after="160" w:before="360"/>
      </w:pPr>
      <w:r>
        <w:t xml:space="preserve">6.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shd w:fill="1E2761" w:val="clear"/>
          </w:tcPr>
          <w:p>
            <w:r>
              <w:rPr>
                <w:b/>
                <w:bCs/>
                <w:color w:val="FFFFFF"/>
                <w:sz w:val="20"/>
                <w:szCs w:val="20"/>
              </w:rPr>
              <w:t xml:space="preserve">ID</w:t>
            </w:r>
          </w:p>
        </w:tc>
        <w:tc>
          <w:tcPr>
            <w:tcW w:type="dxa" w:w="7020"/>
            <w:shd w:fill="1E2761" w:val="clear"/>
          </w:tcPr>
          <w:p>
            <w:r>
              <w:rPr>
                <w:b/>
                <w:bCs/>
                <w:color w:val="FFFFFF"/>
                <w:sz w:val="20"/>
                <w:szCs w:val="20"/>
              </w:rPr>
              <w:t xml:space="preserve">Requirement</w:t>
            </w:r>
          </w:p>
        </w:tc>
      </w:tr>
      <w:tr>
        <w:tc>
          <w:tcPr>
            <w:tcW w:type="dxa" w:w="2000"/>
          </w:tcPr>
          <w:p>
            <w:r>
              <w:rPr>
                <w:b w:val="false"/>
                <w:bCs w:val="false"/>
                <w:color w:val="000000"/>
                <w:sz w:val="20"/>
                <w:szCs w:val="20"/>
              </w:rPr>
              <w:t xml:space="preserve">NFR1 – Performance</w:t>
            </w:r>
          </w:p>
        </w:tc>
        <w:tc>
          <w:tcPr>
            <w:tcW w:type="dxa" w:w="7020"/>
          </w:tcPr>
          <w:p>
            <w:r>
              <w:rPr>
                <w:b w:val="false"/>
                <w:bCs w:val="false"/>
                <w:color w:val="000000"/>
                <w:sz w:val="20"/>
                <w:szCs w:val="20"/>
              </w:rPr>
              <w:t xml:space="preserve">Report generation completes in under ~90 seconds for a typical repository (roughly under 500 files).</w:t>
            </w:r>
          </w:p>
        </w:tc>
      </w:tr>
      <w:tr>
        <w:tc>
          <w:tcPr>
            <w:tcW w:type="dxa" w:w="2000"/>
          </w:tcPr>
          <w:p>
            <w:r>
              <w:rPr>
                <w:b w:val="false"/>
                <w:bCs w:val="false"/>
                <w:color w:val="000000"/>
                <w:sz w:val="20"/>
                <w:szCs w:val="20"/>
              </w:rPr>
              <w:t xml:space="preserve">NFR2 – Reliability</w:t>
            </w:r>
          </w:p>
        </w:tc>
        <w:tc>
          <w:tcPr>
            <w:tcW w:type="dxa" w:w="7020"/>
          </w:tcPr>
          <w:p>
            <w:r>
              <w:rPr>
                <w:b w:val="false"/>
                <w:bCs w:val="false"/>
                <w:color w:val="000000"/>
                <w:sz w:val="20"/>
                <w:szCs w:val="20"/>
              </w:rPr>
              <w:t xml:space="preserve">The system degrades gracefully on large repositories — it never hangs indefinitely or crashes; timeouts are enforced.</w:t>
            </w:r>
          </w:p>
        </w:tc>
      </w:tr>
      <w:tr>
        <w:tc>
          <w:tcPr>
            <w:tcW w:type="dxa" w:w="2000"/>
          </w:tcPr>
          <w:p>
            <w:r>
              <w:rPr>
                <w:b w:val="false"/>
                <w:bCs w:val="false"/>
                <w:color w:val="000000"/>
                <w:sz w:val="20"/>
                <w:szCs w:val="20"/>
              </w:rPr>
              <w:t xml:space="preserve">NFR3 – Cost efficiency</w:t>
            </w:r>
          </w:p>
        </w:tc>
        <w:tc>
          <w:tcPr>
            <w:tcW w:type="dxa" w:w="7020"/>
          </w:tcPr>
          <w:p>
            <w:r>
              <w:rPr>
                <w:b w:val="false"/>
                <w:bCs w:val="false"/>
                <w:color w:val="000000"/>
                <w:sz w:val="20"/>
                <w:szCs w:val="20"/>
              </w:rPr>
              <w:t xml:space="preserve">v1.0 uses a single synthesis call per request rather than multiple expensive round trips, to keep API usage efficient.</w:t>
            </w:r>
          </w:p>
        </w:tc>
      </w:tr>
      <w:tr>
        <w:tc>
          <w:tcPr>
            <w:tcW w:type="dxa" w:w="2000"/>
          </w:tcPr>
          <w:p>
            <w:r>
              <w:rPr>
                <w:b w:val="false"/>
                <w:bCs w:val="false"/>
                <w:color w:val="000000"/>
                <w:sz w:val="20"/>
                <w:szCs w:val="20"/>
              </w:rPr>
              <w:t xml:space="preserve">NFR4 – Usability</w:t>
            </w:r>
          </w:p>
        </w:tc>
        <w:tc>
          <w:tcPr>
            <w:tcW w:type="dxa" w:w="7020"/>
          </w:tcPr>
          <w:p>
            <w:r>
              <w:rPr>
                <w:b w:val="false"/>
                <w:bCs w:val="false"/>
                <w:color w:val="000000"/>
                <w:sz w:val="20"/>
                <w:szCs w:val="20"/>
              </w:rPr>
              <w:t xml:space="preserve">No login or account creation is required to generate a report for a public repository.</w:t>
            </w:r>
          </w:p>
        </w:tc>
      </w:tr>
      <w:tr>
        <w:tc>
          <w:tcPr>
            <w:tcW w:type="dxa" w:w="2000"/>
          </w:tcPr>
          <w:p>
            <w:r>
              <w:rPr>
                <w:b w:val="false"/>
                <w:bCs w:val="false"/>
                <w:color w:val="000000"/>
                <w:sz w:val="20"/>
                <w:szCs w:val="20"/>
              </w:rPr>
              <w:t xml:space="preserve">NFR5 – Availability</w:t>
            </w:r>
          </w:p>
        </w:tc>
        <w:tc>
          <w:tcPr>
            <w:tcW w:type="dxa" w:w="7020"/>
          </w:tcPr>
          <w:p>
            <w:r>
              <w:rPr>
                <w:b w:val="false"/>
                <w:bCs w:val="false"/>
                <w:color w:val="000000"/>
                <w:sz w:val="20"/>
                <w:szCs w:val="20"/>
              </w:rPr>
              <w:t xml:space="preserve">The application is deployed and reachable at a public URL for the duration of review.</w:t>
            </w:r>
          </w:p>
        </w:tc>
      </w:tr>
      <w:tr>
        <w:tc>
          <w:tcPr>
            <w:tcW w:type="dxa" w:w="2000"/>
          </w:tcPr>
          <w:p>
            <w:r>
              <w:rPr>
                <w:b w:val="false"/>
                <w:bCs w:val="false"/>
                <w:color w:val="000000"/>
                <w:sz w:val="20"/>
                <w:szCs w:val="20"/>
              </w:rPr>
              <w:t xml:space="preserve">NFR6 – Groundedness</w:t>
            </w:r>
          </w:p>
        </w:tc>
        <w:tc>
          <w:tcPr>
            <w:tcW w:type="dxa" w:w="7020"/>
          </w:tcPr>
          <w:p>
            <w:r>
              <w:rPr>
                <w:b w:val="false"/>
                <w:bCs w:val="false"/>
                <w:color w:val="000000"/>
                <w:sz w:val="20"/>
                <w:szCs w:val="20"/>
              </w:rPr>
              <w:t xml:space="preserve">Report content must be grounded in actually-fetched file contents. The prompt explicitly discourages fabrication and instructs Claude to flag uncertainty when context is insufficient.</w:t>
            </w:r>
          </w:p>
        </w:tc>
      </w:tr>
      <w:tr>
        <w:tc>
          <w:tcPr>
            <w:tcW w:type="dxa" w:w="2000"/>
          </w:tcPr>
          <w:p>
            <w:r>
              <w:rPr>
                <w:b w:val="false"/>
                <w:bCs w:val="false"/>
                <w:color w:val="000000"/>
                <w:sz w:val="20"/>
                <w:szCs w:val="20"/>
              </w:rPr>
              <w:t xml:space="preserve">NFR7 – Maintainability</w:t>
            </w:r>
          </w:p>
        </w:tc>
        <w:tc>
          <w:tcPr>
            <w:tcW w:type="dxa" w:w="7020"/>
          </w:tcPr>
          <w:p>
            <w:r>
              <w:rPr>
                <w:b w:val="false"/>
                <w:bCs w:val="false"/>
                <w:color w:val="000000"/>
                <w:sz w:val="20"/>
                <w:szCs w:val="20"/>
              </w:rPr>
              <w:t xml:space="preserve">Code is organized clearly enough for a solo developer to extend it after the capstone (see Roadmap).</w:t>
            </w:r>
          </w:p>
        </w:tc>
      </w:tr>
    </w:tbl>
    <w:p>
      <w:pPr>
        <w:pStyle w:val="Heading1"/>
        <w:spacing w:after="160" w:before="360"/>
      </w:pPr>
      <w:r>
        <w:t xml:space="preserve">7. Constraints</w:t>
      </w:r>
    </w:p>
    <w:p>
      <w:pPr>
        <w:pStyle w:val="ListParagraph"/>
        <w:numPr>
          <w:ilvl w:val="0"/>
          <w:numId w:val="2"/>
        </w:numPr>
        <w:spacing w:after="60"/>
      </w:pPr>
      <w:r>
        <w:rPr>
          <w:b w:val="false"/>
          <w:bCs w:val="false"/>
        </w:rPr>
        <w:t xml:space="preserve">10-day sprint at roughly 3–4 hours/day (approximately 30–40 total hours), solo developer.</w:t>
      </w:r>
    </w:p>
    <w:p>
      <w:pPr>
        <w:pStyle w:val="ListParagraph"/>
        <w:numPr>
          <w:ilvl w:val="0"/>
          <w:numId w:val="2"/>
        </w:numPr>
        <w:spacing w:after="60"/>
      </w:pPr>
      <w:r>
        <w:rPr>
          <w:b w:val="false"/>
          <w:bCs w:val="false"/>
        </w:rPr>
        <w:t xml:space="preserve">No private repository support — GitHub OAuth and related auth complexity are explicitly excluded from v1.0.</w:t>
      </w:r>
    </w:p>
    <w:p>
      <w:pPr>
        <w:pStyle w:val="ListParagraph"/>
        <w:numPr>
          <w:ilvl w:val="0"/>
          <w:numId w:val="2"/>
        </w:numPr>
        <w:spacing w:after="60"/>
      </w:pPr>
      <w:r>
        <w:rPr>
          <w:b w:val="false"/>
          <w:bCs w:val="false"/>
        </w:rPr>
        <w:t xml:space="preserve">GitHub API rate limits: 60 requests/hour unauthenticated; a personal access token (set up on Day 3) raises this to 5,000/hour.</w:t>
      </w:r>
    </w:p>
    <w:p>
      <w:pPr>
        <w:pStyle w:val="ListParagraph"/>
        <w:numPr>
          <w:ilvl w:val="0"/>
          <w:numId w:val="2"/>
        </w:numPr>
        <w:spacing w:after="60"/>
      </w:pPr>
      <w:r>
        <w:rPr>
          <w:b w:val="false"/>
          <w:bCs w:val="false"/>
        </w:rPr>
        <w:t xml:space="preserve">Claude API usage is funded via free tier / provided credits — not a hard cost constraint, but usage should still be efficient by design (see NFR3).</w:t>
      </w:r>
    </w:p>
    <w:p>
      <w:pPr>
        <w:pStyle w:val="ListParagraph"/>
        <w:numPr>
          <w:ilvl w:val="0"/>
          <w:numId w:val="2"/>
        </w:numPr>
        <w:spacing w:after="60"/>
      </w:pPr>
      <w:r>
        <w:rPr>
          <w:b w:val="false"/>
          <w:bCs w:val="false"/>
        </w:rPr>
        <w:t xml:space="preserve">Full, guaranteed-quality language support is limited to JavaScript and Python in v1.0.</w:t>
      </w:r>
    </w:p>
    <w:p>
      <w:pPr>
        <w:pStyle w:val="ListParagraph"/>
        <w:numPr>
          <w:ilvl w:val="0"/>
          <w:numId w:val="2"/>
        </w:numPr>
        <w:spacing w:after="60"/>
      </w:pPr>
      <w:r>
        <w:rPr>
          <w:b w:val="false"/>
          <w:bCs w:val="false"/>
        </w:rPr>
        <w:t xml:space="preserve">No dedicated visual-design phase — today's scope intentionally excludes UI/tech-stack decisions, which are addressed on Day 2 (Design) and Day 3 (Setup).</w:t>
      </w:r>
    </w:p>
    <w:p>
      <w:pPr>
        <w:pStyle w:val="Heading1"/>
        <w:spacing w:after="160" w:before="360"/>
      </w:pPr>
      <w:r>
        <w:t xml:space="preserve">8. Risks &amp; Mitigations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800"/>
        <w:gridCol w:w="5220"/>
      </w:tblGrid>
      <w:tr>
        <w:trPr>
          <w:tblHeader/>
        </w:trPr>
        <w:tc>
          <w:tcPr>
            <w:tcW w:type="dxa" w:w="3800"/>
            <w:shd w:fill="1E2761" w:val="clear"/>
          </w:tcPr>
          <w:p>
            <w:r>
              <w:rPr>
                <w:b/>
                <w:bCs/>
                <w:color w:val="FFFFFF"/>
                <w:sz w:val="20"/>
                <w:szCs w:val="20"/>
              </w:rPr>
              <w:t xml:space="preserve">Risk</w:t>
            </w:r>
          </w:p>
        </w:tc>
        <w:tc>
          <w:tcPr>
            <w:tcW w:type="dxa" w:w="5220"/>
            <w:shd w:fill="1E2761" w:val="clear"/>
          </w:tcPr>
          <w:p>
            <w:r>
              <w:rPr>
                <w:b/>
                <w:bCs/>
                <w:color w:val="FFFFFF"/>
                <w:sz w:val="20"/>
                <w:szCs w:val="20"/>
              </w:rPr>
              <w:t xml:space="preserve">Mitigation</w:t>
            </w:r>
          </w:p>
        </w:tc>
      </w:tr>
      <w:tr>
        <w:tc>
          <w:tcPr>
            <w:tcW w:type="dxa" w:w="3800"/>
          </w:tcPr>
          <w:p>
            <w:r>
              <w:rPr>
                <w:b w:val="false"/>
                <w:bCs w:val="false"/>
                <w:color w:val="000000"/>
                <w:sz w:val="20"/>
                <w:szCs w:val="20"/>
              </w:rPr>
              <w:t xml:space="preserve">Large repos exceed the context/token budget.</w:t>
            </w:r>
          </w:p>
        </w:tc>
        <w:tc>
          <w:tcPr>
            <w:tcW w:type="dxa" w:w="5220"/>
          </w:tcPr>
          <w:p>
            <w:r>
              <w:rPr>
                <w:b w:val="false"/>
                <w:bCs w:val="false"/>
                <w:color w:val="000000"/>
                <w:sz w:val="20"/>
                <w:szCs w:val="20"/>
              </w:rPr>
              <w:t xml:space="preserve">Smart, token-budgeted sampling (FR6); test against a range of repo sizes on Day 7.</w:t>
            </w:r>
          </w:p>
        </w:tc>
      </w:tr>
      <w:tr>
        <w:tc>
          <w:tcPr>
            <w:tcW w:type="dxa" w:w="3800"/>
          </w:tcPr>
          <w:p>
            <w:r>
              <w:rPr>
                <w:b w:val="false"/>
                <w:bCs w:val="false"/>
                <w:color w:val="000000"/>
                <w:sz w:val="20"/>
                <w:szCs w:val="20"/>
              </w:rPr>
              <w:t xml:space="preserve">Hallucinated or generic output on unusual project structures.</w:t>
            </w:r>
          </w:p>
        </w:tc>
        <w:tc>
          <w:tcPr>
            <w:tcW w:type="dxa" w:w="5220"/>
          </w:tcPr>
          <w:p>
            <w:r>
              <w:rPr>
                <w:b w:val="false"/>
                <w:bCs w:val="false"/>
                <w:color w:val="000000"/>
                <w:sz w:val="20"/>
                <w:szCs w:val="20"/>
              </w:rPr>
              <w:t xml:space="preserve">Ground the prompt in actually-fetched content; instruct Claude to flag uncertainty rather than guess.</w:t>
            </w:r>
          </w:p>
        </w:tc>
      </w:tr>
      <w:tr>
        <w:tc>
          <w:tcPr>
            <w:tcW w:type="dxa" w:w="3800"/>
          </w:tcPr>
          <w:p>
            <w:r>
              <w:rPr>
                <w:b w:val="false"/>
                <w:bCs w:val="false"/>
                <w:color w:val="000000"/>
                <w:sz w:val="20"/>
                <w:szCs w:val="20"/>
              </w:rPr>
              <w:t xml:space="preserve">GitHub API rate limiting blocks a live demo mid-review.</w:t>
            </w:r>
          </w:p>
        </w:tc>
        <w:tc>
          <w:tcPr>
            <w:tcW w:type="dxa" w:w="5220"/>
          </w:tcPr>
          <w:p>
            <w:r>
              <w:rPr>
                <w:b w:val="false"/>
                <w:bCs w:val="false"/>
                <w:color w:val="000000"/>
                <w:sz w:val="20"/>
                <w:szCs w:val="20"/>
              </w:rPr>
              <w:t xml:space="preserve">Use an authenticated personal access token; keep a small set of known-good demo repos ready.</w:t>
            </w:r>
          </w:p>
        </w:tc>
      </w:tr>
      <w:tr>
        <w:tc>
          <w:tcPr>
            <w:tcW w:type="dxa" w:w="3800"/>
          </w:tcPr>
          <w:p>
            <w:r>
              <w:rPr>
                <w:b w:val="false"/>
                <w:bCs w:val="false"/>
                <w:color w:val="000000"/>
                <w:sz w:val="20"/>
                <w:szCs w:val="20"/>
              </w:rPr>
              <w:t xml:space="preserve">Stretch features quietly eat core build time.</w:t>
            </w:r>
          </w:p>
        </w:tc>
        <w:tc>
          <w:tcPr>
            <w:tcW w:type="dxa" w:w="5220"/>
          </w:tcPr>
          <w:p>
            <w:r>
              <w:rPr>
                <w:b w:val="false"/>
                <w:bCs w:val="false"/>
                <w:color w:val="000000"/>
                <w:sz w:val="20"/>
                <w:szCs w:val="20"/>
              </w:rPr>
              <w:t xml:space="preserve">Explicit cut list (Section 9); core report must be working before any stretch feature is touched.</w:t>
            </w:r>
          </w:p>
        </w:tc>
      </w:tr>
      <w:tr>
        <w:tc>
          <w:tcPr>
            <w:tcW w:type="dxa" w:w="3800"/>
          </w:tcPr>
          <w:p>
            <w:r>
              <w:rPr>
                <w:b w:val="false"/>
                <w:bCs w:val="false"/>
                <w:color w:val="000000"/>
                <w:sz w:val="20"/>
                <w:szCs w:val="20"/>
              </w:rPr>
              <w:t xml:space="preserve">Weak or missing README/docs in target repos.</w:t>
            </w:r>
          </w:p>
        </w:tc>
        <w:tc>
          <w:tcPr>
            <w:tcW w:type="dxa" w:w="5220"/>
          </w:tcPr>
          <w:p>
            <w:r>
              <w:rPr>
                <w:b w:val="false"/>
                <w:bCs w:val="false"/>
                <w:color w:val="000000"/>
                <w:sz w:val="20"/>
                <w:szCs w:val="20"/>
              </w:rPr>
              <w:t xml:space="preserve">Prompt instructs Claude to infer from code structure when docs are thin, and to say so explicitly.</w:t>
            </w:r>
          </w:p>
        </w:tc>
      </w:tr>
      <w:tr>
        <w:tc>
          <w:tcPr>
            <w:tcW w:type="dxa" w:w="3800"/>
          </w:tcPr>
          <w:p>
            <w:r>
              <w:rPr>
                <w:b w:val="false"/>
                <w:bCs w:val="false"/>
                <w:color w:val="000000"/>
                <w:sz w:val="20"/>
                <w:szCs w:val="20"/>
              </w:rPr>
              <w:t xml:space="preserve">Deployment issues surface late in the sprint.</w:t>
            </w:r>
          </w:p>
        </w:tc>
        <w:tc>
          <w:tcPr>
            <w:tcW w:type="dxa" w:w="5220"/>
          </w:tcPr>
          <w:p>
            <w:r>
              <w:rPr>
                <w:b w:val="false"/>
                <w:bCs w:val="false"/>
                <w:color w:val="000000"/>
                <w:sz w:val="20"/>
                <w:szCs w:val="20"/>
              </w:rPr>
              <w:t xml:space="preserve">Deploy a minimal working skeleton by Day 5 and iterate on a live URL rather than deploying only at the end.</w:t>
            </w:r>
          </w:p>
        </w:tc>
      </w:tr>
      <w:tr>
        <w:tc>
          <w:tcPr>
            <w:tcW w:type="dxa" w:w="3800"/>
          </w:tcPr>
          <w:p>
            <w:r>
              <w:rPr>
                <w:b w:val="false"/>
                <w:bCs w:val="false"/>
                <w:color w:val="000000"/>
                <w:sz w:val="20"/>
                <w:szCs w:val="20"/>
              </w:rPr>
              <w:t xml:space="preserve">Time pressure leads to rushed or skipped testing.</w:t>
            </w:r>
          </w:p>
        </w:tc>
        <w:tc>
          <w:tcPr>
            <w:tcW w:type="dxa" w:w="5220"/>
          </w:tcPr>
          <w:p>
            <w:r>
              <w:rPr>
                <w:b w:val="false"/>
                <w:bCs w:val="false"/>
                <w:color w:val="000000"/>
                <w:sz w:val="20"/>
                <w:szCs w:val="20"/>
              </w:rPr>
              <w:t xml:space="preserve">A dedicated testing day (Day 7) is built into the Sprint Workbook and is not optional.</w:t>
            </w:r>
          </w:p>
        </w:tc>
      </w:tr>
    </w:tbl>
    <w:p>
      <w:pPr>
        <w:pStyle w:val="Heading1"/>
        <w:spacing w:after="160" w:before="360"/>
      </w:pPr>
      <w:r>
        <w:t xml:space="preserve">9. Features to Cut if Time Runs Short</w:t>
      </w:r>
    </w:p>
    <w:p>
      <w:pPr>
        <w:spacing w:after="120"/>
      </w:pPr>
      <w:r>
        <w:rPr>
          <w:i/>
          <w:iCs/>
        </w:rPr>
        <w:t xml:space="preserve">If the schedule slips, cut in this exact order. The five core report sections and a live public deployment are never cut — they are v1.0's non-negotiable minimum.</w:t>
      </w:r>
    </w:p>
    <w:p>
      <w:pPr>
        <w:pStyle w:val="ListParagraph"/>
        <w:numPr>
          <w:ilvl w:val="0"/>
          <w:numId w:val="2"/>
        </w:numPr>
        <w:spacing w:after="60"/>
      </w:pPr>
      <w:r>
        <w:rPr>
          <w:b w:val="false"/>
          <w:bCs w:val="false"/>
        </w:rPr>
        <w:t xml:space="preserve">1. “Good first issue” → relevant file mapping (FR11).</w:t>
      </w:r>
    </w:p>
    <w:p>
      <w:pPr>
        <w:pStyle w:val="ListParagraph"/>
        <w:numPr>
          <w:ilvl w:val="0"/>
          <w:numId w:val="2"/>
        </w:numPr>
        <w:spacing w:after="60"/>
      </w:pPr>
      <w:r>
        <w:rPr>
          <w:b w:val="false"/>
          <w:bCs w:val="false"/>
        </w:rPr>
        <w:t xml:space="preserve">2. Visual architecture diagram (FR12).</w:t>
      </w:r>
    </w:p>
    <w:p>
      <w:pPr>
        <w:pStyle w:val="ListParagraph"/>
        <w:numPr>
          <w:ilvl w:val="0"/>
          <w:numId w:val="2"/>
        </w:numPr>
        <w:spacing w:after="60"/>
      </w:pPr>
      <w:r>
        <w:rPr>
          <w:b w:val="false"/>
          <w:bCs w:val="false"/>
        </w:rPr>
        <w:t xml:space="preserve">3. Second supported language — fall back to JavaScript-only or Python-only.</w:t>
      </w:r>
    </w:p>
    <w:p>
      <w:pPr>
        <w:pStyle w:val="ListParagraph"/>
        <w:numPr>
          <w:ilvl w:val="0"/>
          <w:numId w:val="2"/>
        </w:numPr>
        <w:spacing w:after="60"/>
      </w:pPr>
      <w:r>
        <w:rPr>
          <w:b w:val="false"/>
          <w:bCs w:val="false"/>
        </w:rPr>
        <w:t xml:space="preserve">4. UI visual polish — keep the interface plain and functional rather than beautifully styled.</w:t>
      </w:r>
    </w:p>
    <w:p>
      <w:pPr>
        <w:pStyle w:val="Heading1"/>
        <w:spacing w:after="160" w:before="360"/>
      </w:pPr>
      <w:r>
        <w:t xml:space="preserve">10. v1.0 Scope Summary</w:t>
      </w:r>
    </w:p>
    <w:p>
      <w:pPr>
        <w:pStyle w:val="ListParagraph"/>
        <w:numPr>
          <w:ilvl w:val="0"/>
          <w:numId w:val="2"/>
        </w:numPr>
        <w:spacing w:after="60"/>
      </w:pPr>
      <w:r>
        <w:rPr>
          <w:b/>
          <w:bCs/>
        </w:rPr>
        <w:t xml:space="preserve">Public GitHub repositories only — JavaScript or Python.</w:t>
      </w:r>
    </w:p>
    <w:p>
      <w:pPr>
        <w:pStyle w:val="ListParagraph"/>
        <w:numPr>
          <w:ilvl w:val="0"/>
          <w:numId w:val="2"/>
        </w:numPr>
        <w:spacing w:after="60"/>
      </w:pPr>
      <w:r>
        <w:rPr>
          <w:b/>
          <w:bCs/>
        </w:rPr>
        <w:t xml:space="preserve">Five-section onboarding report: Project Overview, Tech Stack, Folder Structure Explained, Where to Start Reading, Setup Instructions.</w:t>
      </w:r>
    </w:p>
    <w:p>
      <w:pPr>
        <w:pStyle w:val="ListParagraph"/>
        <w:numPr>
          <w:ilvl w:val="0"/>
          <w:numId w:val="2"/>
        </w:numPr>
        <w:spacing w:after="60"/>
      </w:pPr>
      <w:r>
        <w:rPr>
          <w:b/>
          <w:bCs/>
        </w:rPr>
        <w:t xml:space="preserve">Smart, token-budgeted sampling for large repositories.</w:t>
      </w:r>
    </w:p>
    <w:p>
      <w:pPr>
        <w:pStyle w:val="ListParagraph"/>
        <w:numPr>
          <w:ilvl w:val="0"/>
          <w:numId w:val="2"/>
        </w:numPr>
        <w:spacing w:after="60"/>
      </w:pPr>
      <w:r>
        <w:rPr>
          <w:b/>
          <w:bCs/>
        </w:rPr>
        <w:t xml:space="preserve">Clear error handling for invalid URLs, private repos, and rate limits.</w:t>
      </w:r>
    </w:p>
    <w:p>
      <w:pPr>
        <w:pStyle w:val="ListParagraph"/>
        <w:numPr>
          <w:ilvl w:val="0"/>
          <w:numId w:val="2"/>
        </w:numPr>
        <w:spacing w:after="60"/>
      </w:pPr>
      <w:r>
        <w:rPr>
          <w:b/>
          <w:bCs/>
        </w:rPr>
        <w:t xml:space="preserve">Deployed live at a public URL, no login required.</w:t>
      </w:r>
    </w:p>
    <w:p>
      <w:pPr>
        <w:pStyle w:val="Heading1"/>
        <w:spacing w:after="160" w:before="360"/>
      </w:pPr>
      <w:r>
        <w:t xml:space="preserve">11. Future Roadmap (Post-v1.0)</w:t>
      </w:r>
    </w:p>
    <w:p>
      <w:pPr>
        <w:pStyle w:val="ListParagraph"/>
        <w:numPr>
          <w:ilvl w:val="0"/>
          <w:numId w:val="2"/>
        </w:numPr>
        <w:spacing w:after="60"/>
      </w:pPr>
      <w:r>
        <w:rPr>
          <w:b w:val="false"/>
          <w:bCs w:val="false"/>
        </w:rPr>
        <w:t xml:space="preserve">Agentic exploration — Claude actively browses the repository via tools instead of relying on static curation.</w:t>
      </w:r>
    </w:p>
    <w:p>
      <w:pPr>
        <w:pStyle w:val="ListParagraph"/>
        <w:numPr>
          <w:ilvl w:val="0"/>
          <w:numId w:val="2"/>
        </w:numPr>
        <w:spacing w:after="60"/>
      </w:pPr>
      <w:r>
        <w:rPr>
          <w:b w:val="false"/>
          <w:bCs w:val="false"/>
        </w:rPr>
        <w:t xml:space="preserve">Follow-up chat: ask questions about the codebase after reading the report.</w:t>
      </w:r>
    </w:p>
    <w:p>
      <w:pPr>
        <w:pStyle w:val="ListParagraph"/>
        <w:numPr>
          <w:ilvl w:val="0"/>
          <w:numId w:val="2"/>
        </w:numPr>
        <w:spacing w:after="60"/>
      </w:pPr>
      <w:r>
        <w:rPr>
          <w:b w:val="false"/>
          <w:bCs w:val="false"/>
        </w:rPr>
        <w:t xml:space="preserve">Private repository support via GitHub OAuth.</w:t>
      </w:r>
    </w:p>
    <w:p>
      <w:pPr>
        <w:pStyle w:val="ListParagraph"/>
        <w:numPr>
          <w:ilvl w:val="0"/>
          <w:numId w:val="2"/>
        </w:numPr>
        <w:spacing w:after="60"/>
      </w:pPr>
      <w:r>
        <w:rPr>
          <w:b w:val="false"/>
          <w:bCs w:val="false"/>
        </w:rPr>
        <w:t xml:space="preserve">“Good first issue” → file mapping, promoted from stretch goal to core feature.</w:t>
      </w:r>
    </w:p>
    <w:p>
      <w:pPr>
        <w:pStyle w:val="ListParagraph"/>
        <w:numPr>
          <w:ilvl w:val="0"/>
          <w:numId w:val="2"/>
        </w:numPr>
        <w:spacing w:after="60"/>
      </w:pPr>
      <w:r>
        <w:rPr>
          <w:b w:val="false"/>
          <w:bCs w:val="false"/>
        </w:rPr>
        <w:t xml:space="preserve">Rendered visual architecture diagrams.</w:t>
      </w:r>
    </w:p>
    <w:p>
      <w:pPr>
        <w:pStyle w:val="ListParagraph"/>
        <w:numPr>
          <w:ilvl w:val="0"/>
          <w:numId w:val="2"/>
        </w:numPr>
        <w:spacing w:after="60"/>
      </w:pPr>
      <w:r>
        <w:rPr>
          <w:b w:val="false"/>
          <w:bCs w:val="false"/>
        </w:rPr>
        <w:t xml:space="preserve">Expanded language support beyond JavaScript and Python.</w:t>
      </w:r>
    </w:p>
    <w:p>
      <w:pPr>
        <w:pStyle w:val="ListParagraph"/>
        <w:numPr>
          <w:ilvl w:val="0"/>
          <w:numId w:val="2"/>
        </w:numPr>
        <w:spacing w:after="60"/>
      </w:pPr>
      <w:r>
        <w:rPr>
          <w:b w:val="false"/>
          <w:bCs w:val="false"/>
        </w:rPr>
        <w:t xml:space="preserve">A browser extension or GitHub App that auto-generates a map for any repo a user visits.</w:t>
      </w:r>
    </w:p>
    <w:p>
      <w:pPr>
        <w:pStyle w:val="ListParagraph"/>
        <w:numPr>
          <w:ilvl w:val="0"/>
          <w:numId w:val="2"/>
        </w:numPr>
        <w:spacing w:after="60"/>
      </w:pPr>
      <w:r>
        <w:rPr>
          <w:b w:val="false"/>
          <w:bCs w:val="false"/>
        </w:rPr>
        <w:t xml:space="preserve">Caching and history of previously mapped repositories.</w:t>
      </w:r>
    </w:p>
    <w:p>
      <w:pPr>
        <w:pStyle w:val="Heading1"/>
        <w:spacing w:after="160" w:before="360"/>
      </w:pPr>
      <w:r>
        <w:t xml:space="preserve">12. Success Criteria — the Two-Minute Test</w:t>
      </w:r>
    </w:p>
    <w:p>
      <w:pPr>
        <w:spacing w:after="120"/>
      </w:pPr>
      <w:r>
        <w:rPr>
          <w:b/>
          <w:bCs/>
        </w:rPr>
        <w:t xml:space="preserve">Someone unfamiliar with CodeMap should be able to open the live URL, paste a public JavaScript or Python GitHub repository link, click Generate, wait under roughly 90 seconds, and come away understanding what the project does, its tech stack, its structure, where to start reading the code, and how to set it up locally — all without opening the actual repository. This is the benchmark every remaining sprint day is building toward.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2026-07-20T10:48:03.520Z</dcterms:created>
  <dcterms:modified xsi:type="dcterms:W3CDTF">2026-07-20T10:48:03.520Z</dcterms:modified>
</cp:coreProperties>
</file>

<file path=docProps/custom.xml><?xml version="1.0" encoding="utf-8"?>
<Properties xmlns="http://schemas.openxmlformats.org/officeDocument/2006/custom-properties" xmlns:vt="http://schemas.openxmlformats.org/officeDocument/2006/docPropsVTypes"/>
</file>