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sz w:val="32"/>
        </w:rPr>
        <w:t>STS CEA</w:t>
      </w:r>
    </w:p>
    <w:p>
      <w:pPr>
        <w:spacing w:before="0" w:after="120"/>
      </w:pPr>
      <w:r>
        <w:rPr>
          <w:rFonts w:ascii="Calibri" w:hAnsi="Calibri"/>
          <w:b/>
          <w:sz w:val="20"/>
        </w:rPr>
        <w:t xml:space="preserve">Members: </w:t>
      </w:r>
      <w:r>
        <w:rPr>
          <w:rFonts w:ascii="Calibri" w:hAnsi="Calibri"/>
          <w:sz w:val="20"/>
        </w:rPr>
        <w:t>Syeda Azwa Asif (SE-23035)</w:t>
        <w:br/>
        <w:t xml:space="preserve">             Azka Hassan (SE-23037)</w:t>
      </w:r>
    </w:p>
    <w:p>
      <w:pPr>
        <w:spacing w:before="0" w:after="60"/>
      </w:pPr>
      <w:r>
        <w:rPr>
          <w:rFonts w:ascii="Calibri" w:hAnsi="Calibri"/>
          <w:b/>
          <w:sz w:val="19"/>
        </w:rPr>
        <w:t xml:space="preserve">Website target: </w:t>
      </w:r>
      <w:r>
        <w:rPr>
          <w:rFonts w:ascii="Calibri" w:hAnsi="Calibri"/>
          <w:sz w:val="19"/>
        </w:rPr>
        <w:t>Broken Crystals (https://brokencrystals.com/) — a deliberately vulnerable demo crystal marketplace and benchmark web application</w:t>
      </w:r>
    </w:p>
    <w:p>
      <w:pPr>
        <w:spacing w:before="0" w:after="60"/>
      </w:pPr>
      <w:r>
        <w:rPr>
          <w:rFonts w:ascii="Calibri" w:hAnsi="Calibri"/>
          <w:b/>
          <w:sz w:val="19"/>
        </w:rPr>
        <w:t xml:space="preserve">Stack: </w:t>
      </w:r>
      <w:r>
        <w:rPr>
          <w:rFonts w:ascii="Calibri" w:hAnsi="Calibri"/>
          <w:sz w:val="19"/>
        </w:rPr>
        <w:t>Python 3.12, Playwright 1.64.1, pytest 8.4.2, pytest-playwright 0.7.1, pytest-html 4.1.1, requests 2.32.5</w:t>
      </w:r>
    </w:p>
    <w:p>
      <w:pPr>
        <w:spacing w:before="0" w:after="60"/>
      </w:pPr>
      <w:r>
        <w:rPr>
          <w:rFonts w:ascii="Calibri" w:hAnsi="Calibri"/>
          <w:b/>
          <w:sz w:val="19"/>
        </w:rPr>
        <w:t xml:space="preserve">Browsers: </w:t>
      </w:r>
      <w:r>
        <w:rPr>
          <w:rFonts w:ascii="Calibri" w:hAnsi="Calibri"/>
          <w:sz w:val="19"/>
        </w:rPr>
        <w:t>Chromium (via Microsoft Edge channel), Firefox, WebKit</w:t>
      </w:r>
    </w:p>
    <w:p>
      <w:pPr>
        <w:spacing w:before="0" w:after="60"/>
      </w:pPr>
      <w:r>
        <w:rPr>
          <w:rFonts w:ascii="Calibri" w:hAnsi="Calibri"/>
          <w:b/>
          <w:sz w:val="19"/>
        </w:rPr>
        <w:t xml:space="preserve">Artifacts: </w:t>
      </w:r>
      <w:r>
        <w:rPr>
          <w:rFonts w:ascii="Calibri" w:hAnsi="Calibri"/>
          <w:sz w:val="19"/>
        </w:rPr>
        <w:t>the HTML report (report.html), 42 video recordings, and 28 screenshots</w:t>
      </w:r>
    </w:p>
    <w:p>
      <w:pPr>
        <w:spacing w:before="0" w:after="60"/>
      </w:pPr>
      <w:r>
        <w:rPr>
          <w:rFonts w:ascii="Calibri" w:hAnsi="Calibri"/>
          <w:b/>
          <w:sz w:val="19"/>
        </w:rPr>
        <w:t xml:space="preserve">Run result on 3 browsers: </w:t>
      </w:r>
      <w:r>
        <w:rPr>
          <w:rFonts w:ascii="Calibri" w:hAnsi="Calibri"/>
          <w:sz w:val="19"/>
        </w:rPr>
        <w:t>48 passed, 1 failed (the planted bug, by design). 49 executions in about 10 minutes. API tests are browser independent, so they run once; 14 browser tests run on Chromium, Firefox, and WebKit (14 x 3 = 42).</w:t>
      </w:r>
    </w:p>
    <w:p>
      <w:pPr>
        <w:spacing w:before="240" w:after="80"/>
      </w:pPr>
      <w:r>
        <w:rPr>
          <w:rFonts w:ascii="Calibri" w:hAnsi="Calibri"/>
          <w:b/>
          <w:sz w:val="24"/>
        </w:rPr>
        <w:t>1. Features tested (and why)</w:t>
      </w:r>
    </w:p>
    <w:tbl>
      <w:tblPr>
        <w:tblW w:type="auto" w:w="0"/>
        <w:jc w:val="center"/>
        <w:tblLook w:firstColumn="1" w:firstRow="1" w:lastColumn="0" w:lastRow="0" w:noHBand="0" w:noVBand="1" w:val="04A0"/>
      </w:tblPr>
      <w:tblGrid>
        <w:gridCol w:w="4824"/>
        <w:gridCol w:w="4824"/>
      </w:tblGrid>
      <w:tr>
        <w:trPr>
          <w:cantSplit/>
          <w:tblHeader/>
        </w:trPr>
        <w:tc>
          <w:tcPr>
            <w:tcW w:type="dxa" w:w="3168"/>
            <w:shd w:fill="F2F2F2"/>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b/>
                <w:sz w:val="19"/>
              </w:rPr>
              <w:t>Feature</w:t>
            </w:r>
          </w:p>
        </w:tc>
        <w:tc>
          <w:tcPr>
            <w:tcW w:type="dxa" w:w="6480"/>
            <w:shd w:fill="F2F2F2"/>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b/>
                <w:sz w:val="19"/>
              </w:rPr>
              <w:t>Why it is important</w:t>
            </w:r>
          </w:p>
        </w:tc>
      </w:tr>
      <w:tr>
        <w:trPr>
          <w:cantSplit/>
        </w:trPr>
        <w:tc>
          <w:tcPr>
            <w:tcW w:type="dxa" w:w="316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Homepage &amp; Navigation</w:t>
            </w:r>
          </w:p>
        </w:tc>
        <w:tc>
          <w:tcPr>
            <w:tcW w:type="dxa" w:w="6480"/>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Entry point for every visitor; validates landing page hero branding, client-side access control guards (redirecting unauthenticated users to /userlogin), and graceful fallback on 404 routes.</w:t>
            </w:r>
          </w:p>
        </w:tc>
      </w:tr>
      <w:tr>
        <w:trPr>
          <w:cantSplit/>
        </w:trPr>
        <w:tc>
          <w:tcPr>
            <w:tcW w:type="dxa" w:w="316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Product Catalogue (Marketplace)</w:t>
            </w:r>
          </w:p>
        </w:tc>
        <w:tc>
          <w:tcPr>
            <w:tcW w:type="dxa" w:w="6480"/>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Core eCommerce storefront; verifies products load properly from the API and render as responsive cards with names, imagery, and category labels.</w:t>
            </w:r>
          </w:p>
        </w:tc>
      </w:tr>
      <w:tr>
        <w:trPr>
          <w:cantSplit/>
        </w:trPr>
        <w:tc>
          <w:tcPr>
            <w:tcW w:type="dxa" w:w="316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Product Search &amp; Filter</w:t>
            </w:r>
          </w:p>
        </w:tc>
        <w:tc>
          <w:tcPr>
            <w:tcW w:type="dxa" w:w="6480"/>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Primary discovery mechanism; allows customers to search products in real-time by name or description, restores full inventory upon clearing, and handles no-match queries cleanly.</w:t>
            </w:r>
          </w:p>
        </w:tc>
      </w:tr>
      <w:tr>
        <w:trPr>
          <w:cantSplit/>
        </w:trPr>
        <w:tc>
          <w:tcPr>
            <w:tcW w:type="dxa" w:w="316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Contact Form</w:t>
            </w:r>
          </w:p>
        </w:tc>
        <w:tc>
          <w:tcPr>
            <w:tcW w:type="dxa" w:w="6480"/>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Primary customer communication and support channel; verifies required input validation (name, email, subject), browser alert handling, and clean submission without sending real external emails.</w:t>
            </w:r>
          </w:p>
        </w:tc>
      </w:tr>
    </w:tbl>
    <w:p>
      <w:pPr>
        <w:spacing w:before="240" w:after="80"/>
      </w:pPr>
      <w:r>
        <w:rPr>
          <w:rFonts w:ascii="Calibri" w:hAnsi="Calibri"/>
          <w:b/>
          <w:sz w:val="24"/>
        </w:rPr>
        <w:t>2. Features left out (and why)</w:t>
      </w:r>
    </w:p>
    <w:tbl>
      <w:tblPr>
        <w:tblW w:type="auto" w:w="0"/>
        <w:jc w:val="center"/>
        <w:tblLook w:firstColumn="1" w:firstRow="1" w:lastColumn="0" w:lastRow="0" w:noHBand="0" w:noVBand="1" w:val="04A0"/>
      </w:tblPr>
      <w:tblGrid>
        <w:gridCol w:w="4824"/>
        <w:gridCol w:w="4824"/>
      </w:tblGrid>
      <w:tr>
        <w:trPr>
          <w:cantSplit/>
          <w:tblHeader/>
        </w:trPr>
        <w:tc>
          <w:tcPr>
            <w:tcW w:type="dxa" w:w="3168"/>
            <w:shd w:fill="F2F2F2"/>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b/>
                <w:sz w:val="19"/>
              </w:rPr>
              <w:t>Feature</w:t>
            </w:r>
          </w:p>
        </w:tc>
        <w:tc>
          <w:tcPr>
            <w:tcW w:type="dxa" w:w="6480"/>
            <w:shd w:fill="F2F2F2"/>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b/>
                <w:sz w:val="19"/>
              </w:rPr>
              <w:t>Reason skipped</w:t>
            </w:r>
          </w:p>
        </w:tc>
      </w:tr>
      <w:tr>
        <w:trPr>
          <w:cantSplit/>
        </w:trPr>
        <w:tc>
          <w:tcPr>
            <w:tcW w:type="dxa" w:w="316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User Registration / Sign Up</w:t>
            </w:r>
          </w:p>
        </w:tc>
        <w:tc>
          <w:tcPr>
            <w:tcW w:type="dxa" w:w="6480"/>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Creating new accounts pollutes the shared public database and introduces state dependencies/conflicts across repeated test runs. Authentication guards are already exercised via Marketplace redirects.</w:t>
            </w:r>
          </w:p>
        </w:tc>
      </w:tr>
      <w:tr>
        <w:trPr>
          <w:cantSplit/>
        </w:trPr>
        <w:tc>
          <w:tcPr>
            <w:tcW w:type="dxa" w:w="316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File Upload / Avatar Profile</w:t>
            </w:r>
          </w:p>
        </w:tc>
        <w:tc>
          <w:tcPr>
            <w:tcW w:type="dxa" w:w="6480"/>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Prone to arbitrary file upload vulnerabilities and storage pollution on public instances; unsuitable and unsafe for automated regression runs.</w:t>
            </w:r>
          </w:p>
        </w:tc>
      </w:tr>
      <w:tr>
        <w:trPr>
          <w:cantSplit/>
        </w:trPr>
        <w:tc>
          <w:tcPr>
            <w:tcW w:type="dxa" w:w="316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Cart &amp; Checkout</w:t>
            </w:r>
          </w:p>
        </w:tc>
        <w:tc>
          <w:tcPr>
            <w:tcW w:type="dxa" w:w="6480"/>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Requires multi-step payment gateway tokens and database write operations that are restricted on the public demo instance.</w:t>
            </w:r>
          </w:p>
        </w:tc>
      </w:tr>
      <w:tr>
        <w:trPr>
          <w:cantSplit/>
        </w:trPr>
        <w:tc>
          <w:tcPr>
            <w:tcW w:type="dxa" w:w="316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Admin Panel / User Management</w:t>
            </w:r>
          </w:p>
        </w:tc>
        <w:tc>
          <w:tcPr>
            <w:tcW w:type="dxa" w:w="6480"/>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Requires elevated administrative privileges and risks mutating backend state used by other public users.</w:t>
            </w:r>
          </w:p>
        </w:tc>
      </w:tr>
      <w:tr>
        <w:trPr>
          <w:cantSplit/>
        </w:trPr>
        <w:tc>
          <w:tcPr>
            <w:tcW w:type="dxa" w:w="316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Raw SQL / GraphQL Query Console</w:t>
            </w:r>
          </w:p>
        </w:tc>
        <w:tc>
          <w:tcPr>
            <w:tcW w:type="dxa" w:w="6480"/>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Internal debugging surfaces with side effects; outside standard customer end-to-end purchasing flows.</w:t>
            </w:r>
          </w:p>
        </w:tc>
      </w:tr>
    </w:tbl>
    <w:p>
      <w:pPr>
        <w:spacing w:before="240" w:after="80"/>
      </w:pPr>
      <w:r>
        <w:rPr>
          <w:rFonts w:ascii="Calibri" w:hAnsi="Calibri"/>
          <w:b/>
          <w:sz w:val="24"/>
        </w:rPr>
        <w:t>3. Test case table</w:t>
      </w:r>
    </w:p>
    <w:p>
      <w:pPr>
        <w:spacing w:before="0" w:after="80"/>
      </w:pPr>
      <w:r>
        <w:rPr>
          <w:rFonts w:ascii="Calibri" w:hAnsi="Calibri"/>
          <w:sz w:val="19"/>
        </w:rPr>
        <w:t>Types: E2E Pos is end to end positive, E2E Neg is end to end negative, API is CRUD API, Mock is network mocking, Bug is the planted bug.</w:t>
      </w:r>
    </w:p>
    <w:tbl>
      <w:tblPr>
        <w:tblW w:type="auto" w:w="0"/>
        <w:jc w:val="center"/>
        <w:tblLook w:firstColumn="1" w:firstRow="1" w:lastColumn="0" w:lastRow="0" w:noHBand="0" w:noVBand="1" w:val="04A0"/>
      </w:tblPr>
      <w:tblGrid>
        <w:gridCol w:w="1608"/>
        <w:gridCol w:w="1608"/>
        <w:gridCol w:w="1608"/>
        <w:gridCol w:w="1608"/>
        <w:gridCol w:w="1608"/>
        <w:gridCol w:w="1608"/>
      </w:tblGrid>
      <w:tr>
        <w:trPr>
          <w:cantSplit/>
          <w:tblHeader/>
        </w:trPr>
        <w:tc>
          <w:tcPr>
            <w:tcW w:type="dxa" w:w="864"/>
            <w:shd w:fill="F2F2F2"/>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b/>
                <w:sz w:val="18"/>
              </w:rPr>
              <w:t>ID</w:t>
            </w:r>
          </w:p>
        </w:tc>
        <w:tc>
          <w:tcPr>
            <w:tcW w:type="dxa" w:w="1584"/>
            <w:shd w:fill="F2F2F2"/>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b/>
                <w:sz w:val="18"/>
              </w:rPr>
              <w:t>Feature</w:t>
            </w:r>
          </w:p>
        </w:tc>
        <w:tc>
          <w:tcPr>
            <w:tcW w:type="dxa" w:w="1008"/>
            <w:shd w:fill="F2F2F2"/>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b/>
                <w:sz w:val="18"/>
              </w:rPr>
              <w:t>Type</w:t>
            </w:r>
          </w:p>
        </w:tc>
        <w:tc>
          <w:tcPr>
            <w:tcW w:type="dxa" w:w="3024"/>
            <w:shd w:fill="F2F2F2"/>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b/>
                <w:sz w:val="18"/>
              </w:rPr>
              <w:t>Test</w:t>
            </w:r>
          </w:p>
        </w:tc>
        <w:tc>
          <w:tcPr>
            <w:tcW w:type="dxa" w:w="2304"/>
            <w:shd w:fill="F2F2F2"/>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b/>
                <w:sz w:val="18"/>
              </w:rPr>
              <w:t>Expected</w:t>
            </w:r>
          </w:p>
        </w:tc>
        <w:tc>
          <w:tcPr>
            <w:tcW w:type="dxa" w:w="864"/>
            <w:shd w:fill="F2F2F2"/>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b/>
                <w:sz w:val="18"/>
              </w:rPr>
              <w:t>Result</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NAV1</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Homepage</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E2E Pos</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Landing page loads brand/hero</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Brand heading and title visible</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color w:val="007800"/>
                <w:sz w:val="18"/>
              </w:rPr>
              <w:t>PASS</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NAV2</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Homepage</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E2E Pos</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Marketplace link requires login</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Anonymous user redirected to /userlogin</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color w:val="007800"/>
                <w:sz w:val="18"/>
              </w:rPr>
              <w:t>PASS</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NAV3</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Homepage</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E2E Neg</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Unknown route navigation</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Displays 404 Page Not Found heading</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color w:val="007800"/>
                <w:sz w:val="18"/>
              </w:rPr>
              <w:t>PASS</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MKT1</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Catalogue</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E2E Pos</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Products render as cards</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All product cards and Amethyst visible</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color w:val="007800"/>
                <w:sz w:val="18"/>
              </w:rPr>
              <w:t>PASS</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MKT2</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Catalogue</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E2E Pos</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Images and category filters</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Product images with alt text &amp; category list</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color w:val="007800"/>
                <w:sz w:val="18"/>
              </w:rPr>
              <w:t>PASS</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MKT3</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Catalogue</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E2E Neg</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Empty catalogue boundary</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Safe zero-card empty state, no crash</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color w:val="007800"/>
                <w:sz w:val="18"/>
              </w:rPr>
              <w:t>PASS</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FLT1</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Search</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E2E Pos</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Filter by product name 'Amethyst'</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Shows Amethyst card, hides others</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color w:val="007800"/>
                <w:sz w:val="18"/>
              </w:rPr>
              <w:t>PASS</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FLT2</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Search</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E2E Pos</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Clear search filter</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Restores full product catalogue</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color w:val="007800"/>
                <w:sz w:val="18"/>
              </w:rPr>
              <w:t>PASS</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FLT3</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Search</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E2E Neg</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Nonsense search query</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Renders 0 cards cleanly, search bar stays active</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color w:val="007800"/>
                <w:sz w:val="18"/>
              </w:rPr>
              <w:t>PASS</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CON1</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Contact</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E2E Neg</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Submit empty form</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Validation alert 'email form is incomplete'</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color w:val="007800"/>
                <w:sz w:val="18"/>
              </w:rPr>
              <w:t>PASS</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CON2</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Contact</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E2E Pos</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Submit valid filled form</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Outbound request sent, no error alert</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color w:val="007800"/>
                <w:sz w:val="18"/>
              </w:rPr>
              <w:t>PASS</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CON3</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Contact</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E2E Neg</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Submit partially filled form</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Validation alert raised, submission blocked</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color w:val="007800"/>
                <w:sz w:val="18"/>
              </w:rPr>
              <w:t>PASS</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API1</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CRUD API</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API</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CREATE (POST) new crystal</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Status 201, record returned and readable</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color w:val="007800"/>
                <w:sz w:val="18"/>
              </w:rPr>
              <w:t>PASS</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API2</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CRUD API</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API</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READ (GET) crystal by ID &amp; all</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Status 200, matches created record &amp; in list</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color w:val="007800"/>
                <w:sz w:val="18"/>
              </w:rPr>
              <w:t>PASS</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API3</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CRUD API</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API</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UPDATE (PUT) crystal details</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Status 200, updated price/desc persisted</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color w:val="007800"/>
                <w:sz w:val="18"/>
              </w:rPr>
              <w:t>PASS</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API4</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CRUD API</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API</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DELETE (DELETE) crystal</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Status 204, subsequent GET returns 404</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color w:val="007800"/>
                <w:sz w:val="18"/>
              </w:rPr>
              <w:t>PASS</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MK1</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Catalogue</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Mock</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Mock empty data response []</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Zero product cards, input remains usable</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color w:val="007800"/>
                <w:sz w:val="18"/>
              </w:rPr>
              <w:t>PASS</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MK2</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Catalogue</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Mock</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Mock 500 server error</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Unhandled TypeError detected in console/pageerror</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color w:val="007800"/>
                <w:sz w:val="18"/>
              </w:rPr>
              <w:t>PASS</w:t>
            </w:r>
          </w:p>
        </w:tc>
      </w:tr>
      <w:tr>
        <w:trPr>
          <w:cantSplit/>
        </w:trPr>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BUG1</w:t>
            </w:r>
          </w:p>
        </w:tc>
        <w:tc>
          <w:tcPr>
            <w:tcW w:type="dxa" w:w="158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Security</w:t>
            </w:r>
          </w:p>
        </w:tc>
        <w:tc>
          <w:tcPr>
            <w:tcW w:type="dxa" w:w="100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Bug</w:t>
            </w:r>
          </w:p>
        </w:tc>
        <w:tc>
          <w:tcPr>
            <w:tcW w:type="dxa" w:w="302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Assert X-Content-Type-Options: nosniff</w:t>
            </w:r>
          </w:p>
        </w:tc>
        <w:tc>
          <w:tcPr>
            <w:tcW w:type="dxa" w:w="230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8"/>
              </w:rPr>
              <w:t>Server returns '1' instead of 'nosniff'</w:t>
            </w:r>
          </w:p>
        </w:tc>
        <w:tc>
          <w:tcPr>
            <w:tcW w:type="dxa" w:w="864"/>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b/>
                <w:color w:val="B40000"/>
                <w:sz w:val="18"/>
              </w:rPr>
              <w:t>FAIL (by design)</w:t>
            </w:r>
          </w:p>
        </w:tc>
      </w:tr>
    </w:tbl>
    <w:p>
      <w:pPr>
        <w:spacing w:before="80" w:after="120"/>
      </w:pPr>
      <w:r>
        <w:rPr>
          <w:rFonts w:ascii="Calibri" w:hAnsi="Calibri"/>
          <w:b/>
          <w:sz w:val="19"/>
        </w:rPr>
        <w:t>Totals: 12 end to end (all pass), 4 API CRUD (all pass), 2 mock (all pass), 1 planted bug (fails on purpose), run on 3 browsers.</w:t>
      </w:r>
    </w:p>
    <w:p>
      <w:pPr>
        <w:spacing w:before="240" w:after="80"/>
      </w:pPr>
      <w:r>
        <w:rPr>
          <w:rFonts w:ascii="Calibri" w:hAnsi="Calibri"/>
          <w:b/>
          <w:sz w:val="24"/>
        </w:rPr>
        <w:t>4. Bugs found</w:t>
      </w:r>
    </w:p>
    <w:p>
      <w:pPr>
        <w:pStyle w:val="ListBullet"/>
        <w:spacing w:before="20" w:after="60"/>
      </w:pPr>
      <w:r>
        <w:rPr>
          <w:rFonts w:ascii="Calibri" w:hAnsi="Calibri"/>
          <w:b/>
          <w:sz w:val="19"/>
        </w:rPr>
        <w:t xml:space="preserve">Misconfigured Security Header (Planted/Discovered Bug — test_planted_bug): </w:t>
      </w:r>
      <w:r>
        <w:rPr>
          <w:rFonts w:ascii="Calibri" w:hAnsi="Calibri"/>
          <w:sz w:val="19"/>
        </w:rPr>
        <w:t>The live backend (/api/products/latest) returns header X-Content-Type-Options: 1 instead of the mandatory nosniff. This leaves browsers vulnerable to MIME-type sniffing and satisfies the assignment requirement to prove our tests catch real defects. Caught by test BUG1.</w:t>
      </w:r>
    </w:p>
    <w:p>
      <w:pPr>
        <w:pStyle w:val="ListBullet"/>
        <w:spacing w:before="20" w:after="60"/>
      </w:pPr>
      <w:r>
        <w:rPr>
          <w:rFonts w:ascii="Calibri" w:hAnsi="Calibri"/>
          <w:b/>
          <w:sz w:val="19"/>
        </w:rPr>
        <w:t xml:space="preserve">Unhandled 500 Error in Marketplace Frontend (Caught by test_net02): </w:t>
      </w:r>
      <w:r>
        <w:rPr>
          <w:rFonts w:ascii="Calibri" w:hAnsi="Calibri"/>
          <w:sz w:val="19"/>
        </w:rPr>
        <w:t>When the products API endpoint returns an HTTP 500 error, the React frontend crashes with a console exception ('TypeError: ...map is not a function') because the component assumes a JSON array response and invokes .map() on the error object rather than rendering a graceful error state.</w:t>
      </w:r>
    </w:p>
    <w:p>
      <w:pPr>
        <w:pStyle w:val="ListBullet"/>
        <w:spacing w:before="20" w:after="60"/>
      </w:pPr>
      <w:r>
        <w:rPr>
          <w:rFonts w:ascii="Calibri" w:hAnsi="Calibri"/>
          <w:b/>
          <w:sz w:val="19"/>
        </w:rPr>
        <w:t xml:space="preserve">Client-Side Sensitive Access Guard (Marketplace Auth): </w:t>
      </w:r>
      <w:r>
        <w:rPr>
          <w:rFonts w:ascii="Calibri" w:hAnsi="Calibri"/>
          <w:sz w:val="19"/>
        </w:rPr>
        <w:t>The /marketplace route authentication check relies entirely on inspecting localStorage.getItem('email') without validating signed JWT session tokens with the server. Any anonymous visitor can bypass access control by setting an arbitrary email string in localStorage.</w:t>
      </w:r>
    </w:p>
    <w:p>
      <w:pPr>
        <w:pStyle w:val="ListBullet"/>
        <w:spacing w:before="20" w:after="60"/>
      </w:pPr>
      <w:r>
        <w:rPr>
          <w:rFonts w:ascii="Calibri" w:hAnsi="Calibri"/>
          <w:b/>
          <w:sz w:val="19"/>
        </w:rPr>
        <w:t xml:space="preserve">Contact Form Missing Syntax Validation: </w:t>
      </w:r>
      <w:r>
        <w:rPr>
          <w:rFonts w:ascii="Calibri" w:hAnsi="Calibri"/>
          <w:sz w:val="19"/>
        </w:rPr>
        <w:t>The contact form validates that the email input is non-empty, but fails to enforce standard RFC email format (e.g. user@domain.com). Arbitrary invalid strings like 'not-an-email' are accepted and dispatched.</w:t>
      </w:r>
    </w:p>
    <w:p>
      <w:pPr>
        <w:spacing w:before="80" w:after="120"/>
      </w:pPr>
      <w:r>
        <w:rPr>
          <w:rFonts w:ascii="Calibri" w:hAnsi="Calibri"/>
          <w:i/>
          <w:sz w:val="19"/>
        </w:rPr>
        <w:t>Note: Broken Crystals is intentionally vulnerable (OWASP-style security defects, missing security headers, unhandled API error exceptions), which satisfies the rule that a deployed site must be buggy.</w:t>
      </w:r>
    </w:p>
    <w:p>
      <w:pPr>
        <w:spacing w:before="240" w:after="80"/>
      </w:pPr>
      <w:r>
        <w:rPr>
          <w:rFonts w:ascii="Calibri" w:hAnsi="Calibri"/>
          <w:b/>
          <w:sz w:val="24"/>
        </w:rPr>
        <w:t>5. Who did which part</w:t>
      </w:r>
    </w:p>
    <w:tbl>
      <w:tblPr>
        <w:tblW w:type="auto" w:w="0"/>
        <w:jc w:val="center"/>
        <w:tblLook w:firstColumn="1" w:firstRow="1" w:lastColumn="0" w:lastRow="0" w:noHBand="0" w:noVBand="1" w:val="04A0"/>
      </w:tblPr>
      <w:tblGrid>
        <w:gridCol w:w="4824"/>
        <w:gridCol w:w="4824"/>
      </w:tblGrid>
      <w:tr>
        <w:trPr>
          <w:cantSplit/>
          <w:tblHeader/>
        </w:trPr>
        <w:tc>
          <w:tcPr>
            <w:tcW w:type="dxa" w:w="6480"/>
            <w:shd w:fill="F2F2F2"/>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b/>
                <w:sz w:val="19"/>
              </w:rPr>
              <w:t>Area</w:t>
            </w:r>
          </w:p>
        </w:tc>
        <w:tc>
          <w:tcPr>
            <w:tcW w:type="dxa" w:w="3168"/>
            <w:shd w:fill="F2F2F2"/>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b/>
                <w:sz w:val="19"/>
              </w:rPr>
              <w:t>Owner</w:t>
            </w:r>
          </w:p>
        </w:tc>
      </w:tr>
      <w:tr>
        <w:trPr>
          <w:cantSplit/>
        </w:trPr>
        <w:tc>
          <w:tcPr>
            <w:tcW w:type="dxa" w:w="6480"/>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Project architecture &amp; test setup (venv, conftest.py, pytest.ini, helpers.py), Homepage &amp; Navigation E2E tests, Product Filter &amp; Search E2E tests, Local API CRUD test service &amp; tests</w:t>
            </w:r>
          </w:p>
        </w:tc>
        <w:tc>
          <w:tcPr>
            <w:tcW w:type="dxa" w:w="316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Syeda Azwa Asif (SE-23035)</w:t>
            </w:r>
          </w:p>
        </w:tc>
      </w:tr>
      <w:tr>
        <w:trPr>
          <w:cantSplit/>
        </w:trPr>
        <w:tc>
          <w:tcPr>
            <w:tcW w:type="dxa" w:w="6480"/>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Marketplace Catalogue E2E tests, Contact Form E2E tests, Network Mocking tests, Planted Bug security header test, Cross-browser execution coordination, and Final Report documentation</w:t>
            </w:r>
          </w:p>
        </w:tc>
        <w:tc>
          <w:tcPr>
            <w:tcW w:type="dxa" w:w="3168"/>
            <w:tcBorders>
              <w:top w:val="single" w:sz="4" w:space="0" w:color="CCCCCC"/>
              <w:bottom w:val="single" w:sz="4" w:space="0" w:color="CCCCCC"/>
              <w:left w:val="none"/>
              <w:right w:val="none"/>
            </w:tcBorders>
            <w:vAlign w:val="center"/>
            <w:tcMar>
              <w:top w:w="80" w:type="dxa"/>
              <w:bottom w:w="80" w:type="dxa"/>
              <w:left w:w="120" w:type="dxa"/>
              <w:right w:w="120" w:type="dxa"/>
            </w:tcMar>
          </w:tcPr>
          <w:p>
            <w:pPr>
              <w:spacing w:before="40" w:after="40"/>
            </w:pPr>
            <w:r>
              <w:rPr>
                <w:rFonts w:ascii="Calibri" w:hAnsi="Calibri"/>
                <w:sz w:val="19"/>
              </w:rPr>
              <w:t>Azka Hassan (SE-23037)</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