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Retention Executive Summary</w:t>
      </w:r>
    </w:p>
    <w:p>
      <w:r>
        <w:t>Purpose: Help HR focus retention effort on the employee groups showing the greatest risk, using patterns found across 1,470 employee records.</w:t>
      </w:r>
    </w:p>
    <w:p>
      <w:pPr>
        <w:pStyle w:val="Heading1"/>
      </w:pPr>
      <w:r>
        <w:t>Key findings</w:t>
      </w:r>
    </w:p>
    <w:p>
      <w:pPr>
        <w:pStyle w:val="ListBullet"/>
      </w:pPr>
      <w:r>
        <w:t>Overall attrition is 16.1%, representing 237 employees who left.</w:t>
      </w:r>
    </w:p>
    <w:p>
      <w:pPr>
        <w:pStyle w:val="ListBullet"/>
      </w:pPr>
      <w:r>
        <w:t>Sales has the highest departmental attrition rate at 20.6%.</w:t>
      </w:r>
    </w:p>
    <w:p>
      <w:pPr>
        <w:pStyle w:val="ListBullet"/>
      </w:pPr>
      <w:r>
        <w:t>Sales Representatives are the highest-risk role, with 39.8% attrition.</w:t>
      </w:r>
    </w:p>
    <w:p>
      <w:pPr>
        <w:pStyle w:val="ListBullet"/>
      </w:pPr>
      <w:r>
        <w:t>Employees with two years or less at the company have 29.8% attrition, compared with 12.0% among longer-tenured employees.</w:t>
      </w:r>
    </w:p>
    <w:p>
      <w:pPr>
        <w:pStyle w:val="ListBullet"/>
      </w:pPr>
      <w:r>
        <w:t>Employees reporting the lowest work-life balance rating have 31.2% attrition.</w:t>
      </w:r>
    </w:p>
    <w:p>
      <w:pPr>
        <w:pStyle w:val="ListBullet"/>
      </w:pPr>
      <w:r>
        <w:t>Employees who left earned $4,787 per month on average, compared with $6,833 among employees who stayed. Pay matters, but it should be considered alongside role, workload, satisfaction, and tenure.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Prioritize stay interviews and manager-led retention reviews in Sales, especially for Sales Representatives.</w:t>
      </w:r>
    </w:p>
    <w:p>
      <w:pPr>
        <w:pStyle w:val="ListBullet"/>
      </w:pPr>
      <w:r>
        <w:t>Introduce structured check-ins at 30, 90, 180, and 365 days, with mentoring and clear development plans for early-tenure employees.</w:t>
      </w:r>
    </w:p>
    <w:p>
      <w:pPr>
        <w:pStyle w:val="ListBullet"/>
      </w:pPr>
      <w:r>
        <w:t>Review workload, scheduling, manager support, and flexibility for employees reporting poor work-life balance.</w:t>
      </w:r>
    </w:p>
    <w:p>
      <w:pPr>
        <w:pStyle w:val="ListBullet"/>
      </w:pPr>
      <w:r>
        <w:t>Benchmark pay for high-risk roles while pairing compensation reviews with career growth and recognition initiatives.</w:t>
      </w:r>
    </w:p>
    <w:p>
      <w:pPr>
        <w:pStyle w:val="ListBullet"/>
      </w:pPr>
      <w:r>
        <w:t>Track retention results quarterly by department, role, tenure, and work-life balance to confirm whether interventions are working.</w:t>
      </w:r>
    </w:p>
    <w:p>
      <w:pPr>
        <w:pStyle w:val="Heading1"/>
      </w:pPr>
      <w:r>
        <w:t>Expected business impact</w:t>
      </w:r>
    </w:p>
    <w:p>
      <w:r>
        <w:t>Concentrating resources on these groups should reduce avoidable replacement costs, protect team capacity, and improve continuity in customer-facing work. Findings indicate where HR should investigate first; individual decisions should still be informed by employee feedback and manager context.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