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280"/>
              <w:left w:type="dxa" w:w="400"/>
              <w:bottom w:type="dxa" w:w="60"/>
              <w:right w:type="dxa" w:w="4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7377"/>
                <w:sz w:val="28"/>
                <w:szCs w:val="28"/>
              </w:rPr>
              <w:t xml:space="preserve">CAHIER DES CHARGES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60"/>
              <w:left w:type="dxa" w:w="400"/>
              <w:bottom w:type="dxa" w:w="60"/>
              <w:right w:type="dxa" w:w="4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52"/>
                <w:szCs w:val="52"/>
              </w:rPr>
              <w:t xml:space="preserve">Explainable AI — Imagerie Médicale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60"/>
              <w:left w:type="dxa" w:w="400"/>
              <w:bottom w:type="dxa" w:w="280"/>
              <w:right w:type="dxa" w:w="4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0D7377"/>
                <w:sz w:val="24"/>
                <w:szCs w:val="24"/>
              </w:rPr>
              <w:t xml:space="preserve">API de classification radiologique avec heatmaps Grad-CAM</w:t>
            </w:r>
          </w:p>
        </w:tc>
      </w:tr>
    </w:tbl>
    <w:p>
      <w:pPr>
        <w:spacing w:before="1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c>
          <w:tcPr>
            <w:tcW w:type="dxa" w:w="2800"/>
            <w:tcBorders>
              <w:top w:val="single" w:color="AACCDD" w:sz="1"/>
              <w:left w:val="single" w:color="AACCDD" w:sz="1"/>
              <w:bottom w:val="single" w:color="AACCDD" w:sz="1"/>
              <w:right w:val="single" w:color="AACCDD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Projet</w:t>
            </w:r>
          </w:p>
        </w:tc>
        <w:tc>
          <w:tcPr>
            <w:tcW w:type="dxa" w:w="6400"/>
            <w:tcBorders>
              <w:top w:val="single" w:color="AACCDD" w:sz="1"/>
              <w:left w:val="single" w:color="AACCDD" w:sz="1"/>
              <w:bottom w:val="single" w:color="AACCDD" w:sz="1"/>
              <w:right w:val="single" w:color="AA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XAI Medical Imaging API — MVP Portfolio</w:t>
            </w:r>
          </w:p>
        </w:tc>
      </w:tr>
      <w:tr>
        <w:tc>
          <w:tcPr>
            <w:tcW w:type="dxa" w:w="2800"/>
            <w:tcBorders>
              <w:top w:val="single" w:color="AACCDD" w:sz="1"/>
              <w:left w:val="single" w:color="AACCDD" w:sz="1"/>
              <w:bottom w:val="single" w:color="AACCDD" w:sz="1"/>
              <w:right w:val="single" w:color="AACCDD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Version</w:t>
            </w:r>
          </w:p>
        </w:tc>
        <w:tc>
          <w:tcPr>
            <w:tcW w:type="dxa" w:w="6400"/>
            <w:tcBorders>
              <w:top w:val="single" w:color="AACCDD" w:sz="1"/>
              <w:left w:val="single" w:color="AACCDD" w:sz="1"/>
              <w:bottom w:val="single" w:color="AACCDD" w:sz="1"/>
              <w:right w:val="single" w:color="AA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800"/>
            <w:tcBorders>
              <w:top w:val="single" w:color="AACCDD" w:sz="1"/>
              <w:left w:val="single" w:color="AACCDD" w:sz="1"/>
              <w:bottom w:val="single" w:color="AACCDD" w:sz="1"/>
              <w:right w:val="single" w:color="AACCDD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Date</w:t>
            </w:r>
          </w:p>
        </w:tc>
        <w:tc>
          <w:tcPr>
            <w:tcW w:type="dxa" w:w="6400"/>
            <w:tcBorders>
              <w:top w:val="single" w:color="AACCDD" w:sz="1"/>
              <w:left w:val="single" w:color="AACCDD" w:sz="1"/>
              <w:bottom w:val="single" w:color="AACCDD" w:sz="1"/>
              <w:right w:val="single" w:color="AA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Mai 2026</w:t>
            </w:r>
          </w:p>
        </w:tc>
      </w:tr>
      <w:tr>
        <w:tc>
          <w:tcPr>
            <w:tcW w:type="dxa" w:w="2800"/>
            <w:tcBorders>
              <w:top w:val="single" w:color="AACCDD" w:sz="1"/>
              <w:left w:val="single" w:color="AACCDD" w:sz="1"/>
              <w:bottom w:val="single" w:color="AACCDD" w:sz="1"/>
              <w:right w:val="single" w:color="AACCDD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Auteur</w:t>
            </w:r>
          </w:p>
        </w:tc>
        <w:tc>
          <w:tcPr>
            <w:tcW w:type="dxa" w:w="6400"/>
            <w:tcBorders>
              <w:top w:val="single" w:color="AACCDD" w:sz="1"/>
              <w:left w:val="single" w:color="AACCDD" w:sz="1"/>
              <w:bottom w:val="single" w:color="AACCDD" w:sz="1"/>
              <w:right w:val="single" w:color="AA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Étudiant — Data &amp; Software Science</w:t>
            </w:r>
          </w:p>
        </w:tc>
      </w:tr>
      <w:tr>
        <w:tc>
          <w:tcPr>
            <w:tcW w:type="dxa" w:w="2800"/>
            <w:tcBorders>
              <w:top w:val="single" w:color="AACCDD" w:sz="1"/>
              <w:left w:val="single" w:color="AACCDD" w:sz="1"/>
              <w:bottom w:val="single" w:color="AACCDD" w:sz="1"/>
              <w:right w:val="single" w:color="AACCDD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Durée</w:t>
            </w:r>
          </w:p>
        </w:tc>
        <w:tc>
          <w:tcPr>
            <w:tcW w:type="dxa" w:w="6400"/>
            <w:tcBorders>
              <w:top w:val="single" w:color="AACCDD" w:sz="1"/>
              <w:left w:val="single" w:color="AACCDD" w:sz="1"/>
              <w:bottom w:val="single" w:color="AACCDD" w:sz="1"/>
              <w:right w:val="single" w:color="AA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2 semaines (MVP)</w:t>
            </w:r>
          </w:p>
        </w:tc>
      </w:tr>
      <w:tr>
        <w:tc>
          <w:tcPr>
            <w:tcW w:type="dxa" w:w="2800"/>
            <w:tcBorders>
              <w:top w:val="single" w:color="AACCDD" w:sz="1"/>
              <w:left w:val="single" w:color="AACCDD" w:sz="1"/>
              <w:bottom w:val="single" w:color="AACCDD" w:sz="1"/>
              <w:right w:val="single" w:color="AACCDD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Statut</w:t>
            </w:r>
          </w:p>
        </w:tc>
        <w:tc>
          <w:tcPr>
            <w:tcW w:type="dxa" w:w="6400"/>
            <w:tcBorders>
              <w:top w:val="single" w:color="AACCDD" w:sz="1"/>
              <w:left w:val="single" w:color="AACCDD" w:sz="1"/>
              <w:bottom w:val="single" w:color="AACCDD" w:sz="1"/>
              <w:right w:val="single" w:color="AA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En cours de développement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D7377" w:sz="6" w:space="3"/>
        </w:pBdr>
        <w:spacing w:after="160" w:before="360"/>
      </w:pPr>
      <w:r>
        <w:rPr>
          <w:rFonts w:ascii="Calibri" w:cs="Calibri" w:eastAsia="Calibri" w:hAnsi="Calibri"/>
          <w:b/>
          <w:bCs/>
          <w:color w:val="1A3A5C"/>
          <w:sz w:val="36"/>
          <w:szCs w:val="36"/>
        </w:rPr>
        <w:t xml:space="preserve">1. Contexte et Définition du Problème</w:t>
      </w:r>
    </w:p>
    <w:p>
      <w:pPr>
        <w:spacing w:before="60"/>
      </w:pPr>
      <w:r>
        <w:t xml:space="preserve"/>
      </w:r>
    </w:p>
    <w:p>
      <w:pPr>
        <w:pStyle w:val="Heading2"/>
        <w:spacing w:after="80" w:before="220"/>
      </w:pPr>
      <w:r>
        <w:rPr>
          <w:rFonts w:ascii="Calibri" w:cs="Calibri" w:eastAsia="Calibri" w:hAnsi="Calibri"/>
          <w:b/>
          <w:bCs/>
          <w:color w:val="0D7377"/>
          <w:sz w:val="26"/>
          <w:szCs w:val="26"/>
        </w:rPr>
        <w:t xml:space="preserve">1.1 Situation actuelle</w:t>
      </w:r>
    </w:p>
    <w:p>
      <w:pPr>
        <w:spacing w:after="50" w:before="50"/>
        <w:ind w:left="540" w:hanging="260"/>
      </w:pPr>
      <w:r>
        <w:rPr>
          <w:rFonts w:ascii="Calibri" w:cs="Calibri" w:eastAsia="Calibri" w:hAnsi="Calibri"/>
          <w:color w:val="0D7377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Le diagnostic par radiographie thoracique repose quasi-exclusivement sur l'expertise humaine.</w:t>
      </w:r>
    </w:p>
    <w:p>
      <w:pPr>
        <w:spacing w:after="50" w:before="50"/>
        <w:ind w:left="540" w:hanging="260"/>
      </w:pPr>
      <w:r>
        <w:rPr>
          <w:rFonts w:ascii="Calibri" w:cs="Calibri" w:eastAsia="Calibri" w:hAnsi="Calibri"/>
          <w:color w:val="0D7377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Pénurie de radiologues dans de nombreuses régions du monde.</w:t>
      </w:r>
    </w:p>
    <w:p>
      <w:pPr>
        <w:spacing w:after="50" w:before="50"/>
        <w:ind w:left="540" w:hanging="260"/>
      </w:pPr>
      <w:r>
        <w:rPr>
          <w:rFonts w:ascii="Calibri" w:cs="Calibri" w:eastAsia="Calibri" w:hAnsi="Calibri"/>
          <w:color w:val="0D7377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Aucun outil léger ne fournit d'explication visuelle sur les zones d'anomalie détectées.</w:t>
      </w:r>
    </w:p>
    <w:p>
      <w:pPr>
        <w:spacing w:before="80"/>
      </w:pPr>
      <w:r>
        <w:t xml:space="preserve"/>
      </w:r>
    </w:p>
    <w:p>
      <w:pPr>
        <w:pStyle w:val="Heading2"/>
        <w:spacing w:after="80" w:before="220"/>
      </w:pPr>
      <w:r>
        <w:rPr>
          <w:rFonts w:ascii="Calibri" w:cs="Calibri" w:eastAsia="Calibri" w:hAnsi="Calibri"/>
          <w:b/>
          <w:bCs/>
          <w:color w:val="0D7377"/>
          <w:sz w:val="26"/>
          <w:szCs w:val="26"/>
        </w:rPr>
        <w:t xml:space="preserve">1.2 Problème identifié</w:t>
      </w:r>
    </w:p>
    <w:p>
      <w:pPr>
        <w:spacing w:after="50" w:before="50"/>
        <w:ind w:left="540" w:hanging="260"/>
      </w:pPr>
      <w:r>
        <w:rPr>
          <w:rFonts w:ascii="Calibri" w:cs="Calibri" w:eastAsia="Calibri" w:hAnsi="Calibri"/>
          <w:color w:val="0D7377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Les modèles Deep Learning existants sont des "boîtes noires" : classifient sans justifier.</w:t>
      </w:r>
    </w:p>
    <w:p>
      <w:pPr>
        <w:spacing w:after="50" w:before="50"/>
        <w:ind w:left="540" w:hanging="260"/>
      </w:pPr>
      <w:r>
        <w:rPr>
          <w:rFonts w:ascii="Calibri" w:cs="Calibri" w:eastAsia="Calibri" w:hAnsi="Calibri"/>
          <w:color w:val="0D7377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En contexte médical, une prédiction sans explication est cliniquement inacceptable.</w:t>
      </w:r>
    </w:p>
    <w:p>
      <w:pPr>
        <w:spacing w:after="50" w:before="50"/>
        <w:ind w:left="540" w:hanging="260"/>
      </w:pPr>
      <w:r>
        <w:rPr>
          <w:rFonts w:ascii="Calibri" w:cs="Calibri" w:eastAsia="Calibri" w:hAnsi="Calibri"/>
          <w:color w:val="0D7377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Absence de solution open-source combinant classification + explainability via API REST.</w:t>
      </w:r>
    </w:p>
    <w:p>
      <w:pPr>
        <w:spacing w:before="80"/>
      </w:pPr>
      <w:r>
        <w:t xml:space="preserve"/>
      </w:r>
    </w:p>
    <w:p>
      <w:pPr>
        <w:pStyle w:val="Heading2"/>
        <w:spacing w:after="80" w:before="220"/>
      </w:pPr>
      <w:r>
        <w:rPr>
          <w:rFonts w:ascii="Calibri" w:cs="Calibri" w:eastAsia="Calibri" w:hAnsi="Calibri"/>
          <w:b/>
          <w:bCs/>
          <w:color w:val="0D7377"/>
          <w:sz w:val="26"/>
          <w:szCs w:val="26"/>
        </w:rPr>
        <w:t xml:space="preserve">1.3 Solution proposée</w:t>
      </w:r>
    </w:p>
    <w:p>
      <w:pPr>
        <w:spacing w:after="50" w:before="50"/>
        <w:ind w:left="540" w:hanging="260"/>
      </w:pPr>
      <w:r>
        <w:rPr>
          <w:rFonts w:ascii="Calibri" w:cs="Calibri" w:eastAsia="Calibri" w:hAnsi="Calibri"/>
          <w:color w:val="0D7377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API REST prenant en entrée une radiographie thoracique (JPEG/PNG).</w:t>
      </w:r>
    </w:p>
    <w:p>
      <w:pPr>
        <w:spacing w:after="50" w:before="50"/>
        <w:ind w:left="540" w:hanging="260"/>
      </w:pPr>
      <w:r>
        <w:rPr>
          <w:rFonts w:ascii="Calibri" w:cs="Calibri" w:eastAsia="Calibri" w:hAnsi="Calibri"/>
          <w:color w:val="0D7377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Retourner un diagnostic binaire (Normal / Pneumonie) avec score de confiance.</w:t>
      </w:r>
    </w:p>
    <w:p>
      <w:pPr>
        <w:spacing w:after="50" w:before="50"/>
        <w:ind w:left="540" w:hanging="260"/>
      </w:pPr>
      <w:r>
        <w:rPr>
          <w:rFonts w:ascii="Calibri" w:cs="Calibri" w:eastAsia="Calibri" w:hAnsi="Calibri"/>
          <w:color w:val="0D7377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Générer et retourner une heatmap Grad-CAM localisant la zone motivant la décision.</w:t>
      </w:r>
    </w:p>
    <w:p>
      <w:pPr>
        <w:spacing w:before="100"/>
      </w:pPr>
      <w:r>
        <w:t xml:space="preserve"/>
      </w:r>
    </w:p>
    <w:p>
      <w:pPr>
        <w:pStyle w:val="Heading1"/>
        <w:pBdr>
          <w:bottom w:val="single" w:color="0D7377" w:sz="6" w:space="3"/>
        </w:pBdr>
        <w:spacing w:after="160" w:before="360"/>
      </w:pPr>
      <w:r>
        <w:rPr>
          <w:rFonts w:ascii="Calibri" w:cs="Calibri" w:eastAsia="Calibri" w:hAnsi="Calibri"/>
          <w:b/>
          <w:bCs/>
          <w:color w:val="1A3A5C"/>
          <w:sz w:val="36"/>
          <w:szCs w:val="36"/>
        </w:rPr>
        <w:t xml:space="preserve">2. Objectifs</w:t>
      </w:r>
    </w:p>
    <w:p>
      <w:pPr>
        <w:spacing w:before="60"/>
      </w:pPr>
      <w:r>
        <w:t xml:space="preserve"/>
      </w:r>
    </w:p>
    <w:p>
      <w:pPr>
        <w:pStyle w:val="Heading2"/>
        <w:spacing w:after="80" w:before="220"/>
      </w:pPr>
      <w:r>
        <w:rPr>
          <w:rFonts w:ascii="Calibri" w:cs="Calibri" w:eastAsia="Calibri" w:hAnsi="Calibri"/>
          <w:b/>
          <w:bCs/>
          <w:color w:val="0D7377"/>
          <w:sz w:val="26"/>
          <w:szCs w:val="26"/>
        </w:rPr>
        <w:t xml:space="preserve">2.1 Objectifs techniques (quantifiables)</w:t>
      </w:r>
    </w:p>
    <w:p>
      <w:pPr>
        <w:spacing w:after="50" w:before="50"/>
        <w:ind w:left="540" w:hanging="260"/>
      </w:pPr>
      <w:r>
        <w:rPr>
          <w:rFonts w:ascii="Calibri" w:cs="Calibri" w:eastAsia="Calibri" w:hAnsi="Calibri"/>
          <w:color w:val="0D7377"/>
          <w:sz w:val="20"/>
          <w:szCs w:val="20"/>
        </w:rPr>
        <w:t xml:space="preserve">▸  </w:t>
      </w:r>
      <w:r>
        <w:rPr>
          <w:rFonts w:ascii="Calibri" w:cs="Calibri" w:eastAsia="Calibri" w:hAnsi="Calibri"/>
          <w:b/>
          <w:bCs/>
          <w:color w:val="1A3A5C"/>
          <w:sz w:val="21"/>
          <w:szCs w:val="21"/>
        </w:rPr>
        <w:t xml:space="preserve">AUC-ROC ≥ 0.85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sur le jeu de test — métrique principale.</w:t>
      </w:r>
    </w:p>
    <w:p>
      <w:pPr>
        <w:spacing w:after="50" w:before="50"/>
        <w:ind w:left="540" w:hanging="260"/>
      </w:pPr>
      <w:r>
        <w:rPr>
          <w:rFonts w:ascii="Calibri" w:cs="Calibri" w:eastAsia="Calibri" w:hAnsi="Calibri"/>
          <w:color w:val="0D7377"/>
          <w:sz w:val="20"/>
          <w:szCs w:val="20"/>
        </w:rPr>
        <w:t xml:space="preserve">▸  </w:t>
      </w:r>
      <w:r>
        <w:rPr>
          <w:rFonts w:ascii="Calibri" w:cs="Calibri" w:eastAsia="Calibri" w:hAnsi="Calibri"/>
          <w:b/>
          <w:bCs/>
          <w:color w:val="1A3A5C"/>
          <w:sz w:val="21"/>
          <w:szCs w:val="21"/>
        </w:rPr>
        <w:t xml:space="preserve">Recall ≥ 0.88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sur la classe Pneumonie — minimiser les faux négatifs.</w:t>
      </w:r>
    </w:p>
    <w:p>
      <w:pPr>
        <w:spacing w:after="50" w:before="50"/>
        <w:ind w:left="540" w:hanging="260"/>
      </w:pPr>
      <w:r>
        <w:rPr>
          <w:rFonts w:ascii="Calibri" w:cs="Calibri" w:eastAsia="Calibri" w:hAnsi="Calibri"/>
          <w:color w:val="0D7377"/>
          <w:sz w:val="20"/>
          <w:szCs w:val="20"/>
        </w:rPr>
        <w:t xml:space="preserve">▸  </w:t>
      </w:r>
      <w:r>
        <w:rPr>
          <w:rFonts w:ascii="Calibri" w:cs="Calibri" w:eastAsia="Calibri" w:hAnsi="Calibri"/>
          <w:b/>
          <w:bCs/>
          <w:color w:val="1A3A5C"/>
          <w:sz w:val="21"/>
          <w:szCs w:val="21"/>
        </w:rPr>
        <w:t xml:space="preserve">Latence API ≤ 3 s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pour une requête /predict avec calcul Grad-CAM (CPU).</w:t>
      </w:r>
    </w:p>
    <w:p>
      <w:pPr>
        <w:spacing w:after="50" w:before="50"/>
        <w:ind w:left="540" w:hanging="260"/>
      </w:pPr>
      <w:r>
        <w:rPr>
          <w:rFonts w:ascii="Calibri" w:cs="Calibri" w:eastAsia="Calibri" w:hAnsi="Calibri"/>
          <w:color w:val="0D7377"/>
          <w:sz w:val="20"/>
          <w:szCs w:val="20"/>
        </w:rPr>
        <w:t xml:space="preserve">▸  </w:t>
      </w:r>
      <w:r>
        <w:rPr>
          <w:rFonts w:ascii="Calibri" w:cs="Calibri" w:eastAsia="Calibri" w:hAnsi="Calibri"/>
          <w:b/>
          <w:bCs/>
          <w:color w:val="1A3A5C"/>
          <w:sz w:val="21"/>
          <w:szCs w:val="21"/>
        </w:rPr>
        <w:t xml:space="preserve">Disponibilité ≥ 99%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du service pendant les démonstrations.</w:t>
      </w:r>
    </w:p>
    <w:p>
      <w:pPr>
        <w:spacing w:before="80"/>
      </w:pPr>
      <w:r>
        <w:t xml:space="preserve"/>
      </w:r>
    </w:p>
    <w:p>
      <w:pPr>
        <w:pStyle w:val="Heading2"/>
        <w:spacing w:after="80" w:before="220"/>
      </w:pPr>
      <w:r>
        <w:rPr>
          <w:rFonts w:ascii="Calibri" w:cs="Calibri" w:eastAsia="Calibri" w:hAnsi="Calibri"/>
          <w:b/>
          <w:bCs/>
          <w:color w:val="0D7377"/>
          <w:sz w:val="26"/>
          <w:szCs w:val="26"/>
        </w:rPr>
        <w:t xml:space="preserve">2.2 Objectifs portfolio</w:t>
      </w:r>
    </w:p>
    <w:p>
      <w:pPr>
        <w:spacing w:after="50" w:before="50"/>
        <w:ind w:left="540" w:hanging="260"/>
      </w:pPr>
      <w:r>
        <w:rPr>
          <w:rFonts w:ascii="Calibri" w:cs="Calibri" w:eastAsia="Calibri" w:hAnsi="Calibri"/>
          <w:color w:val="0D7377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Démontrer la maîtrise d'un pipeline ML end-to-end (données → modèle → serving).</w:t>
      </w:r>
    </w:p>
    <w:p>
      <w:pPr>
        <w:spacing w:after="50" w:before="50"/>
        <w:ind w:left="540" w:hanging="260"/>
      </w:pPr>
      <w:r>
        <w:rPr>
          <w:rFonts w:ascii="Calibri" w:cs="Calibri" w:eastAsia="Calibri" w:hAnsi="Calibri"/>
          <w:color w:val="0D7377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Illustrer la notion d'XAI avec une implémentation mathématiquement fondée (Grad-CAM via GradientTape).</w:t>
      </w:r>
    </w:p>
    <w:p>
      <w:pPr>
        <w:spacing w:after="50" w:before="50"/>
        <w:ind w:left="540" w:hanging="260"/>
      </w:pPr>
      <w:r>
        <w:rPr>
          <w:rFonts w:ascii="Calibri" w:cs="Calibri" w:eastAsia="Calibri" w:hAnsi="Calibri"/>
          <w:color w:val="0D7377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Fournir un projet structuré, documenté et reproductible pour présentation en entretien stage.</w:t>
      </w:r>
    </w:p>
    <w:p>
      <w:pPr>
        <w:spacing w:before="100"/>
      </w:pPr>
      <w:r>
        <w:t xml:space="preserve"/>
      </w:r>
    </w:p>
    <w:p>
      <w:pPr>
        <w:pStyle w:val="Heading1"/>
        <w:pBdr>
          <w:bottom w:val="single" w:color="0D7377" w:sz="6" w:space="3"/>
        </w:pBdr>
        <w:spacing w:after="160" w:before="360"/>
      </w:pPr>
      <w:r>
        <w:rPr>
          <w:rFonts w:ascii="Calibri" w:cs="Calibri" w:eastAsia="Calibri" w:hAnsi="Calibri"/>
          <w:b/>
          <w:bCs/>
          <w:color w:val="1A3A5C"/>
          <w:sz w:val="36"/>
          <w:szCs w:val="36"/>
        </w:rPr>
        <w:t xml:space="preserve">3. Périmètre (Scope)</w:t>
      </w:r>
    </w:p>
    <w:p>
      <w:pPr>
        <w:spacing w:before="60"/>
      </w:pPr>
      <w:r>
        <w:t xml:space="preserve"/>
      </w:r>
    </w:p>
    <w:p>
      <w:pPr>
        <w:pStyle w:val="Heading2"/>
        <w:spacing w:after="80" w:before="220"/>
      </w:pPr>
      <w:r>
        <w:rPr>
          <w:rFonts w:ascii="Calibri" w:cs="Calibri" w:eastAsia="Calibri" w:hAnsi="Calibri"/>
          <w:b/>
          <w:bCs/>
          <w:color w:val="0D7377"/>
          <w:sz w:val="26"/>
          <w:szCs w:val="26"/>
        </w:rPr>
        <w:t xml:space="preserve">3.1 Dans le scope — Inclus</w:t>
      </w:r>
    </w:p>
    <w:p>
      <w:pPr>
        <w:spacing w:after="50" w:before="50"/>
        <w:ind w:left="540" w:hanging="260"/>
      </w:pPr>
      <w:r>
        <w:rPr>
          <w:rFonts w:ascii="Calibri" w:cs="Calibri" w:eastAsia="Calibri" w:hAnsi="Calibri"/>
          <w:color w:val="0D7377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Classification binaire : Pneumonie vs Normal sur radiographies thoraciques.</w:t>
      </w:r>
    </w:p>
    <w:p>
      <w:pPr>
        <w:spacing w:after="50" w:before="50"/>
        <w:ind w:left="540" w:hanging="260"/>
      </w:pPr>
      <w:r>
        <w:rPr>
          <w:rFonts w:ascii="Calibri" w:cs="Calibri" w:eastAsia="Calibri" w:hAnsi="Calibri"/>
          <w:color w:val="0D7377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Pipeline tf.data : preprocessing, augmentation médicale, stratified split.</w:t>
      </w:r>
    </w:p>
    <w:p>
      <w:pPr>
        <w:spacing w:after="50" w:before="50"/>
        <w:ind w:left="540" w:hanging="260"/>
      </w:pPr>
      <w:r>
        <w:rPr>
          <w:rFonts w:ascii="Calibri" w:cs="Calibri" w:eastAsia="Calibri" w:hAnsi="Calibri"/>
          <w:color w:val="0D7377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Modèle CNN ResNet50V2 (Transfer Learning ImageNet) + fine-tuning two-phase.</w:t>
      </w:r>
    </w:p>
    <w:p>
      <w:pPr>
        <w:spacing w:after="50" w:before="50"/>
        <w:ind w:left="540" w:hanging="260"/>
      </w:pPr>
      <w:r>
        <w:rPr>
          <w:rFonts w:ascii="Calibri" w:cs="Calibri" w:eastAsia="Calibri" w:hAnsi="Calibri"/>
          <w:color w:val="0D7377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Implémentation Grad-CAM manuelle via tf.GradientTape.</w:t>
      </w:r>
    </w:p>
    <w:p>
      <w:pPr>
        <w:spacing w:after="50" w:before="50"/>
        <w:ind w:left="540" w:hanging="260"/>
      </w:pPr>
      <w:r>
        <w:rPr>
          <w:rFonts w:ascii="Calibri" w:cs="Calibri" w:eastAsia="Calibri" w:hAnsi="Calibri"/>
          <w:color w:val="0D7377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API FastAPI avec endpoint POST /predict retournant JSON + heatmap base64.</w:t>
      </w:r>
    </w:p>
    <w:p>
      <w:pPr>
        <w:spacing w:after="50" w:before="50"/>
        <w:ind w:left="540" w:hanging="260"/>
      </w:pPr>
      <w:r>
        <w:rPr>
          <w:rFonts w:ascii="Calibri" w:cs="Calibri" w:eastAsia="Calibri" w:hAnsi="Calibri"/>
          <w:color w:val="0D7377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Page HTML/JS basique pour démo visuelle (non détaillée dans ce CDC).</w:t>
      </w:r>
    </w:p>
    <w:p>
      <w:pPr>
        <w:spacing w:before="80"/>
      </w:pPr>
      <w:r>
        <w:t xml:space="preserve"/>
      </w:r>
    </w:p>
    <w:p>
      <w:pPr>
        <w:pStyle w:val="Heading2"/>
        <w:spacing w:after="80" w:before="220"/>
      </w:pPr>
      <w:r>
        <w:rPr>
          <w:rFonts w:ascii="Calibri" w:cs="Calibri" w:eastAsia="Calibri" w:hAnsi="Calibri"/>
          <w:b/>
          <w:bCs/>
          <w:color w:val="0D7377"/>
          <w:sz w:val="26"/>
          <w:szCs w:val="26"/>
        </w:rPr>
        <w:t xml:space="preserve">3.2 Hors scope — Exclu</w:t>
      </w:r>
    </w:p>
    <w:p>
      <w:pPr>
        <w:spacing w:after="50" w:before="50"/>
        <w:ind w:left="540" w:hanging="260"/>
      </w:pPr>
      <w:r>
        <w:rPr>
          <w:rFonts w:ascii="Calibri" w:cs="Calibri" w:eastAsia="Calibri" w:hAnsi="Calibri"/>
          <w:color w:val="0D7377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Certification médicale ou validation clinique — projet académique uniquement.</w:t>
      </w:r>
    </w:p>
    <w:p>
      <w:pPr>
        <w:spacing w:after="50" w:before="50"/>
        <w:ind w:left="540" w:hanging="260"/>
      </w:pPr>
      <w:r>
        <w:rPr>
          <w:rFonts w:ascii="Calibri" w:cs="Calibri" w:eastAsia="Calibri" w:hAnsi="Calibri"/>
          <w:color w:val="0D7377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Classification multi-pathologies (14 classes NIH) — reporté en V2.</w:t>
      </w:r>
    </w:p>
    <w:p>
      <w:pPr>
        <w:spacing w:after="50" w:before="50"/>
        <w:ind w:left="540" w:hanging="260"/>
      </w:pPr>
      <w:r>
        <w:rPr>
          <w:rFonts w:ascii="Calibri" w:cs="Calibri" w:eastAsia="Calibri" w:hAnsi="Calibri"/>
          <w:color w:val="0D7377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Gestion des utilisateurs, authentification, base de données patients.</w:t>
      </w:r>
    </w:p>
    <w:p>
      <w:pPr>
        <w:spacing w:after="50" w:before="50"/>
        <w:ind w:left="540" w:hanging="260"/>
      </w:pPr>
      <w:r>
        <w:rPr>
          <w:rFonts w:ascii="Calibri" w:cs="Calibri" w:eastAsia="Calibri" w:hAnsi="Calibri"/>
          <w:color w:val="0D7377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Déploiement cloud production (AWS/GCP) — Docker local suffit pour le MVP.</w:t>
      </w:r>
    </w:p>
    <w:p>
      <w:pPr>
        <w:spacing w:after="50" w:before="50"/>
        <w:ind w:left="540" w:hanging="260"/>
      </w:pPr>
      <w:r>
        <w:rPr>
          <w:rFonts w:ascii="Calibri" w:cs="Calibri" w:eastAsia="Calibri" w:hAnsi="Calibri"/>
          <w:color w:val="0D7377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Application mobile native.</w:t>
      </w:r>
    </w:p>
    <w:p>
      <w:pPr>
        <w:spacing w:before="80"/>
      </w:pPr>
      <w:r>
        <w:t xml:space="preserve"/>
      </w:r>
    </w:p>
    <w:p>
      <w:pPr>
        <w:pStyle w:val="Heading2"/>
        <w:spacing w:after="80" w:before="220"/>
      </w:pPr>
      <w:r>
        <w:rPr>
          <w:rFonts w:ascii="Calibri" w:cs="Calibri" w:eastAsia="Calibri" w:hAnsi="Calibri"/>
          <w:b/>
          <w:bCs/>
          <w:color w:val="0D7377"/>
          <w:sz w:val="26"/>
          <w:szCs w:val="26"/>
        </w:rPr>
        <w:t xml:space="preserve">3.3 Plateforme cible</w:t>
      </w:r>
    </w:p>
    <w:p>
      <w:pPr>
        <w:spacing w:after="50" w:before="50"/>
        <w:ind w:left="540" w:hanging="260"/>
      </w:pPr>
      <w:r>
        <w:rPr>
          <w:rFonts w:ascii="Calibri" w:cs="Calibri" w:eastAsia="Calibri" w:hAnsi="Calibri"/>
          <w:color w:val="0D7377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Environnement : Python 3.10+, TensorFlow 2.13+, FastAPI, Uvicorn.</w:t>
      </w:r>
    </w:p>
    <w:p>
      <w:pPr>
        <w:spacing w:after="50" w:before="50"/>
        <w:ind w:left="540" w:hanging="260"/>
      </w:pPr>
      <w:r>
        <w:rPr>
          <w:rFonts w:ascii="Calibri" w:cs="Calibri" w:eastAsia="Calibri" w:hAnsi="Calibri"/>
          <w:color w:val="0D7377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Déploiement MVP : local ou conteneur Docker (CPU, GPU optionnel).</w:t>
      </w:r>
    </w:p>
    <w:p>
      <w:pPr>
        <w:spacing w:after="50" w:before="50"/>
        <w:ind w:left="540" w:hanging="260"/>
      </w:pPr>
      <w:r>
        <w:rPr>
          <w:rFonts w:ascii="Calibri" w:cs="Calibri" w:eastAsia="Calibri" w:hAnsi="Calibri"/>
          <w:color w:val="0D7377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Interface : API REST consommable via tout client HTTP.</w:t>
      </w:r>
    </w:p>
    <w:p>
      <w:pPr>
        <w:spacing w:before="100"/>
      </w:pPr>
      <w:r>
        <w:t xml:space="preserve"/>
      </w:r>
    </w:p>
    <w:p>
      <w:pPr>
        <w:pStyle w:val="Heading1"/>
        <w:pBdr>
          <w:bottom w:val="single" w:color="0D7377" w:sz="6" w:space="3"/>
        </w:pBdr>
        <w:spacing w:after="160" w:before="360"/>
      </w:pPr>
      <w:r>
        <w:rPr>
          <w:rFonts w:ascii="Calibri" w:cs="Calibri" w:eastAsia="Calibri" w:hAnsi="Calibri"/>
          <w:b/>
          <w:bCs/>
          <w:color w:val="1A3A5C"/>
          <w:sz w:val="36"/>
          <w:szCs w:val="36"/>
        </w:rPr>
        <w:t xml:space="preserve">4. Parties Prenantes</w:t>
      </w:r>
    </w:p>
    <w:p>
      <w:pPr>
        <w:spacing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200"/>
      </w:tblGrid>
      <w:tr>
        <w:tc>
          <w:tcPr>
            <w:tcW w:type="dxa" w:w="2400"/>
            <w:tcBorders>
              <w:top w:val="single" w:color="AACCDD" w:sz="1"/>
              <w:left w:val="single" w:color="AACCDD" w:sz="1"/>
              <w:bottom w:val="single" w:color="AACCDD" w:sz="1"/>
              <w:right w:val="single" w:color="AACCD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Partie prenante</w:t>
            </w:r>
          </w:p>
        </w:tc>
        <w:tc>
          <w:tcPr>
            <w:tcW w:type="dxa" w:w="2600"/>
            <w:tcBorders>
              <w:top w:val="single" w:color="AACCDD" w:sz="1"/>
              <w:left w:val="single" w:color="AACCDD" w:sz="1"/>
              <w:bottom w:val="single" w:color="AACCDD" w:sz="1"/>
              <w:right w:val="single" w:color="AACCD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200"/>
            <w:tcBorders>
              <w:top w:val="single" w:color="AACCDD" w:sz="1"/>
              <w:left w:val="single" w:color="AACCDD" w:sz="1"/>
              <w:bottom w:val="single" w:color="AACCDD" w:sz="1"/>
              <w:right w:val="single" w:color="AACCD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Interet dans le projet</w:t>
            </w:r>
          </w:p>
        </w:tc>
      </w:tr>
      <w:tr>
        <w:tc>
          <w:tcPr>
            <w:tcW w:type="dxa" w:w="2400"/>
            <w:tcBorders>
              <w:top w:val="single" w:color="AACCDD" w:sz="1"/>
              <w:left w:val="single" w:color="AACCDD" w:sz="1"/>
              <w:bottom w:val="single" w:color="AACCDD" w:sz="1"/>
              <w:right w:val="single" w:color="AACCDD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Developpeur (etudiant)</w:t>
            </w:r>
          </w:p>
        </w:tc>
        <w:tc>
          <w:tcPr>
            <w:tcW w:type="dxa" w:w="2600"/>
            <w:tcBorders>
              <w:top w:val="single" w:color="AACCDD" w:sz="1"/>
              <w:left w:val="single" w:color="AACCDD" w:sz="1"/>
              <w:bottom w:val="single" w:color="AACCDD" w:sz="1"/>
              <w:right w:val="single" w:color="AACCDD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0D7377"/>
                <w:sz w:val="20"/>
                <w:szCs w:val="20"/>
              </w:rPr>
              <w:t xml:space="preserve">Maitre d'oeuvre</w:t>
            </w:r>
          </w:p>
        </w:tc>
        <w:tc>
          <w:tcPr>
            <w:tcW w:type="dxa" w:w="4200"/>
            <w:tcBorders>
              <w:top w:val="single" w:color="AACCDD" w:sz="1"/>
              <w:left w:val="single" w:color="AACCDD" w:sz="1"/>
              <w:bottom w:val="single" w:color="AACCDD" w:sz="1"/>
              <w:right w:val="single" w:color="AA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Conception, developpement et documentation complète.</w:t>
            </w:r>
          </w:p>
        </w:tc>
      </w:tr>
      <w:tr>
        <w:tc>
          <w:tcPr>
            <w:tcW w:type="dxa" w:w="2400"/>
            <w:tcBorders>
              <w:top w:val="single" w:color="AACCDD" w:sz="1"/>
              <w:left w:val="single" w:color="AACCDD" w:sz="1"/>
              <w:bottom w:val="single" w:color="AACCDD" w:sz="1"/>
              <w:right w:val="single" w:color="AACCDD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Recruteur / Jury</w:t>
            </w:r>
          </w:p>
        </w:tc>
        <w:tc>
          <w:tcPr>
            <w:tcW w:type="dxa" w:w="2600"/>
            <w:tcBorders>
              <w:top w:val="single" w:color="AACCDD" w:sz="1"/>
              <w:left w:val="single" w:color="AACCDD" w:sz="1"/>
              <w:bottom w:val="single" w:color="AACCDD" w:sz="1"/>
              <w:right w:val="single" w:color="AACCDD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0D7377"/>
                <w:sz w:val="20"/>
                <w:szCs w:val="20"/>
              </w:rPr>
              <w:t xml:space="preserve">Evaluateur direct</w:t>
            </w:r>
          </w:p>
        </w:tc>
        <w:tc>
          <w:tcPr>
            <w:tcW w:type="dxa" w:w="4200"/>
            <w:tcBorders>
              <w:top w:val="single" w:color="AACCDD" w:sz="1"/>
              <w:left w:val="single" w:color="AACCDD" w:sz="1"/>
              <w:bottom w:val="single" w:color="AACCDD" w:sz="1"/>
              <w:right w:val="single" w:color="AA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Evaluer la maitrise ML/AI pour selection stage.</w:t>
            </w:r>
          </w:p>
        </w:tc>
      </w:tr>
      <w:tr>
        <w:tc>
          <w:tcPr>
            <w:tcW w:type="dxa" w:w="2400"/>
            <w:tcBorders>
              <w:top w:val="single" w:color="AACCDD" w:sz="1"/>
              <w:left w:val="single" w:color="AACCDD" w:sz="1"/>
              <w:bottom w:val="single" w:color="AACCDD" w:sz="1"/>
              <w:right w:val="single" w:color="AACCDD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Medecin / Radiologue</w:t>
            </w:r>
          </w:p>
        </w:tc>
        <w:tc>
          <w:tcPr>
            <w:tcW w:type="dxa" w:w="2600"/>
            <w:tcBorders>
              <w:top w:val="single" w:color="AACCDD" w:sz="1"/>
              <w:left w:val="single" w:color="AACCDD" w:sz="1"/>
              <w:bottom w:val="single" w:color="AACCDD" w:sz="1"/>
              <w:right w:val="single" w:color="AACCDD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0D7377"/>
                <w:sz w:val="20"/>
                <w:szCs w:val="20"/>
              </w:rPr>
              <w:t xml:space="preserve">Utilisateur final (V2)</w:t>
            </w:r>
          </w:p>
        </w:tc>
        <w:tc>
          <w:tcPr>
            <w:tcW w:type="dxa" w:w="4200"/>
            <w:tcBorders>
              <w:top w:val="single" w:color="AACCDD" w:sz="1"/>
              <w:left w:val="single" w:color="AACCDD" w:sz="1"/>
              <w:bottom w:val="single" w:color="AACCDD" w:sz="1"/>
              <w:right w:val="single" w:color="AA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Interpreter les heatmaps pour aide au diagnostic.</w:t>
            </w:r>
          </w:p>
        </w:tc>
      </w:tr>
      <w:tr>
        <w:tc>
          <w:tcPr>
            <w:tcW w:type="dxa" w:w="2400"/>
            <w:tcBorders>
              <w:top w:val="single" w:color="AACCDD" w:sz="1"/>
              <w:left w:val="single" w:color="AACCDD" w:sz="1"/>
              <w:bottom w:val="single" w:color="AACCDD" w:sz="1"/>
              <w:right w:val="single" w:color="AACCDD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Professeur encadrant</w:t>
            </w:r>
          </w:p>
        </w:tc>
        <w:tc>
          <w:tcPr>
            <w:tcW w:type="dxa" w:w="2600"/>
            <w:tcBorders>
              <w:top w:val="single" w:color="AACCDD" w:sz="1"/>
              <w:left w:val="single" w:color="AACCDD" w:sz="1"/>
              <w:bottom w:val="single" w:color="AACCDD" w:sz="1"/>
              <w:right w:val="single" w:color="AACCDD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0D7377"/>
                <w:sz w:val="20"/>
                <w:szCs w:val="20"/>
              </w:rPr>
              <w:t xml:space="preserve">Superviseur academique</w:t>
            </w:r>
          </w:p>
        </w:tc>
        <w:tc>
          <w:tcPr>
            <w:tcW w:type="dxa" w:w="4200"/>
            <w:tcBorders>
              <w:top w:val="single" w:color="AACCDD" w:sz="1"/>
              <w:left w:val="single" w:color="AACCDD" w:sz="1"/>
              <w:bottom w:val="single" w:color="AACCDD" w:sz="1"/>
              <w:right w:val="single" w:color="AA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Valider la rigueur methodologique du pipeline ML.</w:t>
            </w:r>
          </w:p>
        </w:tc>
      </w:tr>
      <w:tr>
        <w:tc>
          <w:tcPr>
            <w:tcW w:type="dxa" w:w="2400"/>
            <w:tcBorders>
              <w:top w:val="single" w:color="AACCDD" w:sz="1"/>
              <w:left w:val="single" w:color="AACCDD" w:sz="1"/>
              <w:bottom w:val="single" w:color="AACCDD" w:sz="1"/>
              <w:right w:val="single" w:color="AACCDD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Communaute open-source</w:t>
            </w:r>
          </w:p>
        </w:tc>
        <w:tc>
          <w:tcPr>
            <w:tcW w:type="dxa" w:w="2600"/>
            <w:tcBorders>
              <w:top w:val="single" w:color="AACCDD" w:sz="1"/>
              <w:left w:val="single" w:color="AACCDD" w:sz="1"/>
              <w:bottom w:val="single" w:color="AACCDD" w:sz="1"/>
              <w:right w:val="single" w:color="AACCDD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0D7377"/>
                <w:sz w:val="20"/>
                <w:szCs w:val="20"/>
              </w:rPr>
              <w:t xml:space="preserve">Partie indirecte</w:t>
            </w:r>
          </w:p>
        </w:tc>
        <w:tc>
          <w:tcPr>
            <w:tcW w:type="dxa" w:w="4200"/>
            <w:tcBorders>
              <w:top w:val="single" w:color="AACCDD" w:sz="1"/>
              <w:left w:val="single" w:color="AACCDD" w:sz="1"/>
              <w:bottom w:val="single" w:color="AACCDD" w:sz="1"/>
              <w:right w:val="single" w:color="AA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Beneficier d'une implementation XAI documentee.</w:t>
            </w:r>
          </w:p>
        </w:tc>
      </w:tr>
    </w:tbl>
    <w:p>
      <w:pPr>
        <w:spacing w:before="100"/>
      </w:pPr>
      <w:r>
        <w:t xml:space="preserve"/>
      </w:r>
    </w:p>
    <w:p>
      <w:pPr>
        <w:pStyle w:val="Heading1"/>
        <w:pBdr>
          <w:bottom w:val="single" w:color="0D7377" w:sz="6" w:space="3"/>
        </w:pBdr>
        <w:spacing w:after="160" w:before="360"/>
      </w:pPr>
      <w:r>
        <w:rPr>
          <w:rFonts w:ascii="Calibri" w:cs="Calibri" w:eastAsia="Calibri" w:hAnsi="Calibri"/>
          <w:b/>
          <w:bCs/>
          <w:color w:val="1A3A5C"/>
          <w:sz w:val="36"/>
          <w:szCs w:val="36"/>
        </w:rPr>
        <w:t xml:space="preserve">5. Description des Besoins</w:t>
      </w:r>
    </w:p>
    <w:p>
      <w:pPr>
        <w:spacing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  5.1  Besoins Fonctionnels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  <w:gridCol w:w="2000"/>
      </w:tblGrid>
      <w:tr>
        <w:tc>
          <w:tcPr>
            <w:tcW w:type="dxa" w:w="2400"/>
            <w:tcBorders>
              <w:top w:val="single" w:color="AACCDD" w:sz="1"/>
              <w:left w:val="single" w:color="AACCDD" w:sz="1"/>
              <w:bottom w:val="single" w:color="AACCDD" w:sz="1"/>
              <w:right w:val="single" w:color="AACCDD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Besoin</w:t>
            </w:r>
          </w:p>
        </w:tc>
        <w:tc>
          <w:tcPr>
            <w:tcW w:type="dxa" w:w="4800"/>
            <w:tcBorders>
              <w:top w:val="single" w:color="AACCDD" w:sz="1"/>
              <w:left w:val="single" w:color="AACCDD" w:sz="1"/>
              <w:bottom w:val="single" w:color="AACCDD" w:sz="1"/>
              <w:right w:val="single" w:color="AACCDD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AACCDD" w:sz="1"/>
              <w:left w:val="single" w:color="AACCDD" w:sz="1"/>
              <w:bottom w:val="single" w:color="AACCDD" w:sz="1"/>
              <w:right w:val="single" w:color="AACCDD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Priorité</w:t>
            </w:r>
          </w:p>
        </w:tc>
      </w:tr>
      <w:tr>
        <w:tc>
          <w:tcPr>
            <w:tcBorders>
              <w:top w:val="single" w:color="AACCDD" w:sz="1"/>
              <w:left w:val="single" w:color="AACCDD" w:sz="1"/>
              <w:bottom w:val="single" w:color="AACCDD" w:sz="1"/>
              <w:right w:val="single" w:color="AACCDD" w:sz="1"/>
            </w:tcBorders>
            <w:shd w:fill="E8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BF-01 — Upload image</w:t>
            </w:r>
          </w:p>
        </w:tc>
        <w:tc>
          <w:tcPr>
            <w:tcBorders>
              <w:top w:val="single" w:color="AACCDD" w:sz="1"/>
              <w:left w:val="single" w:color="AACCDD" w:sz="1"/>
              <w:bottom w:val="single" w:color="AACCDD" w:sz="1"/>
              <w:right w:val="single" w:color="AACC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Accepter une image (JPEG/PNG) via POST multipart/form-data.</w:t>
            </w:r>
          </w:p>
        </w:tc>
        <w:tc>
          <w:tcPr>
            <w:tcBorders>
              <w:top w:val="single" w:color="AACCDD" w:sz="1"/>
              <w:left w:val="single" w:color="AACCDD" w:sz="1"/>
              <w:bottom w:val="single" w:color="AACCDD" w:sz="1"/>
              <w:right w:val="single" w:color="AACCDD" w:sz="1"/>
            </w:tcBorders>
            <w:shd w:fill="1E579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HAUTE</w:t>
            </w:r>
          </w:p>
        </w:tc>
      </w:tr>
      <w:tr>
        <w:tc>
          <w:tcPr>
            <w:tcBorders>
              <w:top w:val="single" w:color="AACCDD" w:sz="1"/>
              <w:left w:val="single" w:color="AACCDD" w:sz="1"/>
              <w:bottom w:val="single" w:color="AACCDD" w:sz="1"/>
              <w:right w:val="single" w:color="AACCDD" w:sz="1"/>
            </w:tcBorders>
            <w:shd w:fill="F8FB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BF-02 — Prédiction</w:t>
            </w:r>
          </w:p>
        </w:tc>
        <w:tc>
          <w:tcPr>
            <w:tcBorders>
              <w:top w:val="single" w:color="AACCDD" w:sz="1"/>
              <w:left w:val="single" w:color="AACCDD" w:sz="1"/>
              <w:bottom w:val="single" w:color="AACCDD" w:sz="1"/>
              <w:right w:val="single" w:color="AACC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Classifier l'image : Normal ou Pneumonie avec score de probabilité.</w:t>
            </w:r>
          </w:p>
        </w:tc>
        <w:tc>
          <w:tcPr>
            <w:tcBorders>
              <w:top w:val="single" w:color="AACCDD" w:sz="1"/>
              <w:left w:val="single" w:color="AACCDD" w:sz="1"/>
              <w:bottom w:val="single" w:color="AACCDD" w:sz="1"/>
              <w:right w:val="single" w:color="AACCDD" w:sz="1"/>
            </w:tcBorders>
            <w:shd w:fill="1E579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HAUTE</w:t>
            </w:r>
          </w:p>
        </w:tc>
      </w:tr>
      <w:tr>
        <w:tc>
          <w:tcPr>
            <w:tcBorders>
              <w:top w:val="single" w:color="AACCDD" w:sz="1"/>
              <w:left w:val="single" w:color="AACCDD" w:sz="1"/>
              <w:bottom w:val="single" w:color="AACCDD" w:sz="1"/>
              <w:right w:val="single" w:color="AACCDD" w:sz="1"/>
            </w:tcBorders>
            <w:shd w:fill="E8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BF-03 — Grad-CAM</w:t>
            </w:r>
          </w:p>
        </w:tc>
        <w:tc>
          <w:tcPr>
            <w:tcBorders>
              <w:top w:val="single" w:color="AACCDD" w:sz="1"/>
              <w:left w:val="single" w:color="AACCDD" w:sz="1"/>
              <w:bottom w:val="single" w:color="AACCDD" w:sz="1"/>
              <w:right w:val="single" w:color="AACC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Générer une heatmap de saillance et la retourner encodée en base64.</w:t>
            </w:r>
          </w:p>
        </w:tc>
        <w:tc>
          <w:tcPr>
            <w:tcBorders>
              <w:top w:val="single" w:color="AACCDD" w:sz="1"/>
              <w:left w:val="single" w:color="AACCDD" w:sz="1"/>
              <w:bottom w:val="single" w:color="AACCDD" w:sz="1"/>
              <w:right w:val="single" w:color="AACCDD" w:sz="1"/>
            </w:tcBorders>
            <w:shd w:fill="1E579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HAUTE</w:t>
            </w:r>
          </w:p>
        </w:tc>
      </w:tr>
      <w:tr>
        <w:tc>
          <w:tcPr>
            <w:tcBorders>
              <w:top w:val="single" w:color="AACCDD" w:sz="1"/>
              <w:left w:val="single" w:color="AACCDD" w:sz="1"/>
              <w:bottom w:val="single" w:color="AACCDD" w:sz="1"/>
              <w:right w:val="single" w:color="AACCDD" w:sz="1"/>
            </w:tcBorders>
            <w:shd w:fill="F8FB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BF-04 — Seuil ajustable</w:t>
            </w:r>
          </w:p>
        </w:tc>
        <w:tc>
          <w:tcPr>
            <w:tcBorders>
              <w:top w:val="single" w:color="AACCDD" w:sz="1"/>
              <w:left w:val="single" w:color="AACCDD" w:sz="1"/>
              <w:bottom w:val="single" w:color="AACCDD" w:sz="1"/>
              <w:right w:val="single" w:color="AACC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Permettre de configurer le seuil de décision (défaut : 0.45).</w:t>
            </w:r>
          </w:p>
        </w:tc>
        <w:tc>
          <w:tcPr>
            <w:tcBorders>
              <w:top w:val="single" w:color="AACCDD" w:sz="1"/>
              <w:left w:val="single" w:color="AACCDD" w:sz="1"/>
              <w:bottom w:val="single" w:color="AACCDD" w:sz="1"/>
              <w:right w:val="single" w:color="AACCDD" w:sz="1"/>
            </w:tcBorders>
            <w:shd w:fill="2778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MOYENNE</w:t>
            </w:r>
          </w:p>
        </w:tc>
      </w:tr>
      <w:tr>
        <w:tc>
          <w:tcPr>
            <w:tcBorders>
              <w:top w:val="single" w:color="AACCDD" w:sz="1"/>
              <w:left w:val="single" w:color="AACCDD" w:sz="1"/>
              <w:bottom w:val="single" w:color="AACCDD" w:sz="1"/>
              <w:right w:val="single" w:color="AACCDD" w:sz="1"/>
            </w:tcBorders>
            <w:shd w:fill="E8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BF-05 — Health check</w:t>
            </w:r>
          </w:p>
        </w:tc>
        <w:tc>
          <w:tcPr>
            <w:tcBorders>
              <w:top w:val="single" w:color="AACCDD" w:sz="1"/>
              <w:left w:val="single" w:color="AACCDD" w:sz="1"/>
              <w:bottom w:val="single" w:color="AACCDD" w:sz="1"/>
              <w:right w:val="single" w:color="AACC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Endpoint GET /health retournant l'état du modèle chargé.</w:t>
            </w:r>
          </w:p>
        </w:tc>
        <w:tc>
          <w:tcPr>
            <w:tcBorders>
              <w:top w:val="single" w:color="AACCDD" w:sz="1"/>
              <w:left w:val="single" w:color="AACCDD" w:sz="1"/>
              <w:bottom w:val="single" w:color="AACCDD" w:sz="1"/>
              <w:right w:val="single" w:color="AACCDD" w:sz="1"/>
            </w:tcBorders>
            <w:shd w:fill="2778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MOYENNE</w:t>
            </w:r>
          </w:p>
        </w:tc>
      </w:tr>
      <w:tr>
        <w:tc>
          <w:tcPr>
            <w:tcBorders>
              <w:top w:val="single" w:color="AACCDD" w:sz="1"/>
              <w:left w:val="single" w:color="AACCDD" w:sz="1"/>
              <w:bottom w:val="single" w:color="AACCDD" w:sz="1"/>
              <w:right w:val="single" w:color="AACCDD" w:sz="1"/>
            </w:tcBorders>
            <w:shd w:fill="F8FB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BF-06 — Docs auto</w:t>
            </w:r>
          </w:p>
        </w:tc>
        <w:tc>
          <w:tcPr>
            <w:tcBorders>
              <w:top w:val="single" w:color="AACCDD" w:sz="1"/>
              <w:left w:val="single" w:color="AACCDD" w:sz="1"/>
              <w:bottom w:val="single" w:color="AACCDD" w:sz="1"/>
              <w:right w:val="single" w:color="AACC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Documentation Swagger/OpenAPI auto-générée par FastAPI.</w:t>
            </w:r>
          </w:p>
        </w:tc>
        <w:tc>
          <w:tcPr>
            <w:tcBorders>
              <w:top w:val="single" w:color="AACCDD" w:sz="1"/>
              <w:left w:val="single" w:color="AACCDD" w:sz="1"/>
              <w:bottom w:val="single" w:color="AACCDD" w:sz="1"/>
              <w:right w:val="single" w:color="AACCDD" w:sz="1"/>
            </w:tcBorders>
            <w:shd w:fill="5A7A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BASSE</w:t>
            </w:r>
          </w:p>
        </w:tc>
      </w:tr>
    </w:tbl>
    <w:p>
      <w:pPr>
        <w:spacing w:before="1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737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  5.2  Besoins Non Fonctionnels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  <w:gridCol w:w="2000"/>
      </w:tblGrid>
      <w:tr>
        <w:tc>
          <w:tcPr>
            <w:tcW w:type="dxa" w:w="2400"/>
            <w:tcBorders>
              <w:top w:val="single" w:color="AACCDD" w:sz="1"/>
              <w:left w:val="single" w:color="AACCDD" w:sz="1"/>
              <w:bottom w:val="single" w:color="AACCDD" w:sz="1"/>
              <w:right w:val="single" w:color="AACCDD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Besoin</w:t>
            </w:r>
          </w:p>
        </w:tc>
        <w:tc>
          <w:tcPr>
            <w:tcW w:type="dxa" w:w="4800"/>
            <w:tcBorders>
              <w:top w:val="single" w:color="AACCDD" w:sz="1"/>
              <w:left w:val="single" w:color="AACCDD" w:sz="1"/>
              <w:bottom w:val="single" w:color="AACCDD" w:sz="1"/>
              <w:right w:val="single" w:color="AACCDD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AACCDD" w:sz="1"/>
              <w:left w:val="single" w:color="AACCDD" w:sz="1"/>
              <w:bottom w:val="single" w:color="AACCDD" w:sz="1"/>
              <w:right w:val="single" w:color="AACCDD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Priorité</w:t>
            </w:r>
          </w:p>
        </w:tc>
      </w:tr>
      <w:tr>
        <w:tc>
          <w:tcPr>
            <w:tcBorders>
              <w:top w:val="single" w:color="AACCDD" w:sz="1"/>
              <w:left w:val="single" w:color="AACCDD" w:sz="1"/>
              <w:bottom w:val="single" w:color="AACCDD" w:sz="1"/>
              <w:right w:val="single" w:color="AACCDD" w:sz="1"/>
            </w:tcBorders>
            <w:shd w:fill="E8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BNF-01 — Performance</w:t>
            </w:r>
          </w:p>
        </w:tc>
        <w:tc>
          <w:tcPr>
            <w:tcBorders>
              <w:top w:val="single" w:color="AACCDD" w:sz="1"/>
              <w:left w:val="single" w:color="AACCDD" w:sz="1"/>
              <w:bottom w:val="single" w:color="AACCDD" w:sz="1"/>
              <w:right w:val="single" w:color="AACC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Réponse /predict ≤ 3 secondes sur CPU standard.</w:t>
            </w:r>
          </w:p>
        </w:tc>
        <w:tc>
          <w:tcPr>
            <w:tcBorders>
              <w:top w:val="single" w:color="AACCDD" w:sz="1"/>
              <w:left w:val="single" w:color="AACCDD" w:sz="1"/>
              <w:bottom w:val="single" w:color="AACCDD" w:sz="1"/>
              <w:right w:val="single" w:color="AACCDD" w:sz="1"/>
            </w:tcBorders>
            <w:shd w:fill="1E579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HAUTE</w:t>
            </w:r>
          </w:p>
        </w:tc>
      </w:tr>
      <w:tr>
        <w:tc>
          <w:tcPr>
            <w:tcBorders>
              <w:top w:val="single" w:color="AACCDD" w:sz="1"/>
              <w:left w:val="single" w:color="AACCDD" w:sz="1"/>
              <w:bottom w:val="single" w:color="AACCDD" w:sz="1"/>
              <w:right w:val="single" w:color="AACCDD" w:sz="1"/>
            </w:tcBorders>
            <w:shd w:fill="F8FB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BNF-02 — Recall médical</w:t>
            </w:r>
          </w:p>
        </w:tc>
        <w:tc>
          <w:tcPr>
            <w:tcBorders>
              <w:top w:val="single" w:color="AACCDD" w:sz="1"/>
              <w:left w:val="single" w:color="AACCDD" w:sz="1"/>
              <w:bottom w:val="single" w:color="AACCDD" w:sz="1"/>
              <w:right w:val="single" w:color="AACC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Recall classe Pneumonie ≥ 0.88 sur le jeu de test.</w:t>
            </w:r>
          </w:p>
        </w:tc>
        <w:tc>
          <w:tcPr>
            <w:tcBorders>
              <w:top w:val="single" w:color="AACCDD" w:sz="1"/>
              <w:left w:val="single" w:color="AACCDD" w:sz="1"/>
              <w:bottom w:val="single" w:color="AACCDD" w:sz="1"/>
              <w:right w:val="single" w:color="AACCDD" w:sz="1"/>
            </w:tcBorders>
            <w:shd w:fill="1E579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HAUTE</w:t>
            </w:r>
          </w:p>
        </w:tc>
      </w:tr>
      <w:tr>
        <w:tc>
          <w:tcPr>
            <w:tcBorders>
              <w:top w:val="single" w:color="AACCDD" w:sz="1"/>
              <w:left w:val="single" w:color="AACCDD" w:sz="1"/>
              <w:bottom w:val="single" w:color="AACCDD" w:sz="1"/>
              <w:right w:val="single" w:color="AACCDD" w:sz="1"/>
            </w:tcBorders>
            <w:shd w:fill="E8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BNF-03 — AUC-ROC</w:t>
            </w:r>
          </w:p>
        </w:tc>
        <w:tc>
          <w:tcPr>
            <w:tcBorders>
              <w:top w:val="single" w:color="AACCDD" w:sz="1"/>
              <w:left w:val="single" w:color="AACCDD" w:sz="1"/>
              <w:bottom w:val="single" w:color="AACCDD" w:sz="1"/>
              <w:right w:val="single" w:color="AACC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AUC-ROC ≥ 0.85 — métrique principale d'évaluation.</w:t>
            </w:r>
          </w:p>
        </w:tc>
        <w:tc>
          <w:tcPr>
            <w:tcBorders>
              <w:top w:val="single" w:color="AACCDD" w:sz="1"/>
              <w:left w:val="single" w:color="AACCDD" w:sz="1"/>
              <w:bottom w:val="single" w:color="AACCDD" w:sz="1"/>
              <w:right w:val="single" w:color="AACCDD" w:sz="1"/>
            </w:tcBorders>
            <w:shd w:fill="1E579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HAUTE</w:t>
            </w:r>
          </w:p>
        </w:tc>
      </w:tr>
      <w:tr>
        <w:tc>
          <w:tcPr>
            <w:tcBorders>
              <w:top w:val="single" w:color="AACCDD" w:sz="1"/>
              <w:left w:val="single" w:color="AACCDD" w:sz="1"/>
              <w:bottom w:val="single" w:color="AACCDD" w:sz="1"/>
              <w:right w:val="single" w:color="AACCDD" w:sz="1"/>
            </w:tcBorders>
            <w:shd w:fill="F8FB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BNF-04 — Reproductibilité</w:t>
            </w:r>
          </w:p>
        </w:tc>
        <w:tc>
          <w:tcPr>
            <w:tcBorders>
              <w:top w:val="single" w:color="AACCDD" w:sz="1"/>
              <w:left w:val="single" w:color="AACCDD" w:sz="1"/>
              <w:bottom w:val="single" w:color="AACCDD" w:sz="1"/>
              <w:right w:val="single" w:color="AACC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Seeds fixes (tf, numpy, random) pour résultats déterministes.</w:t>
            </w:r>
          </w:p>
        </w:tc>
        <w:tc>
          <w:tcPr>
            <w:tcBorders>
              <w:top w:val="single" w:color="AACCDD" w:sz="1"/>
              <w:left w:val="single" w:color="AACCDD" w:sz="1"/>
              <w:bottom w:val="single" w:color="AACCDD" w:sz="1"/>
              <w:right w:val="single" w:color="AACCDD" w:sz="1"/>
            </w:tcBorders>
            <w:shd w:fill="1E579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HAUTE</w:t>
            </w:r>
          </w:p>
        </w:tc>
      </w:tr>
      <w:tr>
        <w:tc>
          <w:tcPr>
            <w:tcBorders>
              <w:top w:val="single" w:color="AACCDD" w:sz="1"/>
              <w:left w:val="single" w:color="AACCDD" w:sz="1"/>
              <w:bottom w:val="single" w:color="AACCDD" w:sz="1"/>
              <w:right w:val="single" w:color="AACCDD" w:sz="1"/>
            </w:tcBorders>
            <w:shd w:fill="E8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BNF-05 — Maintenabilité</w:t>
            </w:r>
          </w:p>
        </w:tc>
        <w:tc>
          <w:tcPr>
            <w:tcBorders>
              <w:top w:val="single" w:color="AACCDD" w:sz="1"/>
              <w:left w:val="single" w:color="AACCDD" w:sz="1"/>
              <w:bottom w:val="single" w:color="AACCDD" w:sz="1"/>
              <w:right w:val="single" w:color="AACC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Code modulaire : src/data, src/model, src/explainability, api/.</w:t>
            </w:r>
          </w:p>
        </w:tc>
        <w:tc>
          <w:tcPr>
            <w:tcBorders>
              <w:top w:val="single" w:color="AACCDD" w:sz="1"/>
              <w:left w:val="single" w:color="AACCDD" w:sz="1"/>
              <w:bottom w:val="single" w:color="AACCDD" w:sz="1"/>
              <w:right w:val="single" w:color="AACCDD" w:sz="1"/>
            </w:tcBorders>
            <w:shd w:fill="2778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MOYENNE</w:t>
            </w:r>
          </w:p>
        </w:tc>
      </w:tr>
      <w:tr>
        <w:tc>
          <w:tcPr>
            <w:tcBorders>
              <w:top w:val="single" w:color="AACCDD" w:sz="1"/>
              <w:left w:val="single" w:color="AACCDD" w:sz="1"/>
              <w:bottom w:val="single" w:color="AACCDD" w:sz="1"/>
              <w:right w:val="single" w:color="AACCDD" w:sz="1"/>
            </w:tcBorders>
            <w:shd w:fill="F8FB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BNF-06 — Sécurité basique</w:t>
            </w:r>
          </w:p>
        </w:tc>
        <w:tc>
          <w:tcPr>
            <w:tcBorders>
              <w:top w:val="single" w:color="AACCDD" w:sz="1"/>
              <w:left w:val="single" w:color="AACCDD" w:sz="1"/>
              <w:bottom w:val="single" w:color="AACCDD" w:sz="1"/>
              <w:right w:val="single" w:color="AACC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Validation du type MIME à l'entrée de l'API.</w:t>
            </w:r>
          </w:p>
        </w:tc>
        <w:tc>
          <w:tcPr>
            <w:tcBorders>
              <w:top w:val="single" w:color="AACCDD" w:sz="1"/>
              <w:left w:val="single" w:color="AACCDD" w:sz="1"/>
              <w:bottom w:val="single" w:color="AACCDD" w:sz="1"/>
              <w:right w:val="single" w:color="AACCDD" w:sz="1"/>
            </w:tcBorders>
            <w:shd w:fill="2778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MOYENNE</w:t>
            </w:r>
          </w:p>
        </w:tc>
      </w:tr>
      <w:tr>
        <w:tc>
          <w:tcPr>
            <w:tcBorders>
              <w:top w:val="single" w:color="AACCDD" w:sz="1"/>
              <w:left w:val="single" w:color="AACCDD" w:sz="1"/>
              <w:bottom w:val="single" w:color="AACCDD" w:sz="1"/>
              <w:right w:val="single" w:color="AACCDD" w:sz="1"/>
            </w:tcBorders>
            <w:shd w:fill="E8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BNF-07 — Portabilité</w:t>
            </w:r>
          </w:p>
        </w:tc>
        <w:tc>
          <w:tcPr>
            <w:tcBorders>
              <w:top w:val="single" w:color="AACCDD" w:sz="1"/>
              <w:left w:val="single" w:color="AACCDD" w:sz="1"/>
              <w:bottom w:val="single" w:color="AACCDD" w:sz="1"/>
              <w:right w:val="single" w:color="AACC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Exécutable via Docker sans configuration système particulière.</w:t>
            </w:r>
          </w:p>
        </w:tc>
        <w:tc>
          <w:tcPr>
            <w:tcBorders>
              <w:top w:val="single" w:color="AACCDD" w:sz="1"/>
              <w:left w:val="single" w:color="AACCDD" w:sz="1"/>
              <w:bottom w:val="single" w:color="AACCDD" w:sz="1"/>
              <w:right w:val="single" w:color="AACCDD" w:sz="1"/>
            </w:tcBorders>
            <w:shd w:fill="5A7A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BASSE</w:t>
            </w:r>
          </w:p>
        </w:tc>
      </w:tr>
    </w:tbl>
    <w:p>
      <w:pPr>
        <w:spacing w:before="1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415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  5.3  Besoins Techniques</w:t>
            </w:r>
          </w:p>
        </w:tc>
      </w:tr>
    </w:tbl>
    <w:p>
      <w:pPr>
        <w:spacing w:before="80"/>
      </w:pPr>
      <w:r>
        <w:t xml:space="preserve"/>
      </w:r>
    </w:p>
    <w:p>
      <w:pPr>
        <w:spacing w:after="50" w:before="50"/>
        <w:ind w:left="540" w:hanging="260"/>
      </w:pPr>
      <w:r>
        <w:rPr>
          <w:rFonts w:ascii="Calibri" w:cs="Calibri" w:eastAsia="Calibri" w:hAnsi="Calibri"/>
          <w:color w:val="0D7377"/>
          <w:sz w:val="20"/>
          <w:szCs w:val="20"/>
        </w:rPr>
        <w:t xml:space="preserve">▸  </w:t>
      </w:r>
      <w:r>
        <w:rPr>
          <w:rFonts w:ascii="Calibri" w:cs="Calibri" w:eastAsia="Calibri" w:hAnsi="Calibri"/>
          <w:b/>
          <w:bCs/>
          <w:color w:val="1A3A5C"/>
          <w:sz w:val="21"/>
          <w:szCs w:val="21"/>
        </w:rPr>
        <w:t xml:space="preserve">ML 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TensorFlow 2.13+ / Keras — API fonctionnelle obligatoire pour accès aux couches intermédiaires.</w:t>
      </w:r>
    </w:p>
    <w:p>
      <w:pPr>
        <w:spacing w:after="50" w:before="50"/>
        <w:ind w:left="540" w:hanging="260"/>
      </w:pPr>
      <w:r>
        <w:rPr>
          <w:rFonts w:ascii="Calibri" w:cs="Calibri" w:eastAsia="Calibri" w:hAnsi="Calibri"/>
          <w:color w:val="0D7377"/>
          <w:sz w:val="20"/>
          <w:szCs w:val="20"/>
        </w:rPr>
        <w:t xml:space="preserve">▸  </w:t>
      </w:r>
      <w:r>
        <w:rPr>
          <w:rFonts w:ascii="Calibri" w:cs="Calibri" w:eastAsia="Calibri" w:hAnsi="Calibri"/>
          <w:b/>
          <w:bCs/>
          <w:color w:val="1A3A5C"/>
          <w:sz w:val="21"/>
          <w:szCs w:val="21"/>
        </w:rPr>
        <w:t xml:space="preserve">Backbone 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ResNet50V2 pré-entraîné ImageNet — Transfer Learning two-phase (head training + fine-tuning).</w:t>
      </w:r>
    </w:p>
    <w:p>
      <w:pPr>
        <w:spacing w:after="50" w:before="50"/>
        <w:ind w:left="540" w:hanging="260"/>
      </w:pPr>
      <w:r>
        <w:rPr>
          <w:rFonts w:ascii="Calibri" w:cs="Calibri" w:eastAsia="Calibri" w:hAnsi="Calibri"/>
          <w:color w:val="0D7377"/>
          <w:sz w:val="20"/>
          <w:szCs w:val="20"/>
        </w:rPr>
        <w:t xml:space="preserve">▸  </w:t>
      </w:r>
      <w:r>
        <w:rPr>
          <w:rFonts w:ascii="Calibri" w:cs="Calibri" w:eastAsia="Calibri" w:hAnsi="Calibri"/>
          <w:b/>
          <w:bCs/>
          <w:color w:val="1A3A5C"/>
          <w:sz w:val="21"/>
          <w:szCs w:val="21"/>
        </w:rPr>
        <w:t xml:space="preserve">Explainability 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Grad-CAM via tf.GradientTape — implémentation manuelle, sans bibliothèque externe.</w:t>
      </w:r>
    </w:p>
    <w:p>
      <w:pPr>
        <w:spacing w:after="50" w:before="50"/>
        <w:ind w:left="540" w:hanging="260"/>
      </w:pPr>
      <w:r>
        <w:rPr>
          <w:rFonts w:ascii="Calibri" w:cs="Calibri" w:eastAsia="Calibri" w:hAnsi="Calibri"/>
          <w:color w:val="0D7377"/>
          <w:sz w:val="20"/>
          <w:szCs w:val="20"/>
        </w:rPr>
        <w:t xml:space="preserve">▸  </w:t>
      </w:r>
      <w:r>
        <w:rPr>
          <w:rFonts w:ascii="Calibri" w:cs="Calibri" w:eastAsia="Calibri" w:hAnsi="Calibri"/>
          <w:b/>
          <w:bCs/>
          <w:color w:val="1A3A5C"/>
          <w:sz w:val="21"/>
          <w:szCs w:val="21"/>
        </w:rPr>
        <w:t xml:space="preserve">API 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FastAPI + Uvicorn + Pydantic v2 — lifespan handler pour chargement modèle au startup.</w:t>
      </w:r>
    </w:p>
    <w:p>
      <w:pPr>
        <w:spacing w:after="50" w:before="50"/>
        <w:ind w:left="540" w:hanging="260"/>
      </w:pPr>
      <w:r>
        <w:rPr>
          <w:rFonts w:ascii="Calibri" w:cs="Calibri" w:eastAsia="Calibri" w:hAnsi="Calibri"/>
          <w:color w:val="0D7377"/>
          <w:sz w:val="20"/>
          <w:szCs w:val="20"/>
        </w:rPr>
        <w:t xml:space="preserve">▸  </w:t>
      </w:r>
      <w:r>
        <w:rPr>
          <w:rFonts w:ascii="Calibri" w:cs="Calibri" w:eastAsia="Calibri" w:hAnsi="Calibri"/>
          <w:b/>
          <w:bCs/>
          <w:color w:val="1A3A5C"/>
          <w:sz w:val="21"/>
          <w:szCs w:val="21"/>
        </w:rPr>
        <w:t xml:space="preserve">Preprocessing 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tf.data avec cache() et prefetch() — pipeline optimisé pour éviter les goulots disque.</w:t>
      </w:r>
    </w:p>
    <w:p>
      <w:pPr>
        <w:spacing w:after="50" w:before="50"/>
        <w:ind w:left="540" w:hanging="260"/>
      </w:pPr>
      <w:r>
        <w:rPr>
          <w:rFonts w:ascii="Calibri" w:cs="Calibri" w:eastAsia="Calibri" w:hAnsi="Calibri"/>
          <w:color w:val="0D7377"/>
          <w:sz w:val="20"/>
          <w:szCs w:val="20"/>
        </w:rPr>
        <w:t xml:space="preserve">▸  </w:t>
      </w:r>
      <w:r>
        <w:rPr>
          <w:rFonts w:ascii="Calibri" w:cs="Calibri" w:eastAsia="Calibri" w:hAnsi="Calibri"/>
          <w:b/>
          <w:bCs/>
          <w:color w:val="1A3A5C"/>
          <w:sz w:val="21"/>
          <w:szCs w:val="21"/>
        </w:rPr>
        <w:t xml:space="preserve">Versioning 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Git + GitHub avec README, requirements.txt et notebook d'exploration.</w:t>
      </w:r>
    </w:p>
    <w:p>
      <w:pPr>
        <w:spacing w:before="100"/>
      </w:pPr>
      <w:r>
        <w:t xml:space="preserve"/>
      </w:r>
    </w:p>
    <w:p>
      <w:pPr>
        <w:pStyle w:val="Heading1"/>
        <w:pBdr>
          <w:bottom w:val="single" w:color="0D7377" w:sz="6" w:space="3"/>
        </w:pBdr>
        <w:spacing w:after="160" w:before="360"/>
      </w:pPr>
      <w:r>
        <w:rPr>
          <w:rFonts w:ascii="Calibri" w:cs="Calibri" w:eastAsia="Calibri" w:hAnsi="Calibri"/>
          <w:b/>
          <w:bCs/>
          <w:color w:val="1A3A5C"/>
          <w:sz w:val="36"/>
          <w:szCs w:val="36"/>
        </w:rPr>
        <w:t xml:space="preserve">6. Planning Macro — 2 Semaines</w:t>
      </w:r>
    </w:p>
    <w:p>
      <w:pPr>
        <w:spacing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5400"/>
      </w:tblGrid>
      <w:tr>
        <w:tc>
          <w:tcPr>
            <w:tcW w:type="dxa" w:w="1400"/>
            <w:tcBorders>
              <w:top w:val="single" w:color="AACCDD" w:sz="1"/>
              <w:left w:val="single" w:color="AACCDD" w:sz="1"/>
              <w:bottom w:val="single" w:color="AACCDD" w:sz="1"/>
              <w:right w:val="single" w:color="AACCDD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Jours</w:t>
            </w:r>
          </w:p>
        </w:tc>
        <w:tc>
          <w:tcPr>
            <w:tcW w:type="dxa" w:w="2400"/>
            <w:tcBorders>
              <w:top w:val="single" w:color="AACCDD" w:sz="1"/>
              <w:left w:val="single" w:color="AACCDD" w:sz="1"/>
              <w:bottom w:val="single" w:color="AACCDD" w:sz="1"/>
              <w:right w:val="single" w:color="AACCDD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5400"/>
            <w:tcBorders>
              <w:top w:val="single" w:color="AACCDD" w:sz="1"/>
              <w:left w:val="single" w:color="AACCDD" w:sz="1"/>
              <w:bottom w:val="single" w:color="AACCDD" w:sz="1"/>
              <w:right w:val="single" w:color="AACCDD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Livrables attendus</w:t>
            </w:r>
          </w:p>
        </w:tc>
      </w:tr>
      <w:tr>
        <w:tc>
          <w:tcPr>
            <w:tcW w:type="dxa" w:w="1400"/>
            <w:tcBorders>
              <w:top w:val="single" w:color="AACCDD" w:sz="1"/>
              <w:left w:val="single" w:color="AACCDD" w:sz="1"/>
              <w:bottom w:val="single" w:color="AACCDD" w:sz="1"/>
              <w:right w:val="single" w:color="AACCDD" w:sz="1"/>
            </w:tcBorders>
            <w:shd w:fill="E8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7377"/>
                <w:sz w:val="20"/>
                <w:szCs w:val="20"/>
              </w:rPr>
              <w:t xml:space="preserve">J1-J3</w:t>
            </w:r>
          </w:p>
        </w:tc>
        <w:tc>
          <w:tcPr>
            <w:tcW w:type="dxa" w:w="2400"/>
            <w:tcBorders>
              <w:top w:val="single" w:color="AACCDD" w:sz="1"/>
              <w:left w:val="single" w:color="AACCDD" w:sz="1"/>
              <w:bottom w:val="single" w:color="AACCDD" w:sz="1"/>
              <w:right w:val="single" w:color="AACCDD" w:sz="1"/>
            </w:tcBorders>
            <w:shd w:fill="E8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Donnees &amp; Preprocessing</w:t>
            </w:r>
          </w:p>
        </w:tc>
        <w:tc>
          <w:tcPr>
            <w:tcW w:type="dxa" w:w="5400"/>
            <w:tcBorders>
              <w:top w:val="single" w:color="AACCDD" w:sz="1"/>
              <w:left w:val="single" w:color="AACCDD" w:sz="1"/>
              <w:bottom w:val="single" w:color="AACCDD" w:sz="1"/>
              <w:right w:val="single" w:color="AACC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444444"/>
                <w:sz w:val="20"/>
                <w:szCs w:val="20"/>
              </w:rPr>
              <w:t xml:space="preserve">preprocessor.py, dataset_builder.py, splits CSV, EDA notebook</w:t>
            </w:r>
          </w:p>
        </w:tc>
      </w:tr>
      <w:tr>
        <w:tc>
          <w:tcPr>
            <w:tcW w:type="dxa" w:w="1400"/>
            <w:tcBorders>
              <w:top w:val="single" w:color="AACCDD" w:sz="1"/>
              <w:left w:val="single" w:color="AACCDD" w:sz="1"/>
              <w:bottom w:val="single" w:color="AACCDD" w:sz="1"/>
              <w:right w:val="single" w:color="AACCDD" w:sz="1"/>
            </w:tcBorders>
            <w:shd w:fill="F8FB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7377"/>
                <w:sz w:val="20"/>
                <w:szCs w:val="20"/>
              </w:rPr>
              <w:t xml:space="preserve">J4-J6</w:t>
            </w:r>
          </w:p>
        </w:tc>
        <w:tc>
          <w:tcPr>
            <w:tcW w:type="dxa" w:w="2400"/>
            <w:tcBorders>
              <w:top w:val="single" w:color="AACCDD" w:sz="1"/>
              <w:left w:val="single" w:color="AACCDD" w:sz="1"/>
              <w:bottom w:val="single" w:color="AACCDD" w:sz="1"/>
              <w:right w:val="single" w:color="AACCDD" w:sz="1"/>
            </w:tcBorders>
            <w:shd w:fill="F8FB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Architecture CNN</w:t>
            </w:r>
          </w:p>
        </w:tc>
        <w:tc>
          <w:tcPr>
            <w:tcW w:type="dxa" w:w="5400"/>
            <w:tcBorders>
              <w:top w:val="single" w:color="AACCDD" w:sz="1"/>
              <w:left w:val="single" w:color="AACCDD" w:sz="1"/>
              <w:bottom w:val="single" w:color="AACCDD" w:sz="1"/>
              <w:right w:val="single" w:color="AACC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444444"/>
                <w:sz w:val="20"/>
                <w:szCs w:val="20"/>
              </w:rPr>
              <w:t xml:space="preserve">architecture.py, compile_model(), model.summary() valide</w:t>
            </w:r>
          </w:p>
        </w:tc>
      </w:tr>
      <w:tr>
        <w:tc>
          <w:tcPr>
            <w:tcW w:type="dxa" w:w="1400"/>
            <w:tcBorders>
              <w:top w:val="single" w:color="AACCDD" w:sz="1"/>
              <w:left w:val="single" w:color="AACCDD" w:sz="1"/>
              <w:bottom w:val="single" w:color="AACCDD" w:sz="1"/>
              <w:right w:val="single" w:color="AACCDD" w:sz="1"/>
            </w:tcBorders>
            <w:shd w:fill="E8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7377"/>
                <w:sz w:val="20"/>
                <w:szCs w:val="20"/>
              </w:rPr>
              <w:t xml:space="preserve">J7-J9</w:t>
            </w:r>
          </w:p>
        </w:tc>
        <w:tc>
          <w:tcPr>
            <w:tcW w:type="dxa" w:w="2400"/>
            <w:tcBorders>
              <w:top w:val="single" w:color="AACCDD" w:sz="1"/>
              <w:left w:val="single" w:color="AACCDD" w:sz="1"/>
              <w:bottom w:val="single" w:color="AACCDD" w:sz="1"/>
              <w:right w:val="single" w:color="AACCDD" w:sz="1"/>
            </w:tcBorders>
            <w:shd w:fill="E8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Entrainement</w:t>
            </w:r>
          </w:p>
        </w:tc>
        <w:tc>
          <w:tcPr>
            <w:tcW w:type="dxa" w:w="5400"/>
            <w:tcBorders>
              <w:top w:val="single" w:color="AACCDD" w:sz="1"/>
              <w:left w:val="single" w:color="AACCDD" w:sz="1"/>
              <w:bottom w:val="single" w:color="AACCDD" w:sz="1"/>
              <w:right w:val="single" w:color="AACC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444444"/>
                <w:sz w:val="20"/>
                <w:szCs w:val="20"/>
              </w:rPr>
              <w:t xml:space="preserve">trainer.py, best_finetuned.keras, courbes AUC/Loss</w:t>
            </w:r>
          </w:p>
        </w:tc>
      </w:tr>
      <w:tr>
        <w:tc>
          <w:tcPr>
            <w:tcW w:type="dxa" w:w="1400"/>
            <w:tcBorders>
              <w:top w:val="single" w:color="AACCDD" w:sz="1"/>
              <w:left w:val="single" w:color="AACCDD" w:sz="1"/>
              <w:bottom w:val="single" w:color="AACCDD" w:sz="1"/>
              <w:right w:val="single" w:color="AACCDD" w:sz="1"/>
            </w:tcBorders>
            <w:shd w:fill="F8FB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7377"/>
                <w:sz w:val="20"/>
                <w:szCs w:val="20"/>
              </w:rPr>
              <w:t xml:space="preserve">J10-J12</w:t>
            </w:r>
          </w:p>
        </w:tc>
        <w:tc>
          <w:tcPr>
            <w:tcW w:type="dxa" w:w="2400"/>
            <w:tcBorders>
              <w:top w:val="single" w:color="AACCDD" w:sz="1"/>
              <w:left w:val="single" w:color="AACCDD" w:sz="1"/>
              <w:bottom w:val="single" w:color="AACCDD" w:sz="1"/>
              <w:right w:val="single" w:color="AACCDD" w:sz="1"/>
            </w:tcBorders>
            <w:shd w:fill="F8FB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Grad-CAM &amp; Evaluation</w:t>
            </w:r>
          </w:p>
        </w:tc>
        <w:tc>
          <w:tcPr>
            <w:tcW w:type="dxa" w:w="5400"/>
            <w:tcBorders>
              <w:top w:val="single" w:color="AACCDD" w:sz="1"/>
              <w:left w:val="single" w:color="AACCDD" w:sz="1"/>
              <w:bottom w:val="single" w:color="AACCDD" w:sz="1"/>
              <w:right w:val="single" w:color="AACC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444444"/>
                <w:sz w:val="20"/>
                <w:szCs w:val="20"/>
              </w:rPr>
              <w:t xml:space="preserve">gradcam.py, metrics.py, rapport metriques medicales</w:t>
            </w:r>
          </w:p>
        </w:tc>
      </w:tr>
      <w:tr>
        <w:tc>
          <w:tcPr>
            <w:tcW w:type="dxa" w:w="1400"/>
            <w:tcBorders>
              <w:top w:val="single" w:color="AACCDD" w:sz="1"/>
              <w:left w:val="single" w:color="AACCDD" w:sz="1"/>
              <w:bottom w:val="single" w:color="AACCDD" w:sz="1"/>
              <w:right w:val="single" w:color="AACCDD" w:sz="1"/>
            </w:tcBorders>
            <w:shd w:fill="E8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7377"/>
                <w:sz w:val="20"/>
                <w:szCs w:val="20"/>
              </w:rPr>
              <w:t xml:space="preserve">J13-J14</w:t>
            </w:r>
          </w:p>
        </w:tc>
        <w:tc>
          <w:tcPr>
            <w:tcW w:type="dxa" w:w="2400"/>
            <w:tcBorders>
              <w:top w:val="single" w:color="AACCDD" w:sz="1"/>
              <w:left w:val="single" w:color="AACCDD" w:sz="1"/>
              <w:bottom w:val="single" w:color="AACCDD" w:sz="1"/>
              <w:right w:val="single" w:color="AACCDD" w:sz="1"/>
            </w:tcBorders>
            <w:shd w:fill="E8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API &amp; Integration</w:t>
            </w:r>
          </w:p>
        </w:tc>
        <w:tc>
          <w:tcPr>
            <w:tcW w:type="dxa" w:w="5400"/>
            <w:tcBorders>
              <w:top w:val="single" w:color="AACCDD" w:sz="1"/>
              <w:left w:val="single" w:color="AACCDD" w:sz="1"/>
              <w:bottom w:val="single" w:color="AACCDD" w:sz="1"/>
              <w:right w:val="single" w:color="AACC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444444"/>
                <w:sz w:val="20"/>
                <w:szCs w:val="20"/>
              </w:rPr>
              <w:t xml:space="preserve">main.py, /predict operationnel, README, demo</w:t>
            </w:r>
          </w:p>
        </w:tc>
      </w:tr>
    </w:tbl>
    <w:p>
      <w:pPr>
        <w:spacing w:before="200"/>
      </w:pPr>
      <w:r>
        <w:t xml:space="preserve"/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ACCDD" w:sz="4" w:space="3"/>
      </w:pBdr>
      <w:spacing w:before="100"/>
      <w:jc w:val="center"/>
    </w:pPr>
    <w:r>
      <w:rPr>
        <w:rFonts w:ascii="Calibri" w:cs="Calibri" w:eastAsia="Calibri" w:hAnsi="Calibri"/>
        <w:color w:val="666666"/>
        <w:sz w:val="18"/>
        <w:szCs w:val="18"/>
      </w:rPr>
      <w:t xml:space="preserve">Cahier des Charges — XAI Medical Imaging API  ·  Page </w:t>
    </w:r>
    <w:r>
      <w:rPr>
        <w:rFonts w:ascii="Calibri" w:cs="Calibri" w:eastAsia="Calibri" w:hAnsi="Calibri"/>
        <w:color w:val="0D73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1A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color w:val="0D737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2026-05-05T21:11:36.878Z</dcterms:created>
  <dcterms:modified xsi:type="dcterms:W3CDTF">2026-05-05T21:11:36.893Z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