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10C5" w14:textId="6B6CF76A" w:rsidR="00E61883" w:rsidRPr="00CB7AAF" w:rsidRDefault="00CB7AAF" w:rsidP="00CB7AAF">
      <w:pPr>
        <w:jc w:val="both"/>
        <w:rPr>
          <w:rFonts w:ascii="Times New Roman" w:hAnsi="Times New Roman" w:cs="Times New Roman"/>
          <w:sz w:val="24"/>
          <w:szCs w:val="24"/>
        </w:rPr>
      </w:pPr>
      <w:r w:rsidRPr="00CB7AAF">
        <w:rPr>
          <w:rFonts w:ascii="Times New Roman" w:hAnsi="Times New Roman" w:cs="Times New Roman"/>
          <w:sz w:val="24"/>
          <w:szCs w:val="24"/>
        </w:rPr>
        <w:t>Use-Case Business Credit Scoring Engine Development dan Dashboard Monitoring Credit Score atau Credit Rating adalah ukuran kelayakan kredit seseorang berupa angka numerik yang dihitung secara algoritmis berdasarkan informasi yang ada di laporan perkreditan. Credit score digunakan untuk menentukan tingkat kelayakan kredit (credit worthiness) seseorang dan kemampuannya membayar kewajiban sesuai kesepakatan. Lembaga keuangan seperti bank atau multifinance menggunakan credit score dalam melakukan analisa kelayakan kredit seseorang sebelum mengambil keputusan. Semakin tinggi credit score seseorang, semakin tinggi tingkat kelayakan kreditnya dan semakin kecil risiko yang harus ditanggung lembaga keuangan, demikian sebaliknya. Berikut adalah bagan proses untuk memudahkan pemahaman bagaimana alur dalam melakukan pengajuan pinjaman maupun kredit.</w:t>
      </w:r>
    </w:p>
    <w:sectPr w:rsidR="00E61883" w:rsidRPr="00CB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AF"/>
    <w:rsid w:val="00CB7AAF"/>
    <w:rsid w:val="00E618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7108"/>
  <w15:chartTrackingRefBased/>
  <w15:docId w15:val="{5D40E9B0-4908-4B8D-B224-15D9C922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zainil mubarok</dc:creator>
  <cp:keywords/>
  <dc:description/>
  <cp:lastModifiedBy>zainil mubarok</cp:lastModifiedBy>
  <cp:revision>1</cp:revision>
  <dcterms:created xsi:type="dcterms:W3CDTF">2023-03-20T13:19:00Z</dcterms:created>
  <dcterms:modified xsi:type="dcterms:W3CDTF">2023-03-20T13:23:00Z</dcterms:modified>
</cp:coreProperties>
</file>