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Does Hardware Change Which Generative Model Is Efficient?</w:t>
      </w:r>
    </w:p>
    <w:p>
      <w:pPr/>
      <w:r>
        <w:t xml:space="preserve">Oct 21, 2026</w:t>
      </w:r>
      <w:r>
        <w:t xml:space="preserve"> </w:t>
      </w:r>
    </w:p>
    <w:p>
      <w:pPr/>
      <w:r>
        <w:rPr>
          <w:b/>
        </w:rPr>
        <w:t xml:space="preserve">Evaluating Diffusion and Flow-Matching Samplers Across Heterogeneous GPUs</w:t>
      </w:r>
    </w:p>
    <w:tbl>
      <w:tblPr>
        <w:tblStyle w:val="TableGrid"/>
        <w:tblW w:w="0" w:type="auto"/>
        <w:tblLayout w:type="fixed"/>
        <w:tblLook w:val="04A0" w:firstRow="1" w:lastRow="0" w:firstColumn="0" w:lastColumn="0" w:noHBand="0" w:noVBand="1"/>
      </w:tblPr>
      <w:tblGrid>
        <w:gridCol w:w="2452"/>
        <w:gridCol w:w="6907"/>
      </w:tblGrid>
      <w:tr>
        <w:trPr>
          <w:tblHeader/>
        </w:trPr>
        <w:tc>
          <w:tcPr>
            <w:tcW w:w="2452" w:type="dxa"/>
            <w:shd w:val="clear" w:color="auto" w:fill="F2F2F2"/>
          </w:tcPr>
          <w:p>
            <w:pPr/>
            <w:r>
              <w:t xml:space="preserve">Field</w:t>
            </w:r>
          </w:p>
        </w:tc>
        <w:tc>
          <w:tcPr>
            <w:tcW w:w="6907" w:type="dxa"/>
            <w:shd w:val="clear" w:color="auto" w:fill="F2F2F2"/>
          </w:tcPr>
          <w:p>
            <w:pPr/>
            <w:r>
              <w:t xml:space="preserve">Details</w:t>
            </w:r>
          </w:p>
        </w:tc>
      </w:tr>
      <w:tr>
        <w:tc>
          <w:tcPr>
            <w:tcW w:w="2452" w:type="dxa"/>
          </w:tcPr>
          <w:p>
            <w:pPr/>
            <w:r>
              <w:t xml:space="preserve">Student</w:t>
            </w:r>
          </w:p>
        </w:tc>
        <w:tc>
          <w:tcPr>
            <w:tcW w:w="6907" w:type="dxa"/>
          </w:tcPr>
          <w:p>
            <w:pPr/>
            <w:r>
              <w:t xml:space="preserve">Zakynthinos Iason - Daniil</w:t>
            </w:r>
          </w:p>
        </w:tc>
      </w:tr>
      <w:tr>
        <w:tc>
          <w:tcPr>
            <w:tcW w:w="2452" w:type="dxa"/>
          </w:tcPr>
          <w:p>
            <w:pPr/>
            <w:r>
              <w:t xml:space="preserve">Course</w:t>
            </w:r>
          </w:p>
        </w:tc>
        <w:tc>
          <w:tcPr>
            <w:tcW w:w="6907" w:type="dxa"/>
          </w:tcPr>
          <w:p>
            <w:pPr/>
            <w:r>
              <w:t xml:space="preserve">Advanced Topics in Artificial Intelligence, 2026–2027</w:t>
            </w:r>
          </w:p>
        </w:tc>
      </w:tr>
      <w:tr>
        <w:tc>
          <w:tcPr>
            <w:tcW w:w="2452" w:type="dxa"/>
          </w:tcPr>
          <w:p>
            <w:pPr/>
            <w:r>
              <w:t xml:space="preserve">Thematic area</w:t>
            </w:r>
          </w:p>
        </w:tc>
        <w:tc>
          <w:tcPr>
            <w:tcW w:w="6907" w:type="dxa"/>
          </w:tcPr>
          <w:p>
            <w:pPr/>
            <w:r>
              <w:t xml:space="preserve">Generative AI for Images (secondary: Evaluation of AI Systems)</w:t>
            </w:r>
          </w:p>
        </w:tc>
      </w:tr>
    </w:tbl>
    <w:p>
      <w:pPr>
        <w:pStyle w:val="Heading2"/>
      </w:pPr>
      <w:r>
        <w:t xml:space="preserve">Abstract</w:t>
      </w:r>
    </w:p>
    <w:p>
      <w:pPr/>
      <w:r>
        <w:t xml:space="preserve">This project tests whether efficiency rankings of image generative models survive a change of hardware. Diffusion and flow-matching papers usually report efficiency as the number of function evaluations (NFE) or as latency on a single high-end GPU. Real deployments run on mixed hardware with different memory bandwidth, precision support and batch limits.</w:t>
      </w:r>
    </w:p>
    <w:p>
      <w:pPr/>
      <w:r>
        <w:t xml:space="preserve">I will evaluate matched pretrained diffusion and flow-matching models (DiT and SiT, which share one architecture but differ in training objective) under several samplers, step counts and numerical precisions, on [3] GPU classes. For each GPU I will build speed–quality Pareto frontiers using FID, precision/recall, latency, memory and energy per image. I will then measure how well NFE-based rankings agree with hardware-measured rankings, and whether the two model families degrade differently when steps or precision are reduced.</w:t>
      </w:r>
    </w:p>
    <w:p>
      <w:pPr/>
      <w:r>
        <w:t xml:space="preserve">The expected outcome is a reproducible measurement protocol and evidence on when NFE is, and is not, a trustworthy efficiency proxy.</w:t>
      </w:r>
    </w:p>
    <w:p>
      <w:pPr>
        <w:pStyle w:val="Heading2"/>
      </w:pPr>
      <w:r>
        <w:t xml:space="preserve">1. Research question</w:t>
      </w:r>
    </w:p>
    <w:p>
      <w:pPr/>
      <w:r>
        <w:rPr>
          <w:b/>
        </w:rPr>
        <w:t xml:space="preserve">Main question:</w:t>
      </w:r>
      <w:r>
        <w:t xml:space="preserve"> Do efficiency rankings of diffusion and flow-matching samplers stay consistent across GPU classes, or does hardware change which model and sampler is "efficient"?</w:t>
      </w:r>
    </w:p>
    <w:p>
      <w:pPr/>
      <w:r>
        <w:rPr>
          <w:b/>
        </w:rPr>
        <w:t xml:space="preserve">Sub-questions</w:t>
      </w:r>
    </w:p>
    <w:p>
      <w:pPr>
        <w:pStyle w:val="ListParagraph"/>
        <w:numPr>
          <w:ilvl w:val="0"/>
          <w:numId w:val="2"/>
        </w:numPr>
      </w:pPr>
      <w:r>
        <w:rPr>
          <w:b/>
        </w:rPr>
        <w:t xml:space="preserve">RQ1 – NFE as a proxy.</w:t>
      </w:r>
      <w:r>
        <w:t xml:space="preserve"> How well does NFE predict measured latency, throughput and energy per image on each GPU, and does that relationship differ between model families and solvers?</w:t>
      </w:r>
    </w:p>
    <w:p>
      <w:pPr>
        <w:pStyle w:val="ListParagraph"/>
        <w:numPr>
          <w:ilvl w:val="0"/>
          <w:numId w:val="2"/>
        </w:numPr>
      </w:pPr>
      <w:r>
        <w:rPr>
          <w:b/>
        </w:rPr>
        <w:t xml:space="preserve">RQ2 – Pareto stability.</w:t>
      </w:r>
      <w:r>
        <w:t xml:space="preserve"> Do the speed–quality Pareto frontiers keep the same ordering of model–sampler configurations across GPUs, or do configurations swap places?</w:t>
      </w:r>
    </w:p>
    <w:p>
      <w:pPr>
        <w:pStyle w:val="ListParagraph"/>
        <w:numPr>
          <w:ilvl w:val="0"/>
          <w:numId w:val="2"/>
        </w:numPr>
      </w:pPr>
      <w:r>
        <w:rPr>
          <w:b/>
        </w:rPr>
        <w:t xml:space="preserve">RQ3 – Graceful degradation.</w:t>
      </w:r>
      <w:r>
        <w:t xml:space="preserve"> As the step count and numerical precision are reduced, which family loses quality more slowly at equal measured cost?</w:t>
      </w:r>
    </w:p>
    <w:p>
      <w:pPr/>
      <w:r>
        <w:rPr>
          <w:b/>
        </w:rPr>
        <w:t xml:space="preserve">Hypotheses</w:t>
      </w:r>
    </w:p>
    <w:p>
      <w:pPr>
        <w:pStyle w:val="ListParagraph"/>
        <w:numPr>
          <w:ilvl w:val="0"/>
          <w:numId w:val="3"/>
        </w:numPr>
      </w:pPr>
      <w:r>
        <w:rPr>
          <w:b/>
        </w:rPr>
        <w:t xml:space="preserve">H1:</w:t>
      </w:r>
      <w:r>
        <w:t xml:space="preserve"> NFE predicts latency well within one GPU and solver, but underpredicts the cost of higher-order solvers and large-batch settings on bandwidth-limited GPUs.</w:t>
      </w:r>
    </w:p>
    <w:p>
      <w:pPr>
        <w:pStyle w:val="ListParagraph"/>
        <w:numPr>
          <w:ilvl w:val="0"/>
          <w:numId w:val="3"/>
        </w:numPr>
      </w:pPr>
      <w:r>
        <w:rPr>
          <w:b/>
        </w:rPr>
        <w:t xml:space="preserve">H2:</w:t>
      </w:r>
      <w:r>
        <w:t xml:space="preserve"> Rankings of configurations near the Pareto frontier differ across GPUs (Kendall's τ &lt; 0.8 between devices), while clearly dominated configurations stay dominated.</w:t>
      </w:r>
    </w:p>
    <w:p>
      <w:pPr>
        <w:pStyle w:val="ListParagraph"/>
        <w:numPr>
          <w:ilvl w:val="0"/>
          <w:numId w:val="3"/>
        </w:numPr>
      </w:pPr>
      <w:r>
        <w:rPr>
          <w:b/>
        </w:rPr>
        <w:t xml:space="preserve">H3:</w:t>
      </w:r>
      <w:r>
        <w:t xml:space="preserve"> Flow-matching models (SiT), with straighter sampling trajectories, keep quality better than diffusion models (DiT) below about 20 steps, independent of hardware.</w:t>
      </w:r>
    </w:p>
    <w:p>
      <w:pPr/>
      <w:r>
        <w:rPr>
          <w:b/>
        </w:rPr>
        <w:t xml:space="preserve">Scope.</w:t>
      </w:r>
      <w:r>
        <w:t xml:space="preserve"> The project evaluates pretrained models at inference time. It does not train new models or build a serving system.</w:t>
      </w:r>
    </w:p>
    <w:p>
      <w:pPr>
        <w:pStyle w:val="Heading2"/>
      </w:pPr>
      <w:r>
        <w:t xml:space="preserve">2. Motivation</w:t>
      </w:r>
    </w:p>
    <w:p>
      <w:pPr/>
      <w:r>
        <w:t xml:space="preserve">Claims that one generative model is "faster" than another usually rest on NFE or on timings from one high-end GPU. If those rankings change on other hardware, the conclusions do not transfer to the settings where models are actually deployed.</w:t>
      </w:r>
    </w:p>
    <w:p>
      <w:pPr/>
      <w:r>
        <w:t xml:space="preserve">There are concrete reasons to expect rankings to shift:</w:t>
      </w:r>
    </w:p>
    <w:p>
      <w:pPr>
        <w:pStyle w:val="ListParagraph"/>
        <w:numPr>
          <w:ilvl w:val="0"/>
          <w:numId w:val="4"/>
        </w:numPr>
      </w:pPr>
      <w:r>
        <w:rPr>
          <w:b/>
        </w:rPr>
        <w:t xml:space="preserve">Cost per step is not constant.</w:t>
      </w:r>
      <w:r>
        <w:t xml:space="preserve"> Higher-order ODE solvers need extra network evaluations or memory per step, and their overhead depends on the device.</w:t>
      </w:r>
    </w:p>
    <w:p>
      <w:pPr>
        <w:pStyle w:val="ListParagraph"/>
        <w:numPr>
          <w:ilvl w:val="0"/>
          <w:numId w:val="4"/>
        </w:numPr>
      </w:pPr>
      <w:r>
        <w:rPr>
          <w:b/>
        </w:rPr>
        <w:t xml:space="preserve">Hardware bottlenecks differ.</w:t>
      </w:r>
      <w:r>
        <w:t xml:space="preserve"> A transformer denoiser can be compute-bound on one GPU and memory-bandwidth-bound on another, so the same NFE costs different wall-clock time.</w:t>
      </w:r>
    </w:p>
    <w:p>
      <w:pPr>
        <w:pStyle w:val="ListParagraph"/>
        <w:numPr>
          <w:ilvl w:val="0"/>
          <w:numId w:val="4"/>
        </w:numPr>
      </w:pPr>
      <w:r>
        <w:rPr>
          <w:b/>
        </w:rPr>
        <w:t xml:space="preserve">Precision support differs.</w:t>
      </w:r>
      <w:r>
        <w:t xml:space="preserve"> bf16 and int8 speedups are large on recent GPUs and small or absent on older ones, and the two model families may tolerate reduced precision differently.</w:t>
      </w:r>
    </w:p>
    <w:p>
      <w:pPr/>
      <w:r>
        <w:t xml:space="preserve">The course theme explicitly asks to "compare diffusion and flow-based methods at a fixed compute budget" and to evaluate "sampling speed against quality." This project asks what "budget" should mean when hardware varies. Dehghani et al. (2022) showed that cost indicators such as FLOPs, parameters and speed can disagree for general models. This project tests the same concern specifically for diffusion and flow-matching samplers, where NFE is the standard efficiency measure.</w:t>
      </w:r>
    </w:p>
    <w:p>
      <w:pPr>
        <w:pStyle w:val="Heading2"/>
      </w:pPr>
      <w:r>
        <w:t xml:space="preserve">3. Related work</w:t>
      </w:r>
    </w:p>
    <w:p>
      <w:pPr/>
      <w:r>
        <w:rPr>
          <w:b/>
        </w:rPr>
        <w:t xml:space="preserve">Generative objectives.</w:t>
      </w:r>
      <w:r>
        <w:t xml:space="preserve"> DDPM (Ho et al., 2020) established denoising diffusion as a high-quality image generator, at the cost of hundreds of sampling steps. Flow matching (Lipman et al., 2023) and rectified flow (Liu et al., 2023) instead learn a velocity field along simpler, near-straight paths, which should make few-step sampling easier. Transition matching (Shaul et al., 2025) generalises these objectives further.</w:t>
      </w:r>
    </w:p>
    <w:p>
      <w:pPr/>
      <w:r>
        <w:rPr>
          <w:b/>
        </w:rPr>
        <w:t xml:space="preserve">Architectures.</w:t>
      </w:r>
      <w:r>
        <w:t xml:space="preserve"> DiT (Peebles &amp; Xie, 2023) replaced the U-Net backbone with a transformer and showed quality scales with compute. SiT (Ma et al., 2024) keeps the DiT architecture but trains with an interpolant (flow-matching style) objective. This makes DiT and SiT a natural controlled pair: differences between them come mainly from the objective and sampler, not the network.</w:t>
      </w:r>
    </w:p>
    <w:p>
      <w:pPr/>
      <w:r>
        <w:rPr>
          <w:b/>
        </w:rPr>
        <w:t xml:space="preserve">Fast sampling.</w:t>
      </w:r>
      <w:r>
        <w:t xml:space="preserve"> DDIM (Song et al., 2021), DPM-Solver (Lu et al., 2022) and the EDM sampler (Karras et al., 2022) cut the steps diffusion needs. Distillation (Salimans &amp; Ho, 2022) and consistency models (Song et al., 2023) push towards one to four steps. These works report gains almost entirely in NFE.</w:t>
      </w:r>
    </w:p>
    <w:p>
      <w:pPr/>
      <w:r>
        <w:rPr>
          <w:b/>
        </w:rPr>
        <w:t xml:space="preserve">Evaluation.</w:t>
      </w:r>
      <w:r>
        <w:t xml:space="preserve"> FID (Heusel et al., 2017) is the standard quality metric but is biased at small sample sizes and sensitive to image resizing (Chong &amp; Forsyth, 2020; Parmar et al., 2022). Improved precision and recall (Kynkäänniemi et al., 2019) separate fidelity from diversity.</w:t>
      </w:r>
    </w:p>
    <w:p>
      <w:pPr/>
      <w:r>
        <w:rPr>
          <w:b/>
        </w:rPr>
        <w:t xml:space="preserve">Efficiency measurement.</w:t>
      </w:r>
      <w:r>
        <w:t xml:space="preserve"> Dehghani et al. (2022) showed that common cost indicators disagree and can mislead model comparisons. Henderson et al. (2020) argued for systematic energy and carbon reporting in ML.</w:t>
      </w:r>
    </w:p>
    <w:p>
      <w:pPr/>
      <w:r>
        <w:rPr>
          <w:b/>
        </w:rPr>
        <w:t xml:space="preserve">Gap.</w:t>
      </w:r>
      <w:r>
        <w:t xml:space="preserve"> To my knowledge, no study has systematically checked whether NFE-based efficiency rankings of diffusion and flow-matching samplers hold across GPU classes and precisions. [Confirm during the literature review and add any close prior work.]</w:t>
      </w:r>
    </w:p>
    <w:p>
      <w:pPr>
        <w:pStyle w:val="Heading2"/>
      </w:pPr>
      <w:r>
        <w:t xml:space="preserve">4. Methodology</w:t>
      </w:r>
    </w:p>
    <w:p>
      <w:pPr/>
      <w:r>
        <w:t xml:space="preserve">The study is a controlled factorial evaluation: every model–sampler–steps–precision configuration is run on every GPU with the same images, seeds and software.</w:t>
      </w:r>
    </w:p>
    <w:p>
      <w:pPr>
        <w:pStyle w:val="Heading3"/>
      </w:pPr>
      <w:r>
        <w:t xml:space="preserve">4.1 Models</w:t>
      </w:r>
    </w:p>
    <w:p>
      <w:pPr>
        <w:pStyle w:val="ListParagraph"/>
        <w:numPr>
          <w:ilvl w:val="0"/>
          <w:numId w:val="5"/>
        </w:numPr>
      </w:pPr>
      <w:r>
        <w:rPr>
          <w:b/>
        </w:rPr>
        <w:t xml:space="preserve">DiT-XL/2</w:t>
      </w:r>
      <w:r>
        <w:t xml:space="preserve"> (diffusion objective) and </w:t>
      </w:r>
      <w:r>
        <w:rPr>
          <w:b/>
        </w:rPr>
        <w:t xml:space="preserve">SiT-XL/2</w:t>
      </w:r>
      <w:r>
        <w:t xml:space="preserve"> (interpolant / flow-matching objective), class-conditional ImageNet 256×256, official public checkpoints.</w:t>
      </w:r>
    </w:p>
    <w:p>
      <w:pPr>
        <w:pStyle w:val="ListParagraph"/>
        <w:numPr>
          <w:ilvl w:val="0"/>
          <w:numId w:val="5"/>
        </w:numPr>
      </w:pPr>
      <w:r>
        <w:t xml:space="preserve">Same backbone and parameter count, so differences isolate the objective and sampler.</w:t>
      </w:r>
    </w:p>
    <w:p>
      <w:pPr>
        <w:pStyle w:val="ListParagraph"/>
        <w:numPr>
          <w:ilvl w:val="0"/>
          <w:numId w:val="5"/>
        </w:numPr>
      </w:pPr>
      <w:r>
        <w:t xml:space="preserve">Optional extension: one distilled few-step model, as a reference point for the extreme low-step regime.</w:t>
      </w:r>
    </w:p>
    <w:p>
      <w:pPr>
        <w:pStyle w:val="Heading3"/>
      </w:pPr>
      <w:r>
        <w:t xml:space="preserve">4.2 Experimental factors</w:t>
      </w:r>
    </w:p>
    <w:tbl>
      <w:tblPr>
        <w:tblStyle w:val="TableGrid"/>
        <w:tblW w:w="0" w:type="auto"/>
        <w:tblLayout w:type="fixed"/>
        <w:tblLook w:val="04A0" w:firstRow="1" w:lastRow="0" w:firstColumn="0" w:lastColumn="0" w:noHBand="0" w:noVBand="1"/>
      </w:tblPr>
      <w:tblGrid>
        <w:gridCol w:w="2573"/>
        <w:gridCol w:w="6786"/>
      </w:tblGrid>
      <w:tr>
        <w:trPr>
          <w:tblHeader/>
        </w:trPr>
        <w:tc>
          <w:tcPr>
            <w:tcW w:w="2573" w:type="dxa"/>
            <w:shd w:val="clear" w:color="auto" w:fill="F2F2F2"/>
          </w:tcPr>
          <w:p>
            <w:pPr/>
            <w:r>
              <w:t xml:space="preserve">Factor</w:t>
            </w:r>
          </w:p>
        </w:tc>
        <w:tc>
          <w:tcPr>
            <w:tcW w:w="6786" w:type="dxa"/>
            <w:shd w:val="clear" w:color="auto" w:fill="F2F2F2"/>
          </w:tcPr>
          <w:p>
            <w:pPr/>
            <w:r>
              <w:t xml:space="preserve">Levels</w:t>
            </w:r>
          </w:p>
        </w:tc>
      </w:tr>
      <w:tr>
        <w:tc>
          <w:tcPr>
            <w:tcW w:w="2573" w:type="dxa"/>
          </w:tcPr>
          <w:p>
            <w:pPr/>
            <w:r>
              <w:t xml:space="preserve">Sampler (DiT)</w:t>
            </w:r>
          </w:p>
        </w:tc>
        <w:tc>
          <w:tcPr>
            <w:tcW w:w="6786" w:type="dxa"/>
          </w:tcPr>
          <w:p>
            <w:pPr/>
            <w:r>
              <w:t xml:space="preserve">DDPM ancestral, DDIM, DPM-Solver++</w:t>
            </w:r>
          </w:p>
        </w:tc>
      </w:tr>
      <w:tr>
        <w:tc>
          <w:tcPr>
            <w:tcW w:w="2573" w:type="dxa"/>
          </w:tcPr>
          <w:p>
            <w:pPr/>
            <w:r>
              <w:t xml:space="preserve">Sampler (SiT)</w:t>
            </w:r>
          </w:p>
        </w:tc>
        <w:tc>
          <w:tcPr>
            <w:tcW w:w="6786" w:type="dxa"/>
          </w:tcPr>
          <w:p>
            <w:pPr/>
            <w:r>
              <w:t xml:space="preserve">Euler ODE, Heun ODE, Euler–Maruyama SDE</w:t>
            </w:r>
          </w:p>
        </w:tc>
      </w:tr>
      <w:tr>
        <w:tc>
          <w:tcPr>
            <w:tcW w:w="2573" w:type="dxa"/>
          </w:tcPr>
          <w:p>
            <w:pPr/>
            <w:r>
              <w:t xml:space="preserve">Sampling steps</w:t>
            </w:r>
          </w:p>
        </w:tc>
        <w:tc>
          <w:tcPr>
            <w:tcW w:w="6786" w:type="dxa"/>
          </w:tcPr>
          <w:p>
            <w:pPr/>
            <w:r>
              <w:t xml:space="preserve">8, 16, 32, 64, 128, 250</w:t>
            </w:r>
          </w:p>
        </w:tc>
      </w:tr>
      <w:tr>
        <w:tc>
          <w:tcPr>
            <w:tcW w:w="2573" w:type="dxa"/>
          </w:tcPr>
          <w:p>
            <w:pPr/>
            <w:r>
              <w:t xml:space="preserve">Precision</w:t>
            </w:r>
          </w:p>
        </w:tc>
        <w:tc>
          <w:tcPr>
            <w:tcW w:w="6786" w:type="dxa"/>
          </w:tcPr>
          <w:p>
            <w:pPr/>
            <w:r>
              <w:t xml:space="preserve">fp32, fp16, bf16 (where supported)</w:t>
            </w:r>
          </w:p>
        </w:tc>
      </w:tr>
      <w:tr>
        <w:tc>
          <w:tcPr>
            <w:tcW w:w="2573" w:type="dxa"/>
          </w:tcPr>
          <w:p>
            <w:pPr/>
            <w:r>
              <w:t xml:space="preserve">Batch size</w:t>
            </w:r>
          </w:p>
        </w:tc>
        <w:tc>
          <w:tcPr>
            <w:tcW w:w="6786" w:type="dxa"/>
          </w:tcPr>
          <w:p>
            <w:pPr/>
            <w:r>
              <w:t xml:space="preserve">1, 8, 32 (memory permitting)</w:t>
            </w:r>
          </w:p>
        </w:tc>
      </w:tr>
      <w:tr>
        <w:tc>
          <w:tcPr>
            <w:tcW w:w="2573" w:type="dxa"/>
          </w:tcPr>
          <w:p>
            <w:pPr/>
            <w:r>
              <w:t xml:space="preserve">GPU</w:t>
            </w:r>
          </w:p>
        </w:tc>
        <w:tc>
          <w:tcPr>
            <w:tcW w:w="6786" w:type="dxa"/>
          </w:tcPr>
          <w:p>
            <w:pPr/>
            <w:r>
              <w:t xml:space="preserve">[GPU A, e.g. T4], [GPU B, e.g. RTX 4090], [GPU C, e.g. A100]</w:t>
            </w:r>
          </w:p>
        </w:tc>
      </w:tr>
    </w:tbl>
    <w:p>
      <w:pPr/>
      <w:r>
        <w:t xml:space="preserve">Classifier-free guidance is fixed at one scale (e.g. 1.5) for all runs and counted in NFE, since it doubles the network evaluations per step.</w:t>
      </w:r>
    </w:p>
    <w:p>
      <w:pPr>
        <w:pStyle w:val="Heading3"/>
      </w:pPr>
      <w:r>
        <w:t xml:space="preserve">4.3 Measurement protocol</w:t>
      </w:r>
    </w:p>
    <w:p>
      <w:pPr>
        <w:pStyle w:val="ListParagraph"/>
        <w:numPr>
          <w:ilvl w:val="0"/>
          <w:numId w:val="6"/>
        </w:numPr>
      </w:pPr>
      <w:r>
        <w:t xml:space="preserve">Pin library versions (PyTorch, CUDA, cuDNN) and record driver and GPU clocks for every run.</w:t>
      </w:r>
    </w:p>
    <w:p>
      <w:pPr>
        <w:pStyle w:val="ListParagraph"/>
        <w:numPr>
          <w:ilvl w:val="0"/>
          <w:numId w:val="6"/>
        </w:numPr>
      </w:pPr>
      <w:r>
        <w:t xml:space="preserve">Run warm-up iterations before timing; then time 10 repetitions with CUDA events and report median and interquartile range.</w:t>
      </w:r>
    </w:p>
    <w:p>
      <w:pPr>
        <w:pStyle w:val="ListParagraph"/>
        <w:numPr>
          <w:ilvl w:val="0"/>
          <w:numId w:val="6"/>
        </w:numPr>
      </w:pPr>
      <w:r>
        <w:t xml:space="preserve">Record peak GPU memory and energy per image from NVML power sampling.</w:t>
      </w:r>
    </w:p>
    <w:p>
      <w:pPr>
        <w:pStyle w:val="ListParagraph"/>
        <w:numPr>
          <w:ilvl w:val="0"/>
          <w:numId w:val="6"/>
        </w:numPr>
      </w:pPr>
      <w:r>
        <w:t xml:space="preserve">Keep compilation settings identical (e.g. </w:t>
      </w:r>
      <w:r>
        <w:rPr>
          <w:rStyle w:val="CodeChar"/>
        </w:rPr>
        <w:t xml:space="preserve">torch.compile</w:t>
      </w:r>
      <w:r>
        <w:t xml:space="preserve"> off for all runs, or on for all).</w:t>
      </w:r>
    </w:p>
    <w:p>
      <w:pPr>
        <w:pStyle w:val="ListParagraph"/>
        <w:numPr>
          <w:ilvl w:val="0"/>
          <w:numId w:val="6"/>
        </w:numPr>
      </w:pPr>
      <w:r>
        <w:t xml:space="preserve">Use fixed seeds and class labels, so every configuration generates from the same noise and conditions.</w:t>
      </w:r>
    </w:p>
    <w:p>
      <w:pPr>
        <w:pStyle w:val="Heading3"/>
      </w:pPr>
      <w:r>
        <w:t xml:space="preserve">4.4 Controls</w:t>
      </w:r>
    </w:p>
    <w:p>
      <w:pPr>
        <w:pStyle w:val="ListParagraph"/>
        <w:numPr>
          <w:ilvl w:val="0"/>
          <w:numId w:val="7"/>
        </w:numPr>
      </w:pPr>
      <w:r>
        <w:t xml:space="preserve">Identical image count, resizing pipeline and reference statistics for every FID.</w:t>
      </w:r>
    </w:p>
    <w:p>
      <w:pPr>
        <w:pStyle w:val="ListParagraph"/>
        <w:numPr>
          <w:ilvl w:val="0"/>
          <w:numId w:val="7"/>
        </w:numPr>
      </w:pPr>
      <w:r>
        <w:t xml:space="preserve">Each official sampler implementation is checked against the FID reported in the original paper before sweeps start.</w:t>
      </w:r>
    </w:p>
    <w:p>
      <w:pPr>
        <w:pStyle w:val="ListParagraph"/>
        <w:numPr>
          <w:ilvl w:val="0"/>
          <w:numId w:val="7"/>
        </w:numPr>
      </w:pPr>
      <w:r>
        <w:t xml:space="preserve">Quality is measured once per configuration and precision, since it does not depend on the GPU; only cost is measured per GPU. Any GPU-dependent numerical differences are spot-checked.</w:t>
      </w:r>
    </w:p>
    <w:p>
      <w:pPr>
        <w:pStyle w:val="Heading2"/>
      </w:pPr>
      <w:r>
        <w:t xml:space="preserve">5. Data and resources</w:t>
      </w:r>
    </w:p>
    <w:p>
      <w:pPr/>
      <w:r>
        <w:t xml:space="preserve">No new training data is needed; the project uses public checkpoints and standard reference statistics.</w:t>
      </w:r>
    </w:p>
    <w:tbl>
      <w:tblPr>
        <w:tblStyle w:val="TableGrid"/>
        <w:tblW w:w="0" w:type="auto"/>
        <w:tblLayout w:type="fixed"/>
        <w:tblLook w:val="04A0" w:firstRow="1" w:lastRow="0" w:firstColumn="0" w:lastColumn="0" w:noHBand="0" w:noVBand="1"/>
      </w:tblPr>
      <w:tblGrid>
        <w:gridCol w:w="2486"/>
        <w:gridCol w:w="6873"/>
      </w:tblGrid>
      <w:tr>
        <w:trPr>
          <w:tblHeader/>
        </w:trPr>
        <w:tc>
          <w:tcPr>
            <w:tcW w:w="2486" w:type="dxa"/>
            <w:shd w:val="clear" w:color="auto" w:fill="F2F2F2"/>
          </w:tcPr>
          <w:p>
            <w:pPr/>
            <w:r>
              <w:t xml:space="preserve">Resource</w:t>
            </w:r>
          </w:p>
        </w:tc>
        <w:tc>
          <w:tcPr>
            <w:tcW w:w="6873" w:type="dxa"/>
            <w:shd w:val="clear" w:color="auto" w:fill="F2F2F2"/>
          </w:tcPr>
          <w:p>
            <w:pPr/>
            <w:r>
              <w:t xml:space="preserve">Details</w:t>
            </w:r>
          </w:p>
        </w:tc>
      </w:tr>
      <w:tr>
        <w:tc>
          <w:tcPr>
            <w:tcW w:w="2486" w:type="dxa"/>
          </w:tcPr>
          <w:p>
            <w:pPr/>
            <w:r>
              <w:t xml:space="preserve">Models</w:t>
            </w:r>
          </w:p>
        </w:tc>
        <w:tc>
          <w:tcPr>
            <w:tcW w:w="6873" w:type="dxa"/>
          </w:tcPr>
          <w:p>
            <w:pPr/>
            <w:r>
              <w:t xml:space="preserve">DiT-XL/2 and SiT-XL/2, ImageNet 256×256 official checkpoints</w:t>
            </w:r>
          </w:p>
        </w:tc>
      </w:tr>
      <w:tr>
        <w:tc>
          <w:tcPr>
            <w:tcW w:w="2486" w:type="dxa"/>
          </w:tcPr>
          <w:p>
            <w:pPr/>
            <w:r>
              <w:t xml:space="preserve">Reference data</w:t>
            </w:r>
          </w:p>
        </w:tc>
        <w:tc>
          <w:tcPr>
            <w:tcW w:w="6873" w:type="dxa"/>
          </w:tcPr>
          <w:p>
            <w:pPr/>
            <w:r>
              <w:t xml:space="preserve">ImageNet 256 FID reference statistics (as used by the DiT/SiT papers)</w:t>
            </w:r>
          </w:p>
        </w:tc>
      </w:tr>
      <w:tr>
        <w:tc>
          <w:tcPr>
            <w:tcW w:w="2486" w:type="dxa"/>
          </w:tcPr>
          <w:p>
            <w:pPr/>
            <w:r>
              <w:t xml:space="preserve">Software</w:t>
            </w:r>
          </w:p>
        </w:tc>
        <w:tc>
          <w:tcPr>
            <w:tcW w:w="6873" w:type="dxa"/>
          </w:tcPr>
          <w:p>
            <w:pPr/>
            <w:r>
              <w:t xml:space="preserve">PyTorch, official DiT and SiT repositories, torch-fidelity or clean-fid, NVML via pynvml</w:t>
            </w:r>
          </w:p>
        </w:tc>
      </w:tr>
      <w:tr>
        <w:tc>
          <w:tcPr>
            <w:tcW w:w="2486" w:type="dxa"/>
          </w:tcPr>
          <w:p>
            <w:pPr/>
            <w:r>
              <w:t xml:space="preserve">GPUs</w:t>
            </w:r>
          </w:p>
        </w:tc>
        <w:tc>
          <w:tcPr>
            <w:tcW w:w="6873" w:type="dxa"/>
          </w:tcPr>
          <w:p>
            <w:pPr/>
            <w:r>
              <w:t xml:space="preserve">[List the actual GPUs and where you access them: university cluster, Colab/Kaggle, own machine]</w:t>
            </w:r>
          </w:p>
        </w:tc>
      </w:tr>
      <w:tr>
        <w:tc>
          <w:tcPr>
            <w:tcW w:w="2486" w:type="dxa"/>
          </w:tcPr>
          <w:p>
            <w:pPr/>
            <w:r>
              <w:t xml:space="preserve">Storage</w:t>
            </w:r>
          </w:p>
        </w:tc>
        <w:tc>
          <w:tcPr>
            <w:tcW w:w="6873" w:type="dxa"/>
          </w:tcPr>
          <w:p>
            <w:pPr/>
            <w:r>
              <w:t xml:space="preserve">About 50–100 GB for generated samples (deleted after metrics are computed)</w:t>
            </w:r>
          </w:p>
        </w:tc>
      </w:tr>
    </w:tbl>
    <w:p>
      <w:pPr/>
      <w:r>
        <w:rPr>
          <w:b/>
        </w:rPr>
        <w:t xml:space="preserve">Compute estimate (approximate).</w:t>
      </w:r>
      <w:r>
        <w:t xml:space="preserve"> The expensive part is quality evaluation, not timing:</w:t>
      </w:r>
    </w:p>
    <w:p>
      <w:pPr>
        <w:pStyle w:val="ListParagraph"/>
        <w:numPr>
          <w:ilvl w:val="0"/>
          <w:numId w:val="8"/>
        </w:numPr>
      </w:pPr>
      <w:r>
        <w:rPr>
          <w:b/>
        </w:rPr>
        <w:t xml:space="preserve">Quality sweeps</w:t>
      </w:r>
      <w:r>
        <w:t xml:space="preserve"> run once per configuration on the fastest available GPU. About 108 configurations × 5,000 images is roughly 40–80 GPU-hours on an A100-class GPU.</w:t>
      </w:r>
    </w:p>
    <w:p>
      <w:pPr>
        <w:pStyle w:val="ListParagraph"/>
        <w:numPr>
          <w:ilvl w:val="0"/>
          <w:numId w:val="8"/>
        </w:numPr>
      </w:pPr>
      <w:r>
        <w:rPr>
          <w:b/>
        </w:rPr>
        <w:t xml:space="preserve">Timing sweeps</w:t>
      </w:r>
      <w:r>
        <w:t xml:space="preserve"> run on every GPU but need only a few batches per configuration: about 5–15 GPU-hours per device.</w:t>
      </w:r>
    </w:p>
    <w:p>
      <w:pPr>
        <w:pStyle w:val="ListParagraph"/>
        <w:numPr>
          <w:ilvl w:val="0"/>
          <w:numId w:val="8"/>
        </w:numPr>
      </w:pPr>
      <w:r>
        <w:rPr>
          <w:b/>
        </w:rPr>
        <w:t xml:space="preserve">Budget levers if compute is short:</w:t>
      </w:r>
      <w:r>
        <w:t xml:space="preserve"> drop fp32 from the quality sweep, use 2,000 images for exploratory points and 10,000 only for frontier configurations, and reduce the step grid to 8, 16, 32, 64, 250.</w:t>
      </w:r>
    </w:p>
    <w:p>
      <w:pPr/>
      <w:r>
        <w:t xml:space="preserve">[Replace with your confirmed GPU access and hours before submission.]</w:t>
      </w:r>
    </w:p>
    <w:p>
      <w:pPr>
        <w:pStyle w:val="Heading2"/>
      </w:pPr>
      <w:r>
        <w:t xml:space="preserve">6. Evaluation plan</w:t>
      </w:r>
    </w:p>
    <w:p>
      <w:pPr/>
      <w:r>
        <w:t xml:space="preserve">Each research question has a defined metric, analysis and decision rule, so both positive and null results are interpretable.</w:t>
      </w:r>
    </w:p>
    <w:p>
      <w:pPr>
        <w:pStyle w:val="Heading3"/>
      </w:pPr>
      <w:r>
        <w:t xml:space="preserve">6.1 Metrics</w:t>
      </w:r>
    </w:p>
    <w:tbl>
      <w:tblPr>
        <w:tblStyle w:val="TableGrid"/>
        <w:tblW w:w="0" w:type="auto"/>
        <w:tblLayout w:type="fixed"/>
        <w:tblLook w:val="04A0" w:firstRow="1" w:lastRow="0" w:firstColumn="0" w:lastColumn="0" w:noHBand="0" w:noVBand="1"/>
      </w:tblPr>
      <w:tblGrid>
        <w:gridCol w:w="1565"/>
        <w:gridCol w:w="7794"/>
      </w:tblGrid>
      <w:tr>
        <w:trPr>
          <w:tblHeader/>
        </w:trPr>
        <w:tc>
          <w:tcPr>
            <w:tcW w:w="1565" w:type="dxa"/>
            <w:shd w:val="clear" w:color="auto" w:fill="F2F2F2"/>
          </w:tcPr>
          <w:p>
            <w:pPr/>
            <w:r>
              <w:t xml:space="preserve">Type</w:t>
            </w:r>
          </w:p>
        </w:tc>
        <w:tc>
          <w:tcPr>
            <w:tcW w:w="7794" w:type="dxa"/>
            <w:shd w:val="clear" w:color="auto" w:fill="F2F2F2"/>
          </w:tcPr>
          <w:p>
            <w:pPr/>
            <w:r>
              <w:t xml:space="preserve">Metric</w:t>
            </w:r>
          </w:p>
        </w:tc>
      </w:tr>
      <w:tr>
        <w:tc>
          <w:tcPr>
            <w:tcW w:w="1565" w:type="dxa"/>
          </w:tcPr>
          <w:p>
            <w:pPr/>
            <w:r>
              <w:t xml:space="preserve">Quality</w:t>
            </w:r>
          </w:p>
        </w:tc>
        <w:tc>
          <w:tcPr>
            <w:tcW w:w="7794" w:type="dxa"/>
          </w:tcPr>
          <w:p>
            <w:pPr/>
            <w:r>
              <w:t xml:space="preserve">FID (5k–10k samples, 3 seeds, 95% confidence intervals), precision and recall, Inception Score as a secondary check</w:t>
            </w:r>
          </w:p>
        </w:tc>
      </w:tr>
      <w:tr>
        <w:tc>
          <w:tcPr>
            <w:tcW w:w="1565" w:type="dxa"/>
          </w:tcPr>
          <w:p>
            <w:pPr/>
            <w:r>
              <w:t xml:space="preserve">Cost</w:t>
            </w:r>
          </w:p>
        </w:tc>
        <w:tc>
          <w:tcPr>
            <w:tcW w:w="7794" w:type="dxa"/>
          </w:tcPr>
          <w:p>
            <w:pPr/>
            <w:r>
              <w:t xml:space="preserve">NFE, median latency per image, throughput (images/s), peak memory (GB), energy per image (J)</w:t>
            </w:r>
          </w:p>
        </w:tc>
      </w:tr>
    </w:tbl>
    <w:p>
      <w:pPr>
        <w:pStyle w:val="Heading3"/>
      </w:pPr>
      <w:r>
        <w:t xml:space="preserve">6.2 Baselines</w:t>
      </w:r>
    </w:p>
    <w:p>
      <w:pPr>
        <w:pStyle w:val="ListParagraph"/>
        <w:numPr>
          <w:ilvl w:val="0"/>
          <w:numId w:val="9"/>
        </w:numPr>
      </w:pPr>
      <w:r>
        <w:rPr>
          <w:b/>
        </w:rPr>
        <w:t xml:space="preserve">Model baseline:</w:t>
      </w:r>
      <w:r>
        <w:t xml:space="preserve"> DiT with DDPM and DDIM sampling, the reference diffusion setup.</w:t>
      </w:r>
    </w:p>
    <w:p>
      <w:pPr>
        <w:pStyle w:val="ListParagraph"/>
        <w:numPr>
          <w:ilvl w:val="0"/>
          <w:numId w:val="9"/>
        </w:numPr>
      </w:pPr>
      <w:r>
        <w:rPr>
          <w:b/>
        </w:rPr>
        <w:t xml:space="preserve">Ranking baseline:</w:t>
      </w:r>
      <w:r>
        <w:t xml:space="preserve"> the ordering of configurations by NFE alone, i.e. the status quo this project tests.</w:t>
      </w:r>
    </w:p>
    <w:p>
      <w:pPr>
        <w:pStyle w:val="Heading3"/>
      </w:pPr>
      <w:r>
        <w:t xml:space="preserve">6.3 Analysis per research question</w:t>
      </w:r>
    </w:p>
    <w:tbl>
      <w:tblPr>
        <w:tblStyle w:val="TableGrid"/>
        <w:tblW w:w="0" w:type="auto"/>
        <w:tblLayout w:type="fixed"/>
        <w:tblLook w:val="04A0" w:firstRow="1" w:lastRow="0" w:firstColumn="0" w:lastColumn="0" w:noHBand="0" w:noVBand="1"/>
      </w:tblPr>
      <w:tblGrid>
        <w:gridCol w:w="2570"/>
        <w:gridCol w:w="3457"/>
        <w:gridCol w:w="3333"/>
      </w:tblGrid>
      <w:tr>
        <w:trPr>
          <w:tblHeader/>
        </w:trPr>
        <w:tc>
          <w:tcPr>
            <w:tcW w:w="2570" w:type="dxa"/>
            <w:shd w:val="clear" w:color="auto" w:fill="F2F2F2"/>
          </w:tcPr>
          <w:p>
            <w:pPr/>
            <w:r>
              <w:t xml:space="preserve">RQ</w:t>
            </w:r>
          </w:p>
        </w:tc>
        <w:tc>
          <w:tcPr>
            <w:tcW w:w="3457" w:type="dxa"/>
            <w:shd w:val="clear" w:color="auto" w:fill="F2F2F2"/>
          </w:tcPr>
          <w:p>
            <w:pPr/>
            <w:r>
              <w:t xml:space="preserve">Analysis</w:t>
            </w:r>
          </w:p>
        </w:tc>
        <w:tc>
          <w:tcPr>
            <w:tcW w:w="3333" w:type="dxa"/>
            <w:shd w:val="clear" w:color="auto" w:fill="F2F2F2"/>
          </w:tcPr>
          <w:p>
            <w:pPr/>
            <w:r>
              <w:t xml:space="preserve">Decision rule</w:t>
            </w:r>
          </w:p>
        </w:tc>
      </w:tr>
      <w:tr>
        <w:tc>
          <w:tcPr>
            <w:tcW w:w="2570" w:type="dxa"/>
          </w:tcPr>
          <w:p>
            <w:pPr/>
            <w:r>
              <w:t xml:space="preserve">RQ1 – NFE as proxy</w:t>
            </w:r>
          </w:p>
        </w:tc>
        <w:tc>
          <w:tcPr>
            <w:tcW w:w="3457" w:type="dxa"/>
          </w:tcPr>
          <w:p>
            <w:pPr/>
            <w:r>
              <w:t xml:space="preserve">Regress measured latency and energy on NFE per GPU, sampler and batch size; report R² and residual patterns</w:t>
            </w:r>
          </w:p>
        </w:tc>
        <w:tc>
          <w:tcPr>
            <w:tcW w:w="3333" w:type="dxa"/>
          </w:tcPr>
          <w:p>
            <w:pPr/>
            <w:r>
              <w:t xml:space="preserve">NFE is an adequate proxy if R² &gt; 0.95 within each GPU and residuals show no sampler-specific bias</w:t>
            </w:r>
          </w:p>
        </w:tc>
      </w:tr>
      <w:tr>
        <w:tc>
          <w:tcPr>
            <w:tcW w:w="2570" w:type="dxa"/>
          </w:tcPr>
          <w:p>
            <w:pPr/>
            <w:r>
              <w:t xml:space="preserve">RQ2 – Pareto stability</w:t>
            </w:r>
          </w:p>
        </w:tc>
        <w:tc>
          <w:tcPr>
            <w:tcW w:w="3457" w:type="dxa"/>
          </w:tcPr>
          <w:p>
            <w:pPr/>
            <w:r>
              <w:t xml:space="preserve">Build quality–latency and quality–energy frontiers per GPU; compute Kendall's τ between GPU rankings and between NFE and measured rankings</w:t>
            </w:r>
          </w:p>
        </w:tc>
        <w:tc>
          <w:tcPr>
            <w:tcW w:w="3333" w:type="dxa"/>
          </w:tcPr>
          <w:p>
            <w:pPr/>
            <w:r>
              <w:t xml:space="preserve">Rankings are hardware-dependent if τ &lt; 0.8 or any frontier configuration becomes dominated on another GPU</w:t>
            </w:r>
          </w:p>
        </w:tc>
      </w:tr>
      <w:tr>
        <w:tc>
          <w:tcPr>
            <w:tcW w:w="2570" w:type="dxa"/>
          </w:tcPr>
          <w:p>
            <w:pPr/>
            <w:r>
              <w:t xml:space="preserve">RQ3 – Degradation</w:t>
            </w:r>
          </w:p>
        </w:tc>
        <w:tc>
          <w:tcPr>
            <w:tcW w:w="3457" w:type="dxa"/>
          </w:tcPr>
          <w:p>
            <w:pPr/>
            <w:r>
              <w:t xml:space="preserve">Plot FID against measured cost as steps and precision fall; compare the slopes of DiT and SiT</w:t>
            </w:r>
          </w:p>
        </w:tc>
        <w:tc>
          <w:tcPr>
            <w:tcW w:w="3333" w:type="dxa"/>
          </w:tcPr>
          <w:p>
            <w:pPr/>
            <w:r>
              <w:t xml:space="preserve">One family degrades more gracefully if its FID increase is lower at matched cost, with non-overlapping confidence intervals</w:t>
            </w:r>
          </w:p>
        </w:tc>
      </w:tr>
    </w:tbl>
    <w:p>
      <w:pPr/>
      <w:r>
        <w:t xml:space="preserve">Thresholds are initial choices and will be justified or revised after pilot runs.</w:t>
      </w:r>
    </w:p>
    <w:p>
      <w:pPr>
        <w:pStyle w:val="Heading3"/>
      </w:pPr>
      <w:r>
        <w:t xml:space="preserve">6.4 Interpreting outcomes</w:t>
      </w:r>
    </w:p>
    <w:p>
      <w:pPr>
        <w:pStyle w:val="ListParagraph"/>
        <w:numPr>
          <w:ilvl w:val="0"/>
          <w:numId w:val="10"/>
        </w:numPr>
      </w:pPr>
      <w:r>
        <w:rPr>
          <w:b/>
        </w:rPr>
        <w:t xml:space="preserve">If rankings change across GPUs:</w:t>
      </w:r>
      <w:r>
        <w:t xml:space="preserve"> NFE-only comparisons should be supplemented by hardware-measured cost, and the results show which settings cause the change.</w:t>
      </w:r>
    </w:p>
    <w:p>
      <w:pPr>
        <w:pStyle w:val="ListParagraph"/>
        <w:numPr>
          <w:ilvl w:val="0"/>
          <w:numId w:val="10"/>
        </w:numPr>
      </w:pPr>
      <w:r>
        <w:rPr>
          <w:b/>
        </w:rPr>
        <w:t xml:space="preserve">If rankings stay stable:</w:t>
      </w:r>
      <w:r>
        <w:t xml:space="preserve"> this is still a useful result, giving evidence that NFE is a safe proxy within the tested range, and the protocol shows how to verify that for new models.</w:t>
      </w:r>
    </w:p>
    <w:p>
      <w:pPr>
        <w:pStyle w:val="Heading2"/>
      </w:pPr>
      <w:r>
        <w:t xml:space="preserve">7. Schedule</w:t>
      </w:r>
    </w:p>
    <w:p>
      <w:pPr/>
      <w:r>
        <w:t xml:space="preserve">The plan assumes 12 weeks after the proposal interview, with the core results ready by week 9. [Adjust to the actual semester dates.]</w:t>
      </w:r>
    </w:p>
    <w:tbl>
      <w:tblPr>
        <w:tblStyle w:val="TableGrid"/>
        <w:tblW w:w="0" w:type="auto"/>
        <w:tblLayout w:type="fixed"/>
        <w:tblLook w:val="04A0" w:firstRow="1" w:lastRow="0" w:firstColumn="0" w:lastColumn="0" w:noHBand="0" w:noVBand="1"/>
      </w:tblPr>
      <w:tblGrid>
        <w:gridCol w:w="916"/>
        <w:gridCol w:w="4920"/>
        <w:gridCol w:w="3524"/>
      </w:tblGrid>
      <w:tr>
        <w:trPr>
          <w:tblHeader/>
        </w:trPr>
        <w:tc>
          <w:tcPr>
            <w:tcW w:w="916" w:type="dxa"/>
            <w:shd w:val="clear" w:color="auto" w:fill="F2F2F2"/>
          </w:tcPr>
          <w:p>
            <w:pPr/>
            <w:r>
              <w:t xml:space="preserve">Weeks</w:t>
            </w:r>
          </w:p>
        </w:tc>
        <w:tc>
          <w:tcPr>
            <w:tcW w:w="4920" w:type="dxa"/>
            <w:shd w:val="clear" w:color="auto" w:fill="F2F2F2"/>
          </w:tcPr>
          <w:p>
            <w:pPr/>
            <w:r>
              <w:t xml:space="preserve">Work</w:t>
            </w:r>
          </w:p>
        </w:tc>
        <w:tc>
          <w:tcPr>
            <w:tcW w:w="3524" w:type="dxa"/>
            <w:shd w:val="clear" w:color="auto" w:fill="F2F2F2"/>
          </w:tcPr>
          <w:p>
            <w:pPr/>
            <w:r>
              <w:t xml:space="preserve">Milestone</w:t>
            </w:r>
          </w:p>
        </w:tc>
      </w:tr>
      <w:tr>
        <w:tc>
          <w:tcPr>
            <w:tcW w:w="916" w:type="dxa"/>
          </w:tcPr>
          <w:p>
            <w:pPr/>
            <w:r>
              <w:t xml:space="preserve">1–2</w:t>
            </w:r>
          </w:p>
        </w:tc>
        <w:tc>
          <w:tcPr>
            <w:tcW w:w="4920" w:type="dxa"/>
          </w:tcPr>
          <w:p>
            <w:pPr/>
            <w:r>
              <w:t xml:space="preserve">Set up environments on each GPU; reproduce published FID for DiT and SiT at default settings</w:t>
            </w:r>
          </w:p>
        </w:tc>
        <w:tc>
          <w:tcPr>
            <w:tcW w:w="3524" w:type="dxa"/>
          </w:tcPr>
          <w:p>
            <w:pPr/>
            <w:r>
              <w:t xml:space="preserve">Baselines reproduced within reported error</w:t>
            </w:r>
          </w:p>
        </w:tc>
      </w:tr>
      <w:tr>
        <w:tc>
          <w:tcPr>
            <w:tcW w:w="916" w:type="dxa"/>
          </w:tcPr>
          <w:p>
            <w:pPr/>
            <w:r>
              <w:t xml:space="preserve">3–4</w:t>
            </w:r>
          </w:p>
        </w:tc>
        <w:tc>
          <w:tcPr>
            <w:tcW w:w="4920" w:type="dxa"/>
          </w:tcPr>
          <w:p>
            <w:pPr/>
            <w:r>
              <w:t xml:space="preserve">Build the measurement harness (timing, memory, energy); pilot runs on one GPU; fix thresholds</w:t>
            </w:r>
          </w:p>
        </w:tc>
        <w:tc>
          <w:tcPr>
            <w:tcW w:w="3524" w:type="dxa"/>
          </w:tcPr>
          <w:p>
            <w:pPr/>
            <w:r>
              <w:t xml:space="preserve">Harness validated; pilot results shared with supervisor</w:t>
            </w:r>
          </w:p>
        </w:tc>
      </w:tr>
      <w:tr>
        <w:tc>
          <w:tcPr>
            <w:tcW w:w="916" w:type="dxa"/>
          </w:tcPr>
          <w:p>
            <w:pPr/>
            <w:r>
              <w:t xml:space="preserve">5–7</w:t>
            </w:r>
          </w:p>
        </w:tc>
        <w:tc>
          <w:tcPr>
            <w:tcW w:w="4920" w:type="dxa"/>
          </w:tcPr>
          <w:p>
            <w:pPr/>
            <w:r>
              <w:t xml:space="preserve">Full quality sweep; timing sweeps on all GPUs</w:t>
            </w:r>
          </w:p>
        </w:tc>
        <w:tc>
          <w:tcPr>
            <w:tcW w:w="3524" w:type="dxa"/>
          </w:tcPr>
          <w:p>
            <w:pPr/>
            <w:r>
              <w:t xml:space="preserve">Complete results table</w:t>
            </w:r>
          </w:p>
        </w:tc>
      </w:tr>
      <w:tr>
        <w:tc>
          <w:tcPr>
            <w:tcW w:w="916" w:type="dxa"/>
          </w:tcPr>
          <w:p>
            <w:pPr/>
            <w:r>
              <w:t xml:space="preserve">8–9</w:t>
            </w:r>
          </w:p>
        </w:tc>
        <w:tc>
          <w:tcPr>
            <w:tcW w:w="4920" w:type="dxa"/>
          </w:tcPr>
          <w:p>
            <w:pPr/>
            <w:r>
              <w:t xml:space="preserve">Analysis: NFE regressions, Pareto frontiers, rank correlations, degradation curves</w:t>
            </w:r>
          </w:p>
        </w:tc>
        <w:tc>
          <w:tcPr>
            <w:tcW w:w="3524" w:type="dxa"/>
          </w:tcPr>
          <w:p>
            <w:pPr/>
            <w:r>
              <w:t xml:space="preserve">Answers to RQ1–RQ3</w:t>
            </w:r>
          </w:p>
        </w:tc>
      </w:tr>
      <w:tr>
        <w:tc>
          <w:tcPr>
            <w:tcW w:w="916" w:type="dxa"/>
          </w:tcPr>
          <w:p>
            <w:pPr/>
            <w:r>
              <w:t xml:space="preserve">10</w:t>
            </w:r>
          </w:p>
        </w:tc>
        <w:tc>
          <w:tcPr>
            <w:tcW w:w="4920" w:type="dxa"/>
          </w:tcPr>
          <w:p>
            <w:pPr/>
            <w:r>
              <w:t xml:space="preserve">Buffer, or optional extension (distilled model or int8)</w:t>
            </w:r>
          </w:p>
        </w:tc>
        <w:tc>
          <w:tcPr>
            <w:tcW w:w="3524" w:type="dxa"/>
          </w:tcPr>
          <w:p>
            <w:pPr/>
            <w:r>
              <w:t xml:space="preserve">Extension results or delays absorbed</w:t>
            </w:r>
          </w:p>
        </w:tc>
      </w:tr>
      <w:tr>
        <w:tc>
          <w:tcPr>
            <w:tcW w:w="916" w:type="dxa"/>
          </w:tcPr>
          <w:p>
            <w:pPr/>
            <w:r>
              <w:t xml:space="preserve">11–12</w:t>
            </w:r>
          </w:p>
        </w:tc>
        <w:tc>
          <w:tcPr>
            <w:tcW w:w="4920" w:type="dxa"/>
          </w:tcPr>
          <w:p>
            <w:pPr/>
            <w:r>
              <w:t xml:space="preserve">Write the paper, prepare the poster, release code and raw measurements</w:t>
            </w:r>
          </w:p>
        </w:tc>
        <w:tc>
          <w:tcPr>
            <w:tcW w:w="3524" w:type="dxa"/>
          </w:tcPr>
          <w:p>
            <w:pPr/>
            <w:r>
              <w:t xml:space="preserve">Paper and poster submitted</w:t>
            </w:r>
          </w:p>
        </w:tc>
      </w:tr>
    </w:tbl>
    <w:p>
      <w:pPr>
        <w:pStyle w:val="Heading2"/>
      </w:pPr>
      <w:r>
        <w:t xml:space="preserve">8. Risks and mitigations</w:t>
      </w:r>
    </w:p>
    <w:tbl>
      <w:tblPr>
        <w:tblStyle w:val="TableGrid"/>
        <w:tblW w:w="0" w:type="auto"/>
        <w:tblLayout w:type="fixed"/>
        <w:tblLook w:val="04A0" w:firstRow="1" w:lastRow="0" w:firstColumn="0" w:lastColumn="0" w:noHBand="0" w:noVBand="1"/>
      </w:tblPr>
      <w:tblGrid>
        <w:gridCol w:w="3096"/>
        <w:gridCol w:w="1344"/>
        <w:gridCol w:w="4920"/>
      </w:tblGrid>
      <w:tr>
        <w:trPr>
          <w:tblHeader/>
        </w:trPr>
        <w:tc>
          <w:tcPr>
            <w:tcW w:w="3096" w:type="dxa"/>
            <w:shd w:val="clear" w:color="auto" w:fill="F2F2F2"/>
          </w:tcPr>
          <w:p>
            <w:pPr/>
            <w:r>
              <w:t xml:space="preserve">Risk</w:t>
            </w:r>
          </w:p>
        </w:tc>
        <w:tc>
          <w:tcPr>
            <w:tcW w:w="1344" w:type="dxa"/>
            <w:shd w:val="clear" w:color="auto" w:fill="F2F2F2"/>
          </w:tcPr>
          <w:p>
            <w:pPr/>
            <w:r>
              <w:t xml:space="preserve">Likelihood</w:t>
            </w:r>
          </w:p>
        </w:tc>
        <w:tc>
          <w:tcPr>
            <w:tcW w:w="4920" w:type="dxa"/>
            <w:shd w:val="clear" w:color="auto" w:fill="F2F2F2"/>
          </w:tcPr>
          <w:p>
            <w:pPr/>
            <w:r>
              <w:t xml:space="preserve">Mitigation</w:t>
            </w:r>
          </w:p>
        </w:tc>
      </w:tr>
      <w:tr>
        <w:tc>
          <w:tcPr>
            <w:tcW w:w="3096" w:type="dxa"/>
          </w:tcPr>
          <w:p>
            <w:pPr/>
            <w:r>
              <w:t xml:space="preserve">Access to only one or two GPU classes</w:t>
            </w:r>
          </w:p>
        </w:tc>
        <w:tc>
          <w:tcPr>
            <w:tcW w:w="1344" w:type="dxa"/>
          </w:tcPr>
          <w:p>
            <w:pPr/>
            <w:r>
              <w:t xml:space="preserve">Medium</w:t>
            </w:r>
          </w:p>
        </w:tc>
        <w:tc>
          <w:tcPr>
            <w:tcW w:w="4920" w:type="dxa"/>
          </w:tcPr>
          <w:p>
            <w:pPr/>
            <w:r>
              <w:t xml:space="preserve">Use Colab/Kaggle GPUs plus a personal GPU; with two devices, add batch size and precision as further hardware-like axes</w:t>
            </w:r>
          </w:p>
        </w:tc>
      </w:tr>
      <w:tr>
        <w:tc>
          <w:tcPr>
            <w:tcW w:w="3096" w:type="dxa"/>
          </w:tcPr>
          <w:p>
            <w:pPr/>
            <w:r>
              <w:t xml:space="preserve">FID too noisy at small sample sizes</w:t>
            </w:r>
          </w:p>
        </w:tc>
        <w:tc>
          <w:tcPr>
            <w:tcW w:w="1344" w:type="dxa"/>
          </w:tcPr>
          <w:p>
            <w:pPr/>
            <w:r>
              <w:t xml:space="preserve">High</w:t>
            </w:r>
          </w:p>
        </w:tc>
        <w:tc>
          <w:tcPr>
            <w:tcW w:w="4920" w:type="dxa"/>
          </w:tcPr>
          <w:p>
            <w:pPr/>
            <w:r>
              <w:t xml:space="preserve">Report confidence intervals over 3 seeds; use 10k samples for frontier configurations; add precision/recall</w:t>
            </w:r>
          </w:p>
        </w:tc>
      </w:tr>
      <w:tr>
        <w:tc>
          <w:tcPr>
            <w:tcW w:w="3096" w:type="dxa"/>
          </w:tcPr>
          <w:p>
            <w:pPr/>
            <w:r>
              <w:t xml:space="preserve">Compute for quality sweeps exceeds budget</w:t>
            </w:r>
          </w:p>
        </w:tc>
        <w:tc>
          <w:tcPr>
            <w:tcW w:w="1344" w:type="dxa"/>
          </w:tcPr>
          <w:p>
            <w:pPr/>
            <w:r>
              <w:t xml:space="preserve">Medium</w:t>
            </w:r>
          </w:p>
        </w:tc>
        <w:tc>
          <w:tcPr>
            <w:tcW w:w="4920" w:type="dxa"/>
          </w:tcPr>
          <w:p>
            <w:pPr/>
            <w:r>
              <w:t xml:space="preserve">Apply the budget levers in Section 5; prioritise the step grid over the precision grid</w:t>
            </w:r>
          </w:p>
        </w:tc>
      </w:tr>
      <w:tr>
        <w:tc>
          <w:tcPr>
            <w:tcW w:w="3096" w:type="dxa"/>
          </w:tcPr>
          <w:p>
            <w:pPr/>
            <w:r>
              <w:t xml:space="preserve">Implementation differences between DiT and SiT code bases</w:t>
            </w:r>
          </w:p>
        </w:tc>
        <w:tc>
          <w:tcPr>
            <w:tcW w:w="1344" w:type="dxa"/>
          </w:tcPr>
          <w:p>
            <w:pPr/>
            <w:r>
              <w:t xml:space="preserve">Medium</w:t>
            </w:r>
          </w:p>
        </w:tc>
        <w:tc>
          <w:tcPr>
            <w:tcW w:w="4920" w:type="dxa"/>
          </w:tcPr>
          <w:p>
            <w:pPr/>
            <w:r>
              <w:t xml:space="preserve">Use official code, verify published FID first, and keep the shared backbone identical</w:t>
            </w:r>
          </w:p>
        </w:tc>
      </w:tr>
      <w:tr>
        <w:tc>
          <w:tcPr>
            <w:tcW w:w="3096" w:type="dxa"/>
          </w:tcPr>
          <w:p>
            <w:pPr/>
            <w:r>
              <w:t xml:space="preserve">Timing noise from shared or throttled GPUs</w:t>
            </w:r>
          </w:p>
        </w:tc>
        <w:tc>
          <w:tcPr>
            <w:tcW w:w="1344" w:type="dxa"/>
          </w:tcPr>
          <w:p>
            <w:pPr/>
            <w:r>
              <w:t xml:space="preserve">Medium</w:t>
            </w:r>
          </w:p>
        </w:tc>
        <w:tc>
          <w:tcPr>
            <w:tcW w:w="4920" w:type="dxa"/>
          </w:tcPr>
          <w:p>
            <w:pPr/>
            <w:r>
              <w:t xml:space="preserve">Record clocks and temperatures, use medians, and repeat outlier runs</w:t>
            </w:r>
          </w:p>
        </w:tc>
      </w:tr>
    </w:tbl>
    <w:p>
      <w:pPr>
        <w:pStyle w:val="Heading2"/>
      </w:pPr>
      <w:r>
        <w:t xml:space="preserve">9. Expected contributions</w:t>
      </w:r>
    </w:p>
    <w:p>
      <w:pPr>
        <w:pStyle w:val="ListParagraph"/>
        <w:numPr>
          <w:ilvl w:val="0"/>
          <w:numId w:val="11"/>
        </w:numPr>
      </w:pPr>
      <w:r>
        <w:rPr>
          <w:b/>
        </w:rPr>
        <w:t xml:space="preserve">Evidence</w:t>
      </w:r>
      <w:r>
        <w:t xml:space="preserve"> on whether NFE-based efficiency rankings of diffusion and flow-matching samplers hold across GPU classes and precisions.</w:t>
      </w:r>
    </w:p>
    <w:p>
      <w:pPr>
        <w:pStyle w:val="ListParagraph"/>
        <w:numPr>
          <w:ilvl w:val="0"/>
          <w:numId w:val="11"/>
        </w:numPr>
      </w:pPr>
      <w:r>
        <w:rPr>
          <w:b/>
        </w:rPr>
        <w:t xml:space="preserve">A controlled comparison</w:t>
      </w:r>
      <w:r>
        <w:t xml:space="preserve"> of DiT and SiT that isolates the effect of the training objective on low-step and low-precision robustness at measured cost.</w:t>
      </w:r>
    </w:p>
    <w:p>
      <w:pPr>
        <w:pStyle w:val="ListParagraph"/>
        <w:numPr>
          <w:ilvl w:val="0"/>
          <w:numId w:val="11"/>
        </w:numPr>
      </w:pPr>
      <w:r>
        <w:rPr>
          <w:b/>
        </w:rPr>
        <w:t xml:space="preserve">A reproducible protocol and dataset</w:t>
      </w:r>
      <w:r>
        <w:t xml:space="preserve"> of quality and cost measurements, released with code, so others can check new samplers against the same hardware.</w:t>
      </w:r>
    </w:p>
    <w:p>
      <w:pPr>
        <w:pStyle w:val="Heading2"/>
      </w:pPr>
      <w:r>
        <w:t xml:space="preserve">References</w:t>
      </w:r>
    </w:p>
    <w:p>
      <w:pPr>
        <w:pStyle w:val="ListParagraph"/>
        <w:numPr>
          <w:ilvl w:val="0"/>
          <w:numId w:val="12"/>
        </w:numPr>
      </w:pPr>
      <w:r>
        <w:t xml:space="preserve">Chong, M. J., &amp; Forsyth, D. (2020). </w:t>
      </w:r>
      <w:hyperlink r:id="rId3" w:history="1">
        <w:r>
          <w:rPr>
            <w:rStyle w:val="Hyperlink"/>
          </w:rPr>
          <w:t xml:space="preserve">Effectively Unbiased FID and Inception Score and Where to Find Them</w:t>
        </w:r>
      </w:hyperlink>
      <w:r>
        <w:t xml:space="preserve">. CVPR.</w:t>
      </w:r>
    </w:p>
    <w:p>
      <w:pPr>
        <w:pStyle w:val="ListParagraph"/>
        <w:numPr>
          <w:ilvl w:val="0"/>
          <w:numId w:val="12"/>
        </w:numPr>
      </w:pPr>
      <w:r>
        <w:t xml:space="preserve">Dehghani, M., et al. (2022). </w:t>
      </w:r>
      <w:hyperlink r:id="rId4" w:history="1">
        <w:r>
          <w:rPr>
            <w:rStyle w:val="Hyperlink"/>
          </w:rPr>
          <w:t xml:space="preserve">The Efficiency Misnomer</w:t>
        </w:r>
      </w:hyperlink>
      <w:r>
        <w:t xml:space="preserve">. ICLR.</w:t>
      </w:r>
    </w:p>
    <w:p>
      <w:pPr>
        <w:pStyle w:val="ListParagraph"/>
        <w:numPr>
          <w:ilvl w:val="0"/>
          <w:numId w:val="12"/>
        </w:numPr>
      </w:pPr>
      <w:r>
        <w:t xml:space="preserve">Henderson, P., et al. (2020). </w:t>
      </w:r>
      <w:hyperlink r:id="rId5" w:history="1">
        <w:r>
          <w:rPr>
            <w:rStyle w:val="Hyperlink"/>
          </w:rPr>
          <w:t xml:space="preserve">Towards the Systematic Reporting of the Energy and Carbon Footprints of Machine Learning</w:t>
        </w:r>
      </w:hyperlink>
      <w:r>
        <w:t xml:space="preserve">. JMLR, 21(248).</w:t>
      </w:r>
    </w:p>
    <w:p>
      <w:pPr>
        <w:pStyle w:val="ListParagraph"/>
        <w:numPr>
          <w:ilvl w:val="0"/>
          <w:numId w:val="12"/>
        </w:numPr>
      </w:pPr>
      <w:r>
        <w:t xml:space="preserve">Heusel, M., et al. (2017). </w:t>
      </w:r>
      <w:hyperlink r:id="rId6" w:history="1">
        <w:r>
          <w:rPr>
            <w:rStyle w:val="Hyperlink"/>
          </w:rPr>
          <w:t xml:space="preserve">GANs Trained by a Two Time-Scale Update Rule Converge to a Local Nash Equilibrium</w:t>
        </w:r>
      </w:hyperlink>
      <w:r>
        <w:t xml:space="preserve">. NeurIPS.</w:t>
      </w:r>
    </w:p>
    <w:p>
      <w:pPr>
        <w:pStyle w:val="ListParagraph"/>
        <w:numPr>
          <w:ilvl w:val="0"/>
          <w:numId w:val="12"/>
        </w:numPr>
      </w:pPr>
      <w:r>
        <w:t xml:space="preserve">Ho, J., Jain, A., &amp; Abbeel, P. (2020). </w:t>
      </w:r>
      <w:hyperlink r:id="rId7" w:history="1">
        <w:r>
          <w:rPr>
            <w:rStyle w:val="Hyperlink"/>
          </w:rPr>
          <w:t xml:space="preserve">Denoising Diffusion Probabilistic Models</w:t>
        </w:r>
      </w:hyperlink>
      <w:r>
        <w:t xml:space="preserve">. NeurIPS.</w:t>
      </w:r>
    </w:p>
    <w:p>
      <w:pPr>
        <w:pStyle w:val="ListParagraph"/>
        <w:numPr>
          <w:ilvl w:val="0"/>
          <w:numId w:val="12"/>
        </w:numPr>
      </w:pPr>
      <w:r>
        <w:t xml:space="preserve">Karras, T., et al. (2022). </w:t>
      </w:r>
      <w:hyperlink r:id="rId8" w:history="1">
        <w:r>
          <w:rPr>
            <w:rStyle w:val="Hyperlink"/>
          </w:rPr>
          <w:t xml:space="preserve">Elucidating the Design Space of Diffusion-Based Generative Models</w:t>
        </w:r>
      </w:hyperlink>
      <w:r>
        <w:t xml:space="preserve">. NeurIPS.</w:t>
      </w:r>
    </w:p>
    <w:p>
      <w:pPr>
        <w:pStyle w:val="ListParagraph"/>
        <w:numPr>
          <w:ilvl w:val="0"/>
          <w:numId w:val="12"/>
        </w:numPr>
      </w:pPr>
      <w:r>
        <w:t xml:space="preserve">Kynkäänniemi, T., et al. (2019). </w:t>
      </w:r>
      <w:hyperlink r:id="rId9" w:history="1">
        <w:r>
          <w:rPr>
            <w:rStyle w:val="Hyperlink"/>
          </w:rPr>
          <w:t xml:space="preserve">Improved Precision and Recall Metric for Assessing Generative Models</w:t>
        </w:r>
      </w:hyperlink>
      <w:r>
        <w:t xml:space="preserve">. NeurIPS.</w:t>
      </w:r>
    </w:p>
    <w:p>
      <w:pPr>
        <w:pStyle w:val="ListParagraph"/>
        <w:numPr>
          <w:ilvl w:val="0"/>
          <w:numId w:val="12"/>
        </w:numPr>
      </w:pPr>
      <w:r>
        <w:t xml:space="preserve">Lipman, Y., et al. (2023). </w:t>
      </w:r>
      <w:hyperlink r:id="rId10" w:history="1">
        <w:r>
          <w:rPr>
            <w:rStyle w:val="Hyperlink"/>
          </w:rPr>
          <w:t xml:space="preserve">Flow Matching for Generative Modeling</w:t>
        </w:r>
      </w:hyperlink>
      <w:r>
        <w:t xml:space="preserve">. ICLR.</w:t>
      </w:r>
    </w:p>
    <w:p>
      <w:pPr>
        <w:pStyle w:val="ListParagraph"/>
        <w:numPr>
          <w:ilvl w:val="0"/>
          <w:numId w:val="12"/>
        </w:numPr>
      </w:pPr>
      <w:r>
        <w:t xml:space="preserve">Liu, X., Gong, C., &amp; Liu, Q. (2023). </w:t>
      </w:r>
      <w:hyperlink r:id="rId11" w:history="1">
        <w:r>
          <w:rPr>
            <w:rStyle w:val="Hyperlink"/>
          </w:rPr>
          <w:t xml:space="preserve">Flow Straight and Fast: Learning to Generate and Transfer Data with Rectified Flow</w:t>
        </w:r>
      </w:hyperlink>
      <w:r>
        <w:t xml:space="preserve">. ICLR.</w:t>
      </w:r>
    </w:p>
    <w:p>
      <w:pPr>
        <w:pStyle w:val="ListParagraph"/>
        <w:numPr>
          <w:ilvl w:val="0"/>
          <w:numId w:val="12"/>
        </w:numPr>
      </w:pPr>
      <w:r>
        <w:t xml:space="preserve">Lu, C., et al. (2022). </w:t>
      </w:r>
      <w:hyperlink r:id="rId12" w:history="1">
        <w:r>
          <w:rPr>
            <w:rStyle w:val="Hyperlink"/>
          </w:rPr>
          <w:t xml:space="preserve">DPM-Solver: A Fast ODE Solver for Diffusion Probabilistic Model Sampling in Around 10 Steps</w:t>
        </w:r>
      </w:hyperlink>
      <w:r>
        <w:t xml:space="preserve">. NeurIPS.</w:t>
      </w:r>
    </w:p>
    <w:p>
      <w:pPr>
        <w:pStyle w:val="ListParagraph"/>
        <w:numPr>
          <w:ilvl w:val="0"/>
          <w:numId w:val="12"/>
        </w:numPr>
      </w:pPr>
      <w:r>
        <w:t xml:space="preserve">Ma, N., et al. (2024). </w:t>
      </w:r>
      <w:hyperlink r:id="rId13" w:history="1">
        <w:r>
          <w:rPr>
            <w:rStyle w:val="Hyperlink"/>
          </w:rPr>
          <w:t xml:space="preserve">SiT: Exploring Flow and Diffusion-based Generative Models with Scalable Interpolant Transformers</w:t>
        </w:r>
      </w:hyperlink>
      <w:r>
        <w:t xml:space="preserve">. ECCV.</w:t>
      </w:r>
    </w:p>
    <w:p>
      <w:pPr>
        <w:pStyle w:val="ListParagraph"/>
        <w:numPr>
          <w:ilvl w:val="0"/>
          <w:numId w:val="12"/>
        </w:numPr>
      </w:pPr>
      <w:r>
        <w:t xml:space="preserve">Parmar, G., Zhang, R., &amp; Zhu, J.-Y. (2022). </w:t>
      </w:r>
      <w:hyperlink r:id="rId14" w:history="1">
        <w:r>
          <w:rPr>
            <w:rStyle w:val="Hyperlink"/>
          </w:rPr>
          <w:t xml:space="preserve">On Aliased Resizing and Surprising Subtleties in GAN Evaluation</w:t>
        </w:r>
      </w:hyperlink>
      <w:r>
        <w:t xml:space="preserve">. CVPR.</w:t>
      </w:r>
    </w:p>
    <w:p>
      <w:pPr>
        <w:pStyle w:val="ListParagraph"/>
        <w:numPr>
          <w:ilvl w:val="0"/>
          <w:numId w:val="12"/>
        </w:numPr>
      </w:pPr>
      <w:r>
        <w:t xml:space="preserve">Peebles, W., &amp; Xie, S. (2023). </w:t>
      </w:r>
      <w:hyperlink r:id="rId15" w:history="1">
        <w:r>
          <w:rPr>
            <w:rStyle w:val="Hyperlink"/>
          </w:rPr>
          <w:t xml:space="preserve">Scalable Diffusion Models with Transformers</w:t>
        </w:r>
      </w:hyperlink>
      <w:r>
        <w:t xml:space="preserve">. ICCV.</w:t>
      </w:r>
    </w:p>
    <w:p>
      <w:pPr>
        <w:pStyle w:val="ListParagraph"/>
        <w:numPr>
          <w:ilvl w:val="0"/>
          <w:numId w:val="12"/>
        </w:numPr>
      </w:pPr>
      <w:r>
        <w:t xml:space="preserve">Salimans, T., &amp; Ho, J. (2022). </w:t>
      </w:r>
      <w:hyperlink r:id="rId16" w:history="1">
        <w:r>
          <w:rPr>
            <w:rStyle w:val="Hyperlink"/>
          </w:rPr>
          <w:t xml:space="preserve">Progressive Distillation for Fast Sampling of Diffusion Models</w:t>
        </w:r>
      </w:hyperlink>
      <w:r>
        <w:t xml:space="preserve">. ICLR.</w:t>
      </w:r>
    </w:p>
    <w:p>
      <w:pPr>
        <w:pStyle w:val="ListParagraph"/>
        <w:numPr>
          <w:ilvl w:val="0"/>
          <w:numId w:val="12"/>
        </w:numPr>
      </w:pPr>
      <w:r>
        <w:t xml:space="preserve">Shaul, N., Singer, U., Gat, I., &amp; Lipman, Y. (2025). </w:t>
      </w:r>
      <w:hyperlink r:id="rId17" w:history="1">
        <w:r>
          <w:rPr>
            <w:rStyle w:val="Hyperlink"/>
          </w:rPr>
          <w:t xml:space="preserve">Transition Matching: Scalable and Flexible Generative Modeling</w:t>
        </w:r>
      </w:hyperlink>
      <w:r>
        <w:t xml:space="preserve">. NeurIPS.</w:t>
      </w:r>
    </w:p>
    <w:p>
      <w:pPr>
        <w:pStyle w:val="ListParagraph"/>
        <w:numPr>
          <w:ilvl w:val="0"/>
          <w:numId w:val="12"/>
        </w:numPr>
      </w:pPr>
      <w:r>
        <w:t xml:space="preserve">Song, J., Meng, C., &amp; Ermon, S. (2021). </w:t>
      </w:r>
      <w:hyperlink r:id="rId18" w:history="1">
        <w:r>
          <w:rPr>
            <w:rStyle w:val="Hyperlink"/>
          </w:rPr>
          <w:t xml:space="preserve">Denoising Diffusion Implicit Models</w:t>
        </w:r>
      </w:hyperlink>
      <w:r>
        <w:t xml:space="preserve">. ICLR.</w:t>
      </w:r>
    </w:p>
    <w:p>
      <w:pPr>
        <w:pStyle w:val="ListParagraph"/>
        <w:numPr>
          <w:ilvl w:val="0"/>
          <w:numId w:val="12"/>
        </w:numPr>
      </w:pPr>
      <w:r>
        <w:t xml:space="preserve">Song, Y., et al. (2023). </w:t>
      </w:r>
      <w:hyperlink r:id="rId19" w:history="1">
        <w:r>
          <w:rPr>
            <w:rStyle w:val="Hyperlink"/>
          </w:rPr>
          <w:t xml:space="preserve">Consistency Models</w:t>
        </w:r>
      </w:hyperlink>
      <w:r>
        <w:t xml:space="preserve">. ICML.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openaccess.thecvf.com/content_CVPR_2020/html/Chong_Effectively_Unbiased_FID_and_Inception_Score_and_Where_to_Find_CVPR_2020_paper.html" TargetMode="External"/><Relationship Id="rId4" Type="http://schemas.openxmlformats.org/officeDocument/2006/relationships/hyperlink" Target="https://arxiv.org/abs/2110.12894" TargetMode="External"/><Relationship Id="rId5" Type="http://schemas.openxmlformats.org/officeDocument/2006/relationships/hyperlink" Target="https://jmlr.org/papers/v21/20-312.html" TargetMode="External"/><Relationship Id="rId6" Type="http://schemas.openxmlformats.org/officeDocument/2006/relationships/hyperlink" Target="https://proceedings.neurips.cc/paper/2017/hash/8a1d694707eb0fefe65871369074926d-Abstract.html" TargetMode="External"/><Relationship Id="rId7" Type="http://schemas.openxmlformats.org/officeDocument/2006/relationships/hyperlink" Target="https://papers.nips.cc/paper/2020/hash/4c5bcfec8584af0d967f1ab10179ca4b-Abstract.html" TargetMode="External"/><Relationship Id="rId8" Type="http://schemas.openxmlformats.org/officeDocument/2006/relationships/hyperlink" Target="https://proceedings.neurips.cc/paper_files/paper/2022/hash/a98846e9d9cc01cfb87eb694d946ce6b-Abstract.html" TargetMode="External"/><Relationship Id="rId9" Type="http://schemas.openxmlformats.org/officeDocument/2006/relationships/hyperlink" Target="https://proceedings.neurips.cc/paper/2019/hash/0234c510bc6d908b28c70ff313743079-Abstract.html" TargetMode="External"/><Relationship Id="rId10" Type="http://schemas.openxmlformats.org/officeDocument/2006/relationships/hyperlink" Target="https://arxiv.org/abs/2210.02747" TargetMode="External"/><Relationship Id="rId11" Type="http://schemas.openxmlformats.org/officeDocument/2006/relationships/hyperlink" Target="https://iclr.cc/virtual/2023/poster/11266" TargetMode="External"/><Relationship Id="rId12" Type="http://schemas.openxmlformats.org/officeDocument/2006/relationships/hyperlink" Target="https://arxiv.org/abs/2206.00927" TargetMode="External"/><Relationship Id="rId13" Type="http://schemas.openxmlformats.org/officeDocument/2006/relationships/hyperlink" Target="https://www.ecva.net/papers/eccv_2024/papers_ECCV/html/9828_ECCV_2024_paper.php" TargetMode="External"/><Relationship Id="rId14" Type="http://schemas.openxmlformats.org/officeDocument/2006/relationships/hyperlink" Target="https://openaccess.thecvf.com/content/CVPR2022/papers/Parmar_On_Aliased_Resizing_and_Surprising_Subtleties_in_GAN_Evaluation_CVPR_2022_paper.pdf" TargetMode="External"/><Relationship Id="rId15" Type="http://schemas.openxmlformats.org/officeDocument/2006/relationships/hyperlink" Target="https://openaccess.thecvf.com/content/ICCV2023/papers/Peebles_Scalable_Diffusion_Models_with_Transformers_ICCV_2023_paper.pdf" TargetMode="External"/><Relationship Id="rId16" Type="http://schemas.openxmlformats.org/officeDocument/2006/relationships/hyperlink" Target="https://arxiv.org/abs/2202.00512" TargetMode="External"/><Relationship Id="rId17" Type="http://schemas.openxmlformats.org/officeDocument/2006/relationships/hyperlink" Target="https://arxiv.org/abs/2506.23589" TargetMode="External"/><Relationship Id="rId18" Type="http://schemas.openxmlformats.org/officeDocument/2006/relationships/hyperlink" Target="https://arxiv.org/abs/2010.02502" TargetMode="External"/><Relationship Id="rId19" Type="http://schemas.openxmlformats.org/officeDocument/2006/relationships/hyperlink" Target="https://proceedings.mlr.press/v202/song23a.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Does Hardware Change Which Generative Model Is Efficient</dc:title>
  <dc:description>Claude Docs node/27237a94-aa8a@31 docx-w7</dc:description>
  <cp:revision>31</cp:revision>
</cp:coreProperties>
</file>