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СГРТ России: записка научному руководителю</w:t>
      </w:r>
    </w:p>
    <w:p>
      <w:r>
        <w:t>Результат автоматизированного прохода по исходной концепции. Срез расчётов определяется модельным manifest;21 октября 2026.</w:t>
      </w:r>
    </w:p>
    <w:p>
      <w:r>
        <w:t>На оси 173 527 единиц рассчитаны дорожные районы тяготения и вложенная иерархия. Фиксированная масса использует собственную людность, наблюдаемые сервисы, организационный прокси и явно помеченный муниципальный контекст, без обратного обучения на притянутом населении. Границы представлены составом НП и дорожной доступностью; администрация служит внешним контекстом.</w:t>
      </w:r>
    </w:p>
    <w:p>
      <w:r>
        <w:t>Ранги WordCi учитывают фиксированную массу и предварительную сельскую людность по наблюдаемому перечню переписи 2021. После одного предварительного расчёта центральности строится окончательная вложенная иерархия. Исторические записи вне перечня переписи 2021 не обнулены; неполнота по всем историческим единицам отражена диагностическими колонками, без полного альтернативного расчёта иерархии.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Уровень</w:t>
            </w:r>
          </w:p>
        </w:tc>
        <w:tc>
          <w:tcPr>
            <w:tcW w:type="dxa" w:w="2160"/>
          </w:tcPr>
          <w:p>
            <w:r>
              <w:t>Системы</w:t>
            </w:r>
          </w:p>
        </w:tc>
        <w:tc>
          <w:tcPr>
            <w:tcW w:type="dxa" w:w="2160"/>
          </w:tcPr>
          <w:p>
            <w:r>
              <w:t>С сельским окружением</w:t>
            </w:r>
          </w:p>
        </w:tc>
        <w:tc>
          <w:tcPr>
            <w:tcW w:type="dxa" w:w="2160"/>
          </w:tcPr>
          <w:p>
            <w:r>
              <w:t>Описательные типы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3 895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2 789</w:t>
            </w:r>
          </w:p>
        </w:tc>
        <w:tc>
          <w:tcPr>
            <w:tcW w:type="dxa" w:w="2160"/>
          </w:tcPr>
          <w:p>
            <w:r>
              <w:t>1 096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1 115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t>Содержательная типология охватывает девять типов рукописи. Проверка выполняется для центра на каждом уровне; описательный тип по наблюдаемому ядру и расширенная проверка всех иллюстраций/механизмов учитываются раздельно. Численность по годам, UNKNOWN и исходные данные доступны для каждого результата.</w:t>
      </w:r>
    </w:p>
    <w:p>
      <w:r>
        <w:t>Каноническая операционализация выделила 22 положительных сочетаний центр×уровень: тип 2 — 8, тип 5 — 11, тип 8 — 3. Это описательные кандидаты с проверенным ядром и разновременными функциональными признаками (включая рекреационные данные и дороги 2026), а не исторически доказанная функция 2021; число сочетаний не является числом непересекающихся районов или доказанных механизмов.</w:t>
      </w:r>
    </w:p>
    <w:p>
      <w:r>
        <w:t>На численно полной низовой подвыборке 386 систем центр и сельское окружение одновременно сокращаются в 289 случаях, центр растёт при сокращении окружения — в 53. Это измеренная асимметрия демографической динамики в условно фиксированной сетке районов; историческая сопоставимость границ не установлена; она сама по себе не устанавливает миграционный или хозяйственный механизм.</w:t>
      </w:r>
    </w:p>
    <w:p>
      <w:r>
        <w:t>При включении географических кандидатов низовой центр совпадает в 52.5% случаев среди 21 693 НП, назначенных в обоих сценариях. Снятие вероятностного порога (P0) сохраняет 45 788 прежних назначений и добавляет 103 236 новых низовых назначений. Сохранение старой подвыборки не означает 100% устойчивости всей национальной сетки. Различия охвата и типов приведены в отчёте; внешняя точность выбранных границ не установлена.</w:t>
      </w:r>
    </w:p>
    <w:p>
      <w:r>
        <w:t>Источниковый ремонт 2010 применил 18 909 проверенных первичных связок. В конечных модельных узлах остаётся 118 244 защищённых вторичных значений с неподтверждённым точным охватом. Динамика и регрессии остаются описательными; отдельная проверка на первичной подвыборке показывает чувствительность к качеству источника.</w:t>
      </w:r>
    </w:p>
    <w:p>
      <w:r>
        <w:t>Аграрный блок теперь содержит совместимую долю посевов 2021 по 84 регионам: Росстат, хозяйства всех категорий / фактические угодья Росреестра на 01.01.2022. Российский бонитет добавлен как 20 559 экспериментальных интервалов по мелкомасштабному атласу. Оба дополнения используются как явные сценарии чувствительности; региональная доля не названа собственной площадью поселения.</w:t>
      </w:r>
    </w:p>
    <w:p>
      <w:pPr>
        <w:pStyle w:val="Heading1"/>
      </w:pPr>
      <w:r>
        <w:t>Что можно обсуждать по этому результату</w:t>
      </w:r>
    </w:p>
    <w:p>
      <w:r>
        <w:t>Сопоставлять динамику центра, сельского окружения и системы; видеть иерархические связи и описательные типы; сравнивать массы и доступность на одной выборке; выбирать конкретные территории для независимой содержательной проверки. Карты и именные примеры сопровождаются исходными ID, годами и источниками.</w:t>
      </w:r>
    </w:p>
    <w:p>
      <w:pPr>
        <w:pStyle w:val="Heading1"/>
      </w:pPr>
      <w:r>
        <w:t>Что определяет следующий научный шаг</w:t>
      </w:r>
    </w:p>
    <w:p>
      <w:r>
        <w:t>Приоритет — уточнить повседневные связи и реальные мощности учреждений, расширить первичное подтверждение 2010 и проверить устойчивость районов к ранговой схеме, скоростям и правилам географической привязки. Низкая посевная доля не означает заброшенность, рост OSM-записей не означает открытие учреждений, промышленное свидетельство не объясняет автоматически демографию всей системы.</w:t>
      </w:r>
    </w:p>
    <w:p>
      <w:r>
        <w:t>Статус независимого гаранта: Требуется дальнейшая источниковая и методическая доработка; полное соответствие концепции пока не принято. Полные таблицы, научный отчёт, атлас и GPKG читаются вместе с ограничениями источников.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