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СГРТ: записка научному руководителю</w:t>
      </w:r>
    </w:p>
    <w:p>
      <w:r>
        <w:t>Предварительные результаты на зафиксированных источниках. Записку сопровождают научный отчёт, атлас и таблицы состава районов.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Представление</w:t>
            </w:r>
          </w:p>
        </w:tc>
        <w:tc>
          <w:tcPr>
            <w:tcW w:type="dxa" w:w="2880"/>
          </w:tcPr>
          <w:p>
            <w:r>
              <w:t>Отдельных источниковых записей</w:t>
            </w:r>
          </w:p>
        </w:tc>
        <w:tc>
          <w:tcPr>
            <w:tcW w:type="dxa" w:w="2880"/>
          </w:tcPr>
          <w:p>
            <w:r>
              <w:t>Территориальных районов</w:t>
            </w:r>
          </w:p>
        </w:tc>
      </w:tr>
      <w:tr>
        <w:tc>
          <w:tcPr>
            <w:tcW w:type="dxa" w:w="2880"/>
          </w:tcPr>
          <w:p>
            <w:r>
              <w:t>Операционный охват 120 мин</w:t>
            </w:r>
          </w:p>
        </w:tc>
        <w:tc>
          <w:tcPr>
            <w:tcW w:type="dxa" w:w="2880"/>
          </w:tcPr>
          <w:p>
            <w:r>
              <w:t>21 221</w:t>
            </w:r>
          </w:p>
        </w:tc>
        <w:tc>
          <w:tcPr>
            <w:tcW w:type="dxa" w:w="2880"/>
          </w:tcPr>
          <w:p>
            <w:r>
              <w:t>1 422</w:t>
            </w:r>
          </w:p>
        </w:tc>
      </w:tr>
      <w:tr>
        <w:tc>
          <w:tcPr>
            <w:tcW w:type="dxa" w:w="2880"/>
          </w:tcPr>
          <w:p>
            <w:r>
              <w:t>Операционный охват 30 мин</w:t>
            </w:r>
          </w:p>
        </w:tc>
        <w:tc>
          <w:tcPr>
            <w:tcW w:type="dxa" w:w="2880"/>
          </w:tcPr>
          <w:p>
            <w:r>
              <w:t>32 064</w:t>
            </w:r>
          </w:p>
        </w:tc>
        <w:tc>
          <w:tcPr>
            <w:tcW w:type="dxa" w:w="2880"/>
          </w:tcPr>
          <w:p>
            <w:r>
              <w:t>10 667</w:t>
            </w:r>
          </w:p>
        </w:tc>
      </w:tr>
      <w:tr>
        <w:tc>
          <w:tcPr>
            <w:tcW w:type="dxa" w:w="2880"/>
          </w:tcPr>
          <w:p>
            <w:r>
              <w:t>Операционный охват 45 мин</w:t>
            </w:r>
          </w:p>
        </w:tc>
        <w:tc>
          <w:tcPr>
            <w:tcW w:type="dxa" w:w="2880"/>
          </w:tcPr>
          <w:p>
            <w:r>
              <w:t>24 612</w:t>
            </w:r>
          </w:p>
        </w:tc>
        <w:tc>
          <w:tcPr>
            <w:tcW w:type="dxa" w:w="2880"/>
          </w:tcPr>
          <w:p>
            <w:r>
              <w:t>6 289</w:t>
            </w:r>
          </w:p>
        </w:tc>
      </w:tr>
      <w:tr>
        <w:tc>
          <w:tcPr>
            <w:tcW w:type="dxa" w:w="2880"/>
          </w:tcPr>
          <w:p>
            <w:r>
              <w:t>Операционный охват 60 мин</w:t>
            </w:r>
          </w:p>
        </w:tc>
        <w:tc>
          <w:tcPr>
            <w:tcW w:type="dxa" w:w="2880"/>
          </w:tcPr>
          <w:p>
            <w:r>
              <w:t>22 636</w:t>
            </w:r>
          </w:p>
        </w:tc>
        <w:tc>
          <w:tcPr>
            <w:tcW w:type="dxa" w:w="2880"/>
          </w:tcPr>
          <w:p>
            <w:r>
              <w:t>4 069</w:t>
            </w:r>
          </w:p>
        </w:tc>
      </w:tr>
      <w:tr>
        <w:tc>
          <w:tcPr>
            <w:tcW w:type="dxa" w:w="2880"/>
          </w:tcPr>
          <w:p>
            <w:r>
              <w:t>Операционный охват 90 мин</w:t>
            </w:r>
          </w:p>
        </w:tc>
        <w:tc>
          <w:tcPr>
            <w:tcW w:type="dxa" w:w="2880"/>
          </w:tcPr>
          <w:p>
            <w:r>
              <w:t>21 574</w:t>
            </w:r>
          </w:p>
        </w:tc>
        <w:tc>
          <w:tcPr>
            <w:tcW w:type="dxa" w:w="2880"/>
          </w:tcPr>
          <w:p>
            <w:r>
              <w:t>2 200</w:t>
            </w:r>
          </w:p>
        </w:tc>
      </w:tr>
      <w:tr>
        <w:tc>
          <w:tcPr>
            <w:tcW w:type="dxa" w:w="2880"/>
          </w:tcPr>
          <w:p>
            <w:r>
              <w:t>Устойчивое вложенное разрешение 1</w:t>
            </w:r>
          </w:p>
        </w:tc>
        <w:tc>
          <w:tcPr>
            <w:tcW w:type="dxa" w:w="2880"/>
          </w:tcPr>
          <w:p>
            <w:r>
              <w:t>24 909</w:t>
            </w:r>
          </w:p>
        </w:tc>
        <w:tc>
          <w:tcPr>
            <w:tcW w:type="dxa" w:w="2880"/>
          </w:tcPr>
          <w:p>
            <w:r>
              <w:t>9 749</w:t>
            </w:r>
          </w:p>
        </w:tc>
      </w:tr>
      <w:tr>
        <w:tc>
          <w:tcPr>
            <w:tcW w:type="dxa" w:w="2880"/>
          </w:tcPr>
          <w:p>
            <w:r>
              <w:t>Устойчивое вложенное разрешение 2</w:t>
            </w:r>
          </w:p>
        </w:tc>
        <w:tc>
          <w:tcPr>
            <w:tcW w:type="dxa" w:w="2880"/>
          </w:tcPr>
          <w:p>
            <w:r>
              <w:t>22 717</w:t>
            </w:r>
          </w:p>
        </w:tc>
        <w:tc>
          <w:tcPr>
            <w:tcW w:type="dxa" w:w="2880"/>
          </w:tcPr>
          <w:p>
            <w:r>
              <w:t>5 775</w:t>
            </w:r>
          </w:p>
        </w:tc>
      </w:tr>
      <w:tr>
        <w:tc>
          <w:tcPr>
            <w:tcW w:type="dxa" w:w="2880"/>
          </w:tcPr>
          <w:p>
            <w:r>
              <w:t>Устойчивое вложенное разрешение 3</w:t>
            </w:r>
          </w:p>
        </w:tc>
        <w:tc>
          <w:tcPr>
            <w:tcW w:type="dxa" w:w="2880"/>
          </w:tcPr>
          <w:p>
            <w:r>
              <w:t>21 671</w:t>
            </w:r>
          </w:p>
        </w:tc>
        <w:tc>
          <w:tcPr>
            <w:tcW w:type="dxa" w:w="2880"/>
          </w:tcPr>
          <w:p>
            <w:r>
              <w:t>3 563</w:t>
            </w:r>
          </w:p>
        </w:tc>
      </w:tr>
      <w:tr>
        <w:tc>
          <w:tcPr>
            <w:tcW w:type="dxa" w:w="2880"/>
          </w:tcPr>
          <w:p>
            <w:r>
              <w:t>Устойчивое вложенное разрешение 4</w:t>
            </w:r>
          </w:p>
        </w:tc>
        <w:tc>
          <w:tcPr>
            <w:tcW w:type="dxa" w:w="2880"/>
          </w:tcPr>
          <w:p>
            <w:r>
              <w:t>21 261</w:t>
            </w:r>
          </w:p>
        </w:tc>
        <w:tc>
          <w:tcPr>
            <w:tcW w:type="dxa" w:w="2880"/>
          </w:tcPr>
          <w:p>
            <w:r>
              <w:t>2 018</w:t>
            </w:r>
          </w:p>
        </w:tc>
      </w:tr>
    </w:tbl>
    <w:p>
      <w:r>
        <w:t>Предварительный результат основного представления: 4069 территориальных объединений; все три ряда 2010–2021 наблюдаются у 2678. Одновременная убыль центра, сельского окружения и целого: 1844 объединений (45.32% всех; 68.86% с тремя наблюдаемыми рядами). Одновременный рост: 115 (2.83% всех; 4.29% наблюдаемых). Это распределение данного модельного состава и доступных источников, а не доказанная доля всех реальных сельско-городских районов страны.</w:t>
      </w:r>
    </w:p>
    <w:p>
      <w:r>
        <w:t>Операционные районы. Охват 60 минут, исход района в целом: добавление структуры наблюдаемого инвентаря повышает R² на отложенных регионах с 0.2973 до 0.3219. Это сравнение на одних строках внутри семьи B. Зависимость от охвата и выбранного исхода исключает утверждение об универсальном улучшении.</w:t>
      </w:r>
    </w:p>
    <w:p>
      <w:r>
        <w:t>Операционные районы. Охват 120 минут, исход района в целом: добавление структуры наблюдаемого инвентаря понижает R² на отложенных регионах с 0.2420 до 0.2271. Это сравнение на одних строках внутри семьи B. Зависимость от охвата и выбранного исхода исключает утверждение об универсальном улучшении.</w:t>
      </w:r>
    </w:p>
    <w:p>
      <w:r>
        <w:t>Собственная масса и функции 2021 измерены у конца интервала 2010–2021. Они могут сами зависеть от предшествующих изменений населения и миграции; природно-аграрный контекст также не делает модель причинной. Здесь оценены условные ретроспективные ассоциации, а не прогноз из начала периода и не отдельный причинный эффект центра.</w:t>
      </w:r>
    </w:p>
    <w:p>
      <w:r>
        <w:t>Рассматриваются вложенные потенциальные районы и отдельные операционные сценарии дорожного охвата. Каждая источниковая запись имеет измеренный тип; содержательные механизмы остаются предварительными интерпретациями. Исторические источниковые записи отделены от первичных наблюдений 2021, а неполнота демографии и качества данных отражена явно.</w:t>
      </w:r>
    </w:p>
    <w:p>
      <w:r>
        <w:t>Включённые обновления: 477 принятых координат и обновлённые функции/маршруты включены;353 подтверждения 2010 уже включены без повторного численного вмешательства; Доминантный по фиксированной массе центр сам должен удовлетворять прямому охвату; Четыре устойчивых вложенных разрешения; функциональные порядки не доказаны. Пять лесов — отдельные операционные сценарии; Ведущий центр по фиксированной источниковой массе может не совпадать с крупнейшим городом: например, объединение с Челябинском имеет модельный центр Долгодеревенское. Неравномерность учёта функций и их прокси-веса могут влиять на этот выбор. Поэтому это потенциальные модельные объединения, а не автоматически доказанные агломерации названных городов.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