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Динамическая типология сельско-городских районов тяготения России</w:t>
      </w:r>
    </w:p>
    <w:p>
      <w:r>
        <w:t>Вычислительная реализация концепции исходной рукописи. Материалы для научного обсуждения, 21 октября 2026 года.</w:t>
      </w:r>
    </w:p>
    <w:p>
      <w:pPr>
        <w:pStyle w:val="Heading1"/>
      </w:pPr>
      <w:r>
        <w:t>1. Постановка задачи и статус результата</w:t>
      </w:r>
    </w:p>
    <w:p>
      <w:r>
        <w:t>Единица исследования — центр и связанное с ним сельско-городское окружение, определяемое транспортной доступностью и собственной демографической, экономической и сервисной массой. Административная сетка используется для источникового контекста и независимой проверки, а не как готовая граница СГРТ.</w:t>
      </w:r>
    </w:p>
    <w:p>
      <w:r>
        <w:t>Рассчитаны назначения, иерархия, раздельные сервисные сети и динамика центра, сельского окружения и всей системы. Исходная ось содержит 173 527 источниковых единиц, включая неполные временные цепочки; 154 969 имеют принятые координаты. Модель содержит 782 низовых систем с сельским окружением. Содержательные типы отделены от механических демографических сочетаний; недоказанные необходимые признаки остаются неизвестными.</w:t>
      </w:r>
    </w:p>
    <w:p>
      <w:r>
        <w:t>Основная масса использует данные среза 2021 года; динамика 2010–2021 рассматривается в фиксированной аналитической сетке. Дороги характеризуют доступную картографическую сеть октября 2026 года и сценарные скорости. Такая конструкция допускает ретроспективное описание и анализ ассоциаций, но не является исторической реконструкцией транспортной сети 2010 года или причинным прогнозом.</w:t>
      </w:r>
    </w:p>
    <w:p>
      <w:r>
        <w:t>Строгая независимая научная приёмка: Требуется дальнейшая источниковая и методическая доработка; полное соответствие концепции пока не принято. Отсутствие допуска нельзя заменить успешным выполнением программных проверок.</w:t>
      </w:r>
    </w:p>
    <w:p>
      <w:pPr>
        <w:pStyle w:val="Heading1"/>
      </w:pPr>
      <w:r>
        <w:t>2. Информационная база и измеренные ограничения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Блок</w:t>
            </w:r>
          </w:p>
        </w:tc>
        <w:tc>
          <w:tcPr>
            <w:tcW w:type="dxa" w:w="2880"/>
          </w:tcPr>
          <w:p>
            <w:r>
              <w:t>Фактический массив</w:t>
            </w:r>
          </w:p>
        </w:tc>
        <w:tc>
          <w:tcPr>
            <w:tcW w:type="dxa" w:w="2880"/>
          </w:tcPr>
          <w:p>
            <w:r>
              <w:t>Смысл и ограничение</w:t>
            </w:r>
          </w:p>
        </w:tc>
      </w:tr>
      <w:tr>
        <w:tc>
          <w:tcPr>
            <w:tcW w:type="dxa" w:w="2880"/>
          </w:tcPr>
          <w:p>
            <w:r>
              <w:t>Переписная ось</w:t>
            </w:r>
          </w:p>
        </w:tc>
        <w:tc>
          <w:tcPr>
            <w:tcW w:type="dxa" w:w="2880"/>
          </w:tcPr>
          <w:p>
            <w:r>
              <w:t>173 527</w:t>
            </w:r>
          </w:p>
        </w:tc>
        <w:tc>
          <w:tcPr>
            <w:tcW w:type="dxa" w:w="2880"/>
          </w:tcPr>
          <w:p>
            <w:r>
              <w:t>Источниковые единицы и пропуски сохранены</w:t>
            </w:r>
          </w:p>
        </w:tc>
      </w:tr>
      <w:tr>
        <w:tc>
          <w:tcPr>
            <w:tcW w:type="dxa" w:w="2880"/>
          </w:tcPr>
          <w:p>
            <w:r>
              <w:t>Образование 2021</w:t>
            </w:r>
          </w:p>
        </w:tc>
        <w:tc>
          <w:tcPr>
            <w:tcW w:type="dxa" w:w="2880"/>
          </w:tcPr>
          <w:p>
            <w:r>
              <w:t>30 094 школьных записей</w:t>
            </w:r>
          </w:p>
        </w:tc>
        <w:tc>
          <w:tcPr>
            <w:tcW w:type="dxa" w:w="2880"/>
          </w:tcPr>
          <w:p>
            <w:r>
              <w:t>Явный адрес и географический кандидат раздельны</w:t>
            </w:r>
          </w:p>
        </w:tc>
      </w:tr>
      <w:tr>
        <w:tc>
          <w:tcPr>
            <w:tcW w:type="dxa" w:w="2880"/>
          </w:tcPr>
          <w:p>
            <w:r>
              <w:t>Медицина 2021</w:t>
            </w:r>
          </w:p>
        </w:tc>
        <w:tc>
          <w:tcPr>
            <w:tcW w:type="dxa" w:w="2880"/>
          </w:tcPr>
          <w:p>
            <w:r>
              <w:t>64 976 объектов</w:t>
            </w:r>
          </w:p>
        </w:tc>
        <w:tc>
          <w:tcPr>
            <w:tcW w:type="dxa" w:w="2880"/>
          </w:tcPr>
          <w:p>
            <w:r>
              <w:t>Подтипы и картографическая наблюдаемость разделены</w:t>
            </w:r>
          </w:p>
        </w:tc>
      </w:tr>
      <w:tr>
        <w:tc>
          <w:tcPr>
            <w:tcW w:type="dxa" w:w="2880"/>
          </w:tcPr>
          <w:p>
            <w:r>
              <w:t>Торговля/финансы/администрация 2021</w:t>
            </w:r>
          </w:p>
        </w:tc>
        <w:tc>
          <w:tcPr>
            <w:tcW w:type="dxa" w:w="2880"/>
          </w:tcPr>
          <w:p>
            <w:r>
              <w:t>Датированный слой OSM</w:t>
            </w:r>
          </w:p>
        </w:tc>
        <w:tc>
          <w:tcPr>
            <w:tcW w:type="dxa" w:w="2880"/>
          </w:tcPr>
          <w:p>
            <w:r>
              <w:t>Количество записей не равно мощности</w:t>
            </w:r>
          </w:p>
        </w:tc>
      </w:tr>
      <w:tr>
        <w:tc>
          <w:tcPr>
            <w:tcW w:type="dxa" w:w="2880"/>
          </w:tcPr>
          <w:p>
            <w:r>
              <w:t>САТ &gt;10°C FAO</w:t>
            </w:r>
          </w:p>
        </w:tc>
        <w:tc>
          <w:tcPr>
            <w:tcW w:type="dxa" w:w="2880"/>
          </w:tcPr>
          <w:p>
            <w:r>
              <w:t>154 968 НП</w:t>
            </w:r>
          </w:p>
        </w:tc>
        <w:tc>
          <w:tcPr>
            <w:tcW w:type="dxa" w:w="2880"/>
          </w:tcPr>
          <w:p>
            <w:r>
              <w:t>Суточный показатель, норма 1981–2010</w:t>
            </w:r>
          </w:p>
        </w:tc>
      </w:tr>
      <w:tr>
        <w:tc>
          <w:tcPr>
            <w:tcW w:type="dxa" w:w="2880"/>
          </w:tcPr>
          <w:p>
            <w:r>
              <w:t>Почвенные рейтинги FAO</w:t>
            </w:r>
          </w:p>
        </w:tc>
        <w:tc>
          <w:tcPr>
            <w:tcW w:type="dxa" w:w="2880"/>
          </w:tcPr>
          <w:p>
            <w:r>
              <w:t>152 337 НП</w:t>
            </w:r>
          </w:p>
        </w:tc>
        <w:tc>
          <w:tcPr>
            <w:tcW w:type="dxa" w:w="2880"/>
          </w:tcPr>
          <w:p>
            <w:r>
              <w:t>Агрономические классы, отдельны от российского бонитета</w:t>
            </w:r>
          </w:p>
        </w:tc>
      </w:tr>
      <w:tr>
        <w:tc>
          <w:tcPr>
            <w:tcW w:type="dxa" w:w="2880"/>
          </w:tcPr>
          <w:p>
            <w:r>
              <w:t>Доля посевов/угодий 2021</w:t>
            </w:r>
          </w:p>
        </w:tc>
        <w:tc>
          <w:tcPr>
            <w:tcW w:type="dxa" w:w="2880"/>
          </w:tcPr>
          <w:p>
            <w:r>
              <w:t>84 субъекта</w:t>
            </w:r>
          </w:p>
        </w:tc>
        <w:tc>
          <w:tcPr>
            <w:tcW w:type="dxa" w:w="2880"/>
          </w:tcPr>
          <w:p>
            <w:r>
              <w:t>Совместимые региональные первоисточники, не муниципальные площади</w:t>
            </w:r>
          </w:p>
        </w:tc>
      </w:tr>
      <w:tr>
        <w:tc>
          <w:tcPr>
            <w:tcW w:type="dxa" w:w="2880"/>
          </w:tcPr>
          <w:p>
            <w:r>
              <w:t>Российский бонитет</w:t>
            </w:r>
          </w:p>
        </w:tc>
        <w:tc>
          <w:tcPr>
            <w:tcW w:type="dxa" w:w="2880"/>
          </w:tcPr>
          <w:p>
            <w:r>
              <w:t>20 559 интервалов</w:t>
            </w:r>
          </w:p>
        </w:tc>
        <w:tc>
          <w:tcPr>
            <w:tcW w:type="dxa" w:w="2880"/>
          </w:tcPr>
          <w:p>
            <w:r>
              <w:t>Экспериментальное восстановление по мелкомасштабному атласу</w:t>
            </w:r>
          </w:p>
        </w:tc>
      </w:tr>
    </w:tbl>
    <w:p>
      <w:r>
        <w:t>Наблюдения услуг получены из полных российских срезов OSM2021 и 2026 с сохранением исходных объектов, тегов, дат и правил связывания. Явно названное местоположение отделено от ближайшего пространственного кандидата. Ненаблюдаемость не кодируется как доказанное отсутствие услуги. Изменение картографических записей между датами не приравнивается к открытию или закрытию учреждений.</w:t>
      </w:r>
    </w:p>
    <w:p>
      <w:r>
        <w:t>Качество демографии 2010 анализируется на окончательных модельных узлах. Сохранилось 118 244 защищённых вторичных значений с неподтверждённым точным охватом; подробная первичная ревизия и принятые замены приведены ниже.</w:t>
      </w:r>
    </w:p>
    <w:p>
      <w:r>
        <w:t>Независимая проверка по официальному перечню 473 однозначно связанных НП с ФАП Удмуртии выявила лишь 27 НП с любым координатным медицинским свидетельством в OSM. Поэтому модель использует измеренную наблюдаемость сети, а полная функциональная обеспеченность не установлена. Муниципальные естественное движение, миграция и ввод жилья сохраняют муниципальное зерно и не становятся собственными показателями каждой деревни. Рождения, смерти и прирост согласованы, численные конфликты и неоднозначные исходные коды исключены.</w:t>
      </w:r>
    </w:p>
    <w:p>
      <w:pPr>
        <w:pStyle w:val="Heading1"/>
      </w:pPr>
      <w:r>
        <w:t>2 а. Восстановленные первичные данные и новые контексты</w:t>
      </w:r>
    </w:p>
    <w:p>
      <w:r>
        <w:t>В четырёх региональных переписных публикациях восстановлено и принято 18 909 однозначных связок НП 2010. Из них 18 727 ранее имели защищённые вторичные значения; 12 452 чисел изменены, 3 549 нулей отдельно выведены из исчерпывающих перечней, точных сумм и контрольных чисел безнаселённых НП. В данном финальном модельном файле применено 18 909 связок и 12 452 численных изменений. Исходные значения и первичные локаторы сохранены, ось не перезаписана.</w:t>
      </w:r>
    </w:p>
    <w:p>
      <w:r>
        <w:t>Качество 2010 читается из окончательных model/nodes.parquet: 118 244 осевых единиц сохраняют статус защищённого вторичного значения с неподтверждённым точным охватом. Опубликованное число и доказанная переписная истинность остаются разными уровнями свидетельства. Нули, доказанные контролями, имеют собственный quality-класс.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Регион</w:t>
            </w:r>
          </w:p>
        </w:tc>
        <w:tc>
          <w:tcPr>
            <w:tcW w:type="dxa" w:w="2160"/>
          </w:tcPr>
          <w:p>
            <w:r>
              <w:t>Принято НП</w:t>
            </w:r>
          </w:p>
        </w:tc>
        <w:tc>
          <w:tcPr>
            <w:tcW w:type="dxa" w:w="2160"/>
          </w:tcPr>
          <w:p>
            <w:r>
              <w:t>Численных изменений</w:t>
            </w:r>
          </w:p>
        </w:tc>
        <w:tc>
          <w:tcPr>
            <w:tcW w:type="dxa" w:w="2160"/>
          </w:tcPr>
          <w:p>
            <w:r>
              <w:t>Доказанных нулей</w:t>
            </w:r>
          </w:p>
        </w:tc>
      </w:tr>
      <w:tr>
        <w:tc>
          <w:tcPr>
            <w:tcW w:type="dxa" w:w="2160"/>
          </w:tcPr>
          <w:p>
            <w:r>
              <w:t>Башкортостан</w:t>
            </w:r>
          </w:p>
        </w:tc>
        <w:tc>
          <w:tcPr>
            <w:tcW w:type="dxa" w:w="2160"/>
          </w:tcPr>
          <w:p>
            <w:r>
              <w:t>3 492</w:t>
            </w:r>
          </w:p>
        </w:tc>
        <w:tc>
          <w:tcPr>
            <w:tcW w:type="dxa" w:w="2160"/>
          </w:tcPr>
          <w:p>
            <w:r>
              <w:t>2 714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Тверская область</w:t>
            </w:r>
          </w:p>
        </w:tc>
        <w:tc>
          <w:tcPr>
            <w:tcW w:type="dxa" w:w="2160"/>
          </w:tcPr>
          <w:p>
            <w:r>
              <w:t>8 683</w:t>
            </w:r>
          </w:p>
        </w:tc>
        <w:tc>
          <w:tcPr>
            <w:tcW w:type="dxa" w:w="2160"/>
          </w:tcPr>
          <w:p>
            <w:r>
              <w:t>5 497</w:t>
            </w:r>
          </w:p>
        </w:tc>
        <w:tc>
          <w:tcPr>
            <w:tcW w:type="dxa" w:w="2160"/>
          </w:tcPr>
          <w:p>
            <w:r>
              <w:t>1 994</w:t>
            </w:r>
          </w:p>
        </w:tc>
      </w:tr>
      <w:tr>
        <w:tc>
          <w:tcPr>
            <w:tcW w:type="dxa" w:w="2160"/>
          </w:tcPr>
          <w:p>
            <w:r>
              <w:t>Вологодская область</w:t>
            </w:r>
          </w:p>
        </w:tc>
        <w:tc>
          <w:tcPr>
            <w:tcW w:type="dxa" w:w="2160"/>
          </w:tcPr>
          <w:p>
            <w:r>
              <w:t>4 200</w:t>
            </w:r>
          </w:p>
        </w:tc>
        <w:tc>
          <w:tcPr>
            <w:tcW w:type="dxa" w:w="2160"/>
          </w:tcPr>
          <w:p>
            <w:r>
              <w:t>2 538</w:t>
            </w:r>
          </w:p>
        </w:tc>
        <w:tc>
          <w:tcPr>
            <w:tcW w:type="dxa" w:w="2160"/>
          </w:tcPr>
          <w:p>
            <w:r>
              <w:t>1 089</w:t>
            </w:r>
          </w:p>
        </w:tc>
      </w:tr>
      <w:tr>
        <w:tc>
          <w:tcPr>
            <w:tcW w:type="dxa" w:w="2160"/>
          </w:tcPr>
          <w:p>
            <w:r>
              <w:t>Новгородская область</w:t>
            </w:r>
          </w:p>
        </w:tc>
        <w:tc>
          <w:tcPr>
            <w:tcW w:type="dxa" w:w="2160"/>
          </w:tcPr>
          <w:p>
            <w:r>
              <w:t>2 534</w:t>
            </w:r>
          </w:p>
        </w:tc>
        <w:tc>
          <w:tcPr>
            <w:tcW w:type="dxa" w:w="2160"/>
          </w:tcPr>
          <w:p>
            <w:r>
              <w:t>1 703</w:t>
            </w:r>
          </w:p>
        </w:tc>
        <w:tc>
          <w:tcPr>
            <w:tcW w:type="dxa" w:w="2160"/>
          </w:tcPr>
          <w:p>
            <w:r>
              <w:t>466</w:t>
            </w:r>
          </w:p>
        </w:tc>
      </w:tr>
    </w:tbl>
    <w:p>
      <w:r>
        <w:t>Современный аграрный контекст восстановлен из двух первоисточников: Росреестр, приложение 2 к докладу 2021, страницы 174–179, угодья всех категорий на 01.01.2022; Росстат, бюллетень посевных площадей 2021, лист T_1440, хозяйства всех категорий. Знаменатель покрывает 85 субъектов, совместимая доля — 84. Сумма угодий 221,907.1 тыс.га совпала с общероссийской контрольной суммой; посевы 80,383.367 тыс.га, отношение 36.22%. Это региональная посевная нагрузка, включающая в знаменатель сенокосы и пастбища: низкая доля не равна заброшенности. Санкт-Петербург остаётся NULL; повторяемые региональные значения не превращены в площади НП или СГРТ.</w:t>
      </w:r>
    </w:p>
    <w:p>
      <w:r>
        <w:t>Дополнительно восстановлены 20 559 экспериментальных интервалов российского бонитета по атласной карте масштаба 1:30,000,000. Интервалы выделены только при устойчивом классе в пределах ошибки геопривязки; контрольная RMSE около 19.3 км. Смешанные классы и экстраполяция вне опорных точек оставлены неизвестными. Это отдельная чувствительность, а не точечная кадастровая оценка и не замена FAO-рейтинга в основной спецификации.</w:t>
      </w:r>
    </w:p>
    <w:p>
      <w:pPr>
        <w:pStyle w:val="Heading1"/>
      </w:pPr>
      <w:r>
        <w:t>3. Масса, дорожная доступность и иерархия</w:t>
      </w:r>
    </w:p>
    <w:p>
      <w:r>
        <w:t>Базовая положительная масса строится экспоненцированием среднего стандартизированных компонентных блоков. В неё входят собственная людность, наблюдаемые образование, здравоохранение, торговля и финансы, регистрационный экономический прокси, муниципальные жильё и демографическое движение. Веса не обучаются на сельском населении, которое эта же масса сама притянула. Тем самым исходная круговая калибровка устранена.</w:t>
      </w:r>
    </w:p>
    <w:p>
      <w:r>
        <w:t>Модель выбора использует Gij=Mj·exp(−Tij/τ), Pij=Gij/(ΣkGik+Moutside). Tij получено по направленному дорожному графу; соединительный внедорожный участок со скоростью 15 км/ч хранится отдельно. В основной конфигурации τ=30 минут, предел=180 минут, порог выбора=0.35, Moutside=0. При Moutside=0 вероятность условна на наблюдаемом наборе доступных поставщиков. Консервативный вариант с внешней альтернативой сохраняется отдельно. Параметры сценарные и не подбирались по точности на проверочных медицинских отношениях.</w:t>
      </w:r>
    </w:p>
    <w:p>
      <w:r>
        <w:t>Центральность варианта WordCi задана формулой Ci=0,5·minmax(log Mi)+0,5·minmax(log(1+R2021)), где R2021 — предварительная сельская людность. Для основного Ci предварительная сельская людность берётся по наблюдаемому перечню переписи 2021. Исторические записи, не входящие в этот перечень, исключены только из данного R2021 и не превращены в нули; они сохранены в полной источниковой оси и отдельных агрегатах. Чувствительность к строгой полноте по всем источниковым единицам рассчитывается отдельным вариантом. Ранги варианта WordCi учитывают собственную массу Mi и объём предварительного сельского окружения в явной формуле центральности Ci. Сначала выполняется один предварительный выбор среди всех центров; известный сельский объём и UNKNOWN сохраняются отдельно. Затем рассчитываются Ci и монотонные ранги, после чего строится окончательная иерархия снизу вверх. Собственная Mi на притянутом населении не переобучается и остаётся гравитационным весом. Для родительской связи WordCi требуются больший Ci и старший монотонный порядок; меньшая собственная Mi у такого родителя допустима, поскольку в Ci включено предварительное сельское окружение. Предварительный и окончательный составы не смешиваются; исходный вариант рангов по собственной массе остаётся сравнительным сценарием. Статистические границы рангов определяются пересечениями взвешенной GMM и не объявляются наблюдаемыми ступенями обслуживания. Поскольку людность 2021 участвует в Mi и Ci, геометрия районов и ретроспективный демографический исход статистически связаны конструкцией; это дополнительное основание описательной, а не причинной интерпретации. В предварительном реестре: 155 411 единиц наблюдаемого перечня переписи 2021, включая 24 758 наблюдаемых нулей; неизвестных значений в этом перечне — 0. Компонента наблюдаемого перечня полна у 3 897 центров. Для сравнения, требование полноты по всем историческим источниковым единицам выполняется у 3 729 центров; неполнота затрагивает 168 центров и 528 единиц в предварительно назначенных окружениях.</w:t>
      </w:r>
    </w:p>
    <w:p>
      <w:r>
        <w:t>Раздельные функциональные сети позволяют расходиться образовательным, медицинским и интегральным назначениям. Негеолоцированные, недоступные и неопределённые единицы сохраняют собственные статусы. Несколько сопоставимых центров характеризуют модельный полицентрический потенциал; подтверждение реальных взаимодействий требует независимых потоков и данных о разделении функций.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Уровень</w:t>
            </w:r>
          </w:p>
        </w:tc>
        <w:tc>
          <w:tcPr>
            <w:tcW w:type="dxa" w:w="2160"/>
          </w:tcPr>
          <w:p>
            <w:r>
              <w:t>Системы</w:t>
            </w:r>
          </w:p>
        </w:tc>
        <w:tc>
          <w:tcPr>
            <w:tcW w:type="dxa" w:w="2160"/>
          </w:tcPr>
          <w:p>
            <w:r>
              <w:t>С сельским окружением</w:t>
            </w:r>
          </w:p>
        </w:tc>
        <w:tc>
          <w:tcPr>
            <w:tcW w:type="dxa" w:w="2160"/>
          </w:tcPr>
          <w:p>
            <w:r>
              <w:t>Полное население 2010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3 895</w:t>
            </w:r>
          </w:p>
        </w:tc>
        <w:tc>
          <w:tcPr>
            <w:tcW w:type="dxa" w:w="2160"/>
          </w:tcPr>
          <w:p>
            <w:r>
              <w:t>782</w:t>
            </w:r>
          </w:p>
        </w:tc>
        <w:tc>
          <w:tcPr>
            <w:tcW w:type="dxa" w:w="2160"/>
          </w:tcPr>
          <w:p>
            <w:r>
              <w:t>3 466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2 789</w:t>
            </w:r>
          </w:p>
        </w:tc>
        <w:tc>
          <w:tcPr>
            <w:tcW w:type="dxa" w:w="2160"/>
          </w:tcPr>
          <w:p>
            <w:r>
              <w:t>1 096</w:t>
            </w:r>
          </w:p>
        </w:tc>
        <w:tc>
          <w:tcPr>
            <w:tcW w:type="dxa" w:w="2160"/>
          </w:tcPr>
          <w:p>
            <w:r>
              <w:t>2 282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1 115</w:t>
            </w:r>
          </w:p>
        </w:tc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758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222</w:t>
            </w:r>
          </w:p>
        </w:tc>
      </w:tr>
    </w:tbl>
    <w:p>
      <w:r>
        <w:t>Дополнительная нециркулярная административная калибровка выполнена на 55 полных единицах из 16 регионов, независимо связанных с центром источниковыми административными отношениями. Ошибка межрегиональной проверки log-населения: 1.424, базового среднего: 1.626. Это калибровка административного охвата, а не наблюдаемых поездок; текущие OSM-коды не доказывают историческую эквивалентность границ. Калиброванная масса автоматически основной не объявлена.</w:t>
      </w:r>
    </w:p>
    <w:p>
      <w:r>
        <w:drawing>
          <wp:inline xmlns:a="http://schemas.openxmlformats.org/drawingml/2006/main" xmlns:pic="http://schemas.openxmlformats.org/drawingml/2006/picture">
            <wp:extent cx="5486400" cy="14123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oad_hierarchy_output_word_ci_2021_bas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2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Вложенная дорожная иерархия выбранного расчёта; точки НП и связи не являются непрерывными территориальными полигонами.</w:t>
      </w:r>
    </w:p>
    <w:p>
      <w:pPr>
        <w:pStyle w:val="Heading1"/>
      </w:pPr>
      <w:r>
        <w:t>4. Динамика центра, села и системы</w:t>
      </w:r>
    </w:p>
    <w:p>
      <w:r>
        <w:t>Для каждого уровня сохранены известные суммы, число неизвестных значений, реальные нули, собственное население центра и население внешнего сельского окружения. Полным темпом района называется только изменение сопоставимой полной пары. Изменение состава территории и ошибка исторических связок остаются самостоятельным источником неопределённости.</w:t>
      </w:r>
    </w:p>
    <w:p>
      <w:r>
        <w:t>На полной низовой подвыборке 386 систем центр и сельское окружение одновременно сокращаются в 289 случаях; центр растёт при сокращении окружения — в 53; центр сокращается при росте окружения — в 28. Это знаки совокупного изменения, без причинного объяснения миграцией или хозяйственной специализацией.</w:t>
      </w:r>
    </w:p>
    <w:p>
      <w:pPr>
        <w:pStyle w:val="Heading1"/>
      </w:pPr>
      <w:r>
        <w:t>5. Девять содержательных типов исходной концепции</w:t>
      </w:r>
    </w:p>
    <w:p>
      <w:r>
        <w:t>После буквального аудита исходной концепции широкие демографические прототипы (64 положительных сочетаний центр×уровень) сохранены отдельно. Основные названия и таблицы ниже относятся к канонической операционализации (22 положительных сочетаний у 14 уникальных центров). Проверяются тип центра, сценарная граница малых городов до 50 тыс.жителей, близость рекреационно-дачных систем к городу от 100 тыс.жителей и географическое свидетельство Нечерноземья. Неизвестный обязательный признак не превращается в положительный тип. Это адаптация определения типов при замороженных массах, рангах и составах районов.</w:t>
      </w:r>
    </w:p>
    <w:p>
      <w:r>
        <w:t>Для рекреационно-дачного типа близость к крупному городу — явный дорожный сценарий, не установленный поведенческий порог. Основная граница 90 минут сопоставлена с 60/120/180 минутами; фактическое число канонических сочетаний центр×уровень типа 5 по сценариям: 60 мин — 5, 90 мин — 11, 120 мин — 14, 180 мин — 17. Классификационная центральность Ci заморожена до окончательного районирования; вычисленная по финальному окружению центральность остаётся только постфактум-диагностикой.</w:t>
      </w:r>
    </w:p>
    <w:p>
      <w:r>
        <w:t>В таблице проверяется каждая пара центр×уровень: один центр может участвовать в системах разных уровней, которые нельзя сливать в одну строку. Числа описательных типов не образуют взаимоисключающего разбиения; пересечения и UNKNOWN сохранены. Расширенная AND-проверка содержит дополнительные иллюстративные признаки и механизмы и не отменяет описательную классификацию по измеренному ядру.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Ур.</w:t>
            </w:r>
          </w:p>
        </w:tc>
        <w:tc>
          <w:tcPr>
            <w:tcW w:type="dxa" w:w="1728"/>
          </w:tcPr>
          <w:p>
            <w:r>
              <w:t>Тип исходной концепции</w:t>
            </w:r>
          </w:p>
        </w:tc>
        <w:tc>
          <w:tcPr>
            <w:tcW w:type="dxa" w:w="1728"/>
          </w:tcPr>
          <w:p>
            <w:r>
              <w:t>Расшир. AND</w:t>
            </w:r>
          </w:p>
        </w:tc>
        <w:tc>
          <w:tcPr>
            <w:tcW w:type="dxa" w:w="1728"/>
          </w:tcPr>
          <w:p>
            <w:r>
              <w:t>Описательные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 Урбанизирующиеся маятниково-миграционные (пригородные)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425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 Урбанизирующиеся аграрно-сервисные СГРТ (региональные узлы)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230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 Стабильные аграрно-сервисные СГРТ в зонах высокой аграрной продуктивности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 Стабильные периферийные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 Контрурбанизационные рекреационно-дачные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1 348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 Контрурбанизационные этнические (анклавные)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2 079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7. Депрессивные аграрно-сервисные СГРТ Нечерноземья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8. Депрессивные старопромышленные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1 438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9. Депрессивные ресурсно-вахтовые СГРТ северных территорий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 Урбанизирующиеся маятниково-миграционные (пригородные)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320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 Урбанизирующиеся аграрно-сервисные СГРТ (региональные узлы)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136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 Стабильные аграрно-сервисные СГРТ в зонах высокой аграрной продуктивности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4. Стабильные периферийные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 Контрурбанизационные рекреационно-дачные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680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 Контрурбанизационные этнические (анклавные)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1 072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 Депрессивные аграрно-сервисные СГРТ Нечерноземья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8. Депрессивные старопромышленные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940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9. Депрессивные ресурсно-вахтовые СГРТ северных территорий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173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1. Урбанизирующиеся маятниково-миграционные (пригородные)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2. Урбанизирующиеся аграрно-сервисные СГРТ (региональные узлы)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3. Стабильные аграрно-сервисные СГРТ в зонах высокой аграрной продуктивности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4. Стабильные периферийные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 Контрурбанизационные рекреационно-дачные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6. Контрурбанизационные этнические (анклавные)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269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7. Депрессивные аграрно-сервисные СГРТ Нечерноземья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8. Депрессивные старопромышленные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9. Депрессивные ресурсно-вахтовые СГРТ северных территорий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129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1. Урбанизирующиеся маятниково-миграционные (пригородные)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117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2. Урбанизирующиеся аграрно-сервисные СГРТ (региональные узлы)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3. Стабильные аграрно-сервисные СГРТ в зонах высокой аграрной продуктивности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4. Стабильные периферийные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 Контрурбанизационные рекреационно-дачные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6. Контрурбанизационные этнические (анклавные)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7. Депрессивные аграрно-сервисные СГРТ Нечерноземья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8. Депрессивные старопромышленные СГРТ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9. Депрессивные ресурсно-вахтовые СГРТ северных территорий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81</w:t>
            </w:r>
          </w:p>
        </w:tc>
      </w:tr>
    </w:tbl>
    <w:p>
      <w:r>
        <w:t>В исходной рукописи определения типов соседствуют с формулировками «как правило», «нередко», «зачастую». Операциональное демографическое и функциональное ядро задаёт измеренные описательные исследовательские типы; расширенная TRUE/FALSE/UNKNOWN-матрица отдельно проверяет иллюстративные признаки и недоказанные механизмы. Нулевое число полностью выполненных расширенных AND-наборов не означает отсутствия выделенных типов. Маятниковая миграция не выводится из дорожной близости, вахтовость — из наличия шахты; механистические утверждения требуют отдельных данных.</w:t>
      </w:r>
    </w:p>
    <w:p>
      <w:r>
        <w:drawing>
          <wp:inline xmlns:a="http://schemas.openxmlformats.org/drawingml/2006/main" xmlns:pic="http://schemas.openxmlformats.org/drawingml/2006/picture">
            <wp:extent cx="5486400" cy="4950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ine_word_types_output_word_ci_2021_ba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0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Девять описательных типов и неизвестные признаки; уровни и сила свидетельства читаются вместе с таблицей.</w:t>
      </w:r>
    </w:p>
    <w:p>
      <w:pPr>
        <w:pStyle w:val="Heading1"/>
      </w:pPr>
      <w:r>
        <w:t>5 а. Именные примеры выделенных описательных типов</w:t>
      </w:r>
    </w:p>
    <w:p>
      <w:r>
        <w:t>Примеры выбираются из фактически рассчитанных положительных описательных типов каждого уровня, до трёх на сочетание. Темпы — среднегодовые изменения центра и сельского окружения; население системы показано известной суммой и читается вместе с флагами полноты. Таблица не устанавливает причин наблюдаемой динамики.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Центр и регион</w:t>
            </w:r>
          </w:p>
        </w:tc>
        <w:tc>
          <w:tcPr>
            <w:tcW w:type="dxa" w:w="1440"/>
          </w:tcPr>
          <w:p>
            <w:r>
              <w:t>Ур.</w:t>
            </w:r>
          </w:p>
        </w:tc>
        <w:tc>
          <w:tcPr>
            <w:tcW w:type="dxa" w:w="1440"/>
          </w:tcPr>
          <w:p>
            <w:r>
              <w:t>Тип</w:t>
            </w:r>
          </w:p>
        </w:tc>
        <w:tc>
          <w:tcPr>
            <w:tcW w:type="dxa" w:w="1440"/>
          </w:tcPr>
          <w:p>
            <w:r>
              <w:t>Центр/год</w:t>
            </w:r>
          </w:p>
        </w:tc>
        <w:tc>
          <w:tcPr>
            <w:tcW w:type="dxa" w:w="1440"/>
          </w:tcPr>
          <w:p>
            <w:r>
              <w:t>Село/год</w:t>
            </w:r>
          </w:p>
        </w:tc>
        <w:tc>
          <w:tcPr>
            <w:tcW w:type="dxa" w:w="1440"/>
          </w:tcPr>
          <w:p>
            <w:r>
              <w:t>P2010 → P2021</w:t>
            </w:r>
          </w:p>
        </w:tc>
      </w:tr>
      <w:tr>
        <w:tc>
          <w:tcPr>
            <w:tcW w:type="dxa" w:w="1440"/>
          </w:tcPr>
          <w:p>
            <w:r>
              <w:t>Белинский (пензенская)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+0.10%</w:t>
            </w:r>
          </w:p>
        </w:tc>
        <w:tc>
          <w:tcPr>
            <w:tcW w:type="dxa" w:w="1440"/>
          </w:tcPr>
          <w:p>
            <w:r>
              <w:t>-0.84%</w:t>
            </w:r>
          </w:p>
        </w:tc>
        <w:tc>
          <w:tcPr>
            <w:tcW w:type="dxa" w:w="1440"/>
          </w:tcPr>
          <w:p>
            <w:r>
              <w:t>11 794 → 11 599</w:t>
            </w:r>
          </w:p>
        </w:tc>
      </w:tr>
      <w:tr>
        <w:tc>
          <w:tcPr>
            <w:tcW w:type="dxa" w:w="1440"/>
          </w:tcPr>
          <w:p>
            <w:r>
              <w:t>Грайворон (белгородская)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-0.08%</w:t>
            </w:r>
          </w:p>
        </w:tc>
        <w:tc>
          <w:tcPr>
            <w:tcW w:type="dxa" w:w="1440"/>
          </w:tcPr>
          <w:p>
            <w:r>
              <w:t>-0.96%</w:t>
            </w:r>
          </w:p>
        </w:tc>
        <w:tc>
          <w:tcPr>
            <w:tcW w:type="dxa" w:w="1440"/>
          </w:tcPr>
          <w:p>
            <w:r>
              <w:t>15 885 → 14 859</w:t>
            </w:r>
          </w:p>
        </w:tc>
      </w:tr>
      <w:tr>
        <w:tc>
          <w:tcPr>
            <w:tcW w:type="dxa" w:w="1440"/>
          </w:tcPr>
          <w:p>
            <w:r>
              <w:t>Ипатово (ставропольский)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+0.02%</w:t>
            </w:r>
          </w:p>
        </w:tc>
        <w:tc>
          <w:tcPr>
            <w:tcW w:type="dxa" w:w="1440"/>
          </w:tcPr>
          <w:p>
            <w:r>
              <w:t>-1.23%</w:t>
            </w:r>
          </w:p>
        </w:tc>
        <w:tc>
          <w:tcPr>
            <w:tcW w:type="dxa" w:w="1440"/>
          </w:tcPr>
          <w:p>
            <w:r>
              <w:t>50 293 → 47 270</w:t>
            </w:r>
          </w:p>
        </w:tc>
      </w:tr>
      <w:tr>
        <w:tc>
          <w:tcPr>
            <w:tcW w:type="dxa" w:w="1440"/>
          </w:tcPr>
          <w:p>
            <w:r>
              <w:t>Грайворон (белгородская)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-0.08%</w:t>
            </w:r>
          </w:p>
        </w:tc>
        <w:tc>
          <w:tcPr>
            <w:tcW w:type="dxa" w:w="1440"/>
          </w:tcPr>
          <w:p>
            <w:r>
              <w:t>-0.96%</w:t>
            </w:r>
          </w:p>
        </w:tc>
        <w:tc>
          <w:tcPr>
            <w:tcW w:type="dxa" w:w="1440"/>
          </w:tcPr>
          <w:p>
            <w:r>
              <w:t>15 885 → 14 859</w:t>
            </w:r>
          </w:p>
        </w:tc>
      </w:tr>
      <w:tr>
        <w:tc>
          <w:tcPr>
            <w:tcW w:type="dxa" w:w="1440"/>
          </w:tcPr>
          <w:p>
            <w:r>
              <w:t>Ипатово (ставропольский)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+0.02%</w:t>
            </w:r>
          </w:p>
        </w:tc>
        <w:tc>
          <w:tcPr>
            <w:tcW w:type="dxa" w:w="1440"/>
          </w:tcPr>
          <w:p>
            <w:r>
              <w:t>-1.23%</w:t>
            </w:r>
          </w:p>
        </w:tc>
        <w:tc>
          <w:tcPr>
            <w:tcW w:type="dxa" w:w="1440"/>
          </w:tcPr>
          <w:p>
            <w:r>
              <w:t>50 293 → 47 270</w:t>
            </w:r>
          </w:p>
        </w:tc>
      </w:tr>
      <w:tr>
        <w:tc>
          <w:tcPr>
            <w:tcW w:type="dxa" w:w="1440"/>
          </w:tcPr>
          <w:p>
            <w:r>
              <w:t>Мостовской (краснодарский)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+0.17%</w:t>
            </w:r>
          </w:p>
        </w:tc>
        <w:tc>
          <w:tcPr>
            <w:tcW w:type="dxa" w:w="1440"/>
          </w:tcPr>
          <w:p>
            <w:r>
              <w:t>-0.26%</w:t>
            </w:r>
          </w:p>
        </w:tc>
        <w:tc>
          <w:tcPr>
            <w:tcW w:type="dxa" w:w="1440"/>
          </w:tcPr>
          <w:p>
            <w:r>
              <w:t>30 596 → 30 913</w:t>
            </w:r>
          </w:p>
        </w:tc>
      </w:tr>
      <w:tr>
        <w:tc>
          <w:tcPr>
            <w:tcW w:type="dxa" w:w="1440"/>
          </w:tcPr>
          <w:p>
            <w:r>
              <w:t>Высокий (ханты мансийский югра)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-0.53%</w:t>
            </w:r>
          </w:p>
        </w:tc>
        <w:tc>
          <w:tcPr>
            <w:tcW w:type="dxa" w:w="1440"/>
          </w:tcPr>
          <w:p>
            <w:r>
              <w:t>+1.08%</w:t>
            </w:r>
          </w:p>
        </w:tc>
        <w:tc>
          <w:tcPr>
            <w:tcW w:type="dxa" w:w="1440"/>
          </w:tcPr>
          <w:p>
            <w:r>
              <w:t>11 984 → 12 221</w:t>
            </w:r>
          </w:p>
        </w:tc>
      </w:tr>
      <w:tr>
        <w:tc>
          <w:tcPr>
            <w:tcW w:type="dxa" w:w="1440"/>
          </w:tcPr>
          <w:p>
            <w:r>
              <w:t>Дружная Горка (ленинградская)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-0.05%</w:t>
            </w:r>
          </w:p>
        </w:tc>
        <w:tc>
          <w:tcPr>
            <w:tcW w:type="dxa" w:w="1440"/>
          </w:tcPr>
          <w:p>
            <w:r>
              <w:t>-0.18%</w:t>
            </w:r>
          </w:p>
        </w:tc>
        <w:tc>
          <w:tcPr>
            <w:tcW w:type="dxa" w:w="1440"/>
          </w:tcPr>
          <w:p>
            <w:r>
              <w:t>4 584 → 4 543</w:t>
            </w:r>
          </w:p>
        </w:tc>
      </w:tr>
      <w:tr>
        <w:tc>
          <w:tcPr>
            <w:tcW w:type="dxa" w:w="1440"/>
          </w:tcPr>
          <w:p>
            <w:r>
              <w:t>Зеленокумск (ставропольский)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-0.70%</w:t>
            </w:r>
          </w:p>
        </w:tc>
        <w:tc>
          <w:tcPr>
            <w:tcW w:type="dxa" w:w="1440"/>
          </w:tcPr>
          <w:p>
            <w:r>
              <w:t>-0.23%</w:t>
            </w:r>
          </w:p>
        </w:tc>
        <w:tc>
          <w:tcPr>
            <w:tcW w:type="dxa" w:w="1440"/>
          </w:tcPr>
          <w:p>
            <w:r>
              <w:t>42 330 → 39 519</w:t>
            </w:r>
          </w:p>
        </w:tc>
      </w:tr>
      <w:tr>
        <w:tc>
          <w:tcPr>
            <w:tcW w:type="dxa" w:w="1440"/>
          </w:tcPr>
          <w:p>
            <w:r>
              <w:t>Зеленокумск (ставропольский)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-0.70%</w:t>
            </w:r>
          </w:p>
        </w:tc>
        <w:tc>
          <w:tcPr>
            <w:tcW w:type="dxa" w:w="1440"/>
          </w:tcPr>
          <w:p>
            <w:r>
              <w:t>-0.23%</w:t>
            </w:r>
          </w:p>
        </w:tc>
        <w:tc>
          <w:tcPr>
            <w:tcW w:type="dxa" w:w="1440"/>
          </w:tcPr>
          <w:p>
            <w:r>
              <w:t>42 330 → 39 519</w:t>
            </w:r>
          </w:p>
        </w:tc>
      </w:tr>
      <w:tr>
        <w:tc>
          <w:tcPr>
            <w:tcW w:type="dxa" w:w="1440"/>
          </w:tcPr>
          <w:p>
            <w:r>
              <w:t>Моздок (северная осетия алания)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-0.48%</w:t>
            </w:r>
          </w:p>
        </w:tc>
        <w:tc>
          <w:tcPr>
            <w:tcW w:type="dxa" w:w="1440"/>
          </w:tcPr>
          <w:p>
            <w:r>
              <w:t>+0.35%</w:t>
            </w:r>
          </w:p>
        </w:tc>
        <w:tc>
          <w:tcPr>
            <w:tcW w:type="dxa" w:w="1440"/>
          </w:tcPr>
          <w:p>
            <w:r>
              <w:t>82 877 → 82 603</w:t>
            </w:r>
          </w:p>
        </w:tc>
      </w:tr>
      <w:tr>
        <w:tc>
          <w:tcPr>
            <w:tcW w:type="dxa" w:w="1440"/>
          </w:tcPr>
          <w:p>
            <w:r>
              <w:t>Рамонь (воронежская)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+0.16%</w:t>
            </w:r>
          </w:p>
        </w:tc>
        <w:tc>
          <w:tcPr>
            <w:tcW w:type="dxa" w:w="1440"/>
          </w:tcPr>
          <w:p>
            <w:r>
              <w:t>+1.14%</w:t>
            </w:r>
          </w:p>
        </w:tc>
        <w:tc>
          <w:tcPr>
            <w:tcW w:type="dxa" w:w="1440"/>
          </w:tcPr>
          <w:p>
            <w:r>
              <w:t>15 938 → 17 091</w:t>
            </w:r>
          </w:p>
        </w:tc>
      </w:tr>
      <w:tr>
        <w:tc>
          <w:tcPr>
            <w:tcW w:type="dxa" w:w="1440"/>
          </w:tcPr>
          <w:p>
            <w:r>
              <w:t>Березовка (красноярский)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-0.83%</w:t>
            </w:r>
          </w:p>
        </w:tc>
        <w:tc>
          <w:tcPr>
            <w:tcW w:type="dxa" w:w="1440"/>
          </w:tcPr>
          <w:p>
            <w:r>
              <w:t>+0.09%</w:t>
            </w:r>
          </w:p>
        </w:tc>
        <w:tc>
          <w:tcPr>
            <w:tcW w:type="dxa" w:w="1440"/>
          </w:tcPr>
          <w:p>
            <w:r>
              <w:t>1 091 367 → 1 309 538</w:t>
            </w:r>
          </w:p>
        </w:tc>
      </w:tr>
      <w:tr>
        <w:tc>
          <w:tcPr>
            <w:tcW w:type="dxa" w:w="1440"/>
          </w:tcPr>
          <w:p>
            <w:r>
              <w:t>Березовка (красноярский)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-0.83%</w:t>
            </w:r>
          </w:p>
        </w:tc>
        <w:tc>
          <w:tcPr>
            <w:tcW w:type="dxa" w:w="1440"/>
          </w:tcPr>
          <w:p>
            <w:r>
              <w:t>+0.06%</w:t>
            </w:r>
          </w:p>
        </w:tc>
        <w:tc>
          <w:tcPr>
            <w:tcW w:type="dxa" w:w="1440"/>
          </w:tcPr>
          <w:p>
            <w:r>
              <w:t>1 091 537 → 1 309 608</w:t>
            </w:r>
          </w:p>
        </w:tc>
      </w:tr>
      <w:tr>
        <w:tc>
          <w:tcPr>
            <w:tcW w:type="dxa" w:w="1440"/>
          </w:tcPr>
          <w:p>
            <w:r>
              <w:t>Инта (коми)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-4.09%</w:t>
            </w:r>
          </w:p>
        </w:tc>
        <w:tc>
          <w:tcPr>
            <w:tcW w:type="dxa" w:w="1440"/>
          </w:tcPr>
          <w:p>
            <w:r>
              <w:t>-6.86%</w:t>
            </w:r>
          </w:p>
        </w:tc>
        <w:tc>
          <w:tcPr>
            <w:tcW w:type="dxa" w:w="1440"/>
          </w:tcPr>
          <w:p>
            <w:r>
              <w:t>33 585 → 20 887</w:t>
            </w:r>
          </w:p>
        </w:tc>
      </w:tr>
      <w:tr>
        <w:tc>
          <w:tcPr>
            <w:tcW w:type="dxa" w:w="1440"/>
          </w:tcPr>
          <w:p>
            <w:r>
              <w:t>Инта (коми)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-4.09%</w:t>
            </w:r>
          </w:p>
        </w:tc>
        <w:tc>
          <w:tcPr>
            <w:tcW w:type="dxa" w:w="1440"/>
          </w:tcPr>
          <w:p>
            <w:r>
              <w:t>-6.86%</w:t>
            </w:r>
          </w:p>
        </w:tc>
        <w:tc>
          <w:tcPr>
            <w:tcW w:type="dxa" w:w="1440"/>
          </w:tcPr>
          <w:p>
            <w:r>
              <w:t>33 585 → 20 887</w:t>
            </w:r>
          </w:p>
        </w:tc>
      </w:tr>
      <w:tr>
        <w:tc>
          <w:tcPr>
            <w:tcW w:type="dxa" w:w="1440"/>
          </w:tcPr>
          <w:p>
            <w:r>
              <w:t>Инта (коми)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-4.09%</w:t>
            </w:r>
          </w:p>
        </w:tc>
        <w:tc>
          <w:tcPr>
            <w:tcW w:type="dxa" w:w="1440"/>
          </w:tcPr>
          <w:p>
            <w:r>
              <w:t>-6.86%</w:t>
            </w:r>
          </w:p>
        </w:tc>
        <w:tc>
          <w:tcPr>
            <w:tcW w:type="dxa" w:w="1440"/>
          </w:tcPr>
          <w:p>
            <w:r>
              <w:t>33 585 → 20 887</w:t>
            </w:r>
          </w:p>
        </w:tc>
      </w:tr>
    </w:tbl>
    <w:p>
      <w:pPr>
        <w:pStyle w:val="Heading1"/>
      </w:pPr>
      <w:r>
        <w:t>5 б. Независимое функциональное свидетельство маятниковых связей</w:t>
      </w:r>
    </w:p>
    <w:p>
      <w:r>
        <w:t>Махрова и Бочкарев (2017) публикуют результаты мобильных данных за ноябрь 2015: долю работающих в Москве среди всех выезжающих на работу из муниципалитета. В статье приведены следующие именные значения (PDF с.11); муниципальная карта показана на рис.7, PDF с.13. Это самостоятельная функциональная опора для исследования маятникового типа, с другим годом и муниципальным зерном. Муниципалитет не приравнивается к переписному НП, а проценты не являются долей всех жителей или занятых. Значения не перенесены на национальную сеть и автоматически не присваивают тип 1.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Названная территория</w:t>
            </w:r>
          </w:p>
        </w:tc>
        <w:tc>
          <w:tcPr>
            <w:tcW w:type="dxa" w:w="2880"/>
          </w:tcPr>
          <w:p>
            <w:r>
              <w:t>Доля выезжающих, работающих в Москве</w:t>
            </w:r>
          </w:p>
        </w:tc>
        <w:tc>
          <w:tcPr>
            <w:tcW w:type="dxa" w:w="2880"/>
          </w:tcPr>
          <w:p>
            <w:r>
              <w:t>Период</w:t>
            </w:r>
          </w:p>
        </w:tc>
      </w:tr>
      <w:tr>
        <w:tc>
          <w:tcPr>
            <w:tcW w:type="dxa" w:w="2880"/>
          </w:tcPr>
          <w:p>
            <w:r>
              <w:t>Буньковское сельское поселение</w:t>
            </w:r>
          </w:p>
        </w:tc>
        <w:tc>
          <w:tcPr>
            <w:tcW w:type="dxa" w:w="2880"/>
          </w:tcPr>
          <w:p>
            <w:r>
              <w:t>9.9%</w:t>
            </w:r>
          </w:p>
        </w:tc>
        <w:tc>
          <w:tcPr>
            <w:tcW w:type="dxa" w:w="2880"/>
          </w:tcPr>
          <w:p>
            <w:r>
              <w:t>Ноябрь 2015</w:t>
            </w:r>
          </w:p>
        </w:tc>
      </w:tr>
      <w:tr>
        <w:tc>
          <w:tcPr>
            <w:tcW w:type="dxa" w:w="2880"/>
          </w:tcPr>
          <w:p>
            <w:r>
              <w:t>Солнечногорск</w:t>
            </w:r>
          </w:p>
        </w:tc>
        <w:tc>
          <w:tcPr>
            <w:tcW w:type="dxa" w:w="2880"/>
          </w:tcPr>
          <w:p>
            <w:r>
              <w:t>46.0%</w:t>
            </w:r>
          </w:p>
        </w:tc>
        <w:tc>
          <w:tcPr>
            <w:tcW w:type="dxa" w:w="2880"/>
          </w:tcPr>
          <w:p>
            <w:r>
              <w:t>Ноябрь 2015</w:t>
            </w:r>
          </w:p>
        </w:tc>
      </w:tr>
      <w:tr>
        <w:tc>
          <w:tcPr>
            <w:tcW w:type="dxa" w:w="2880"/>
          </w:tcPr>
          <w:p>
            <w:r>
              <w:t>Монино</w:t>
            </w:r>
          </w:p>
        </w:tc>
        <w:tc>
          <w:tcPr>
            <w:tcW w:type="dxa" w:w="2880"/>
          </w:tcPr>
          <w:p>
            <w:r>
              <w:t>36.4%</w:t>
            </w:r>
          </w:p>
        </w:tc>
        <w:tc>
          <w:tcPr>
            <w:tcW w:type="dxa" w:w="2880"/>
          </w:tcPr>
          <w:p>
            <w:r>
              <w:t>Ноябрь 2015</w:t>
            </w:r>
          </w:p>
        </w:tc>
      </w:tr>
      <w:tr>
        <w:tc>
          <w:tcPr>
            <w:tcW w:type="dxa" w:w="2880"/>
          </w:tcPr>
          <w:p>
            <w:r>
              <w:t>Подольск</w:t>
            </w:r>
          </w:p>
        </w:tc>
        <w:tc>
          <w:tcPr>
            <w:tcW w:type="dxa" w:w="2880"/>
          </w:tcPr>
          <w:p>
            <w:r>
              <w:t>68.6%</w:t>
            </w:r>
          </w:p>
        </w:tc>
        <w:tc>
          <w:tcPr>
            <w:tcW w:type="dxa" w:w="2880"/>
          </w:tcPr>
          <w:p>
            <w:r>
              <w:t>Ноябрь 2015</w:t>
            </w:r>
          </w:p>
        </w:tc>
      </w:tr>
    </w:tbl>
    <w:p>
      <w:r>
        <w:t>Железнодорожная таблица 2014 в той же статье относится к пассажирским поездкам, включая повторные поездки и иные цели; она сохранена отдельно и не смешивается с мобильным показателем 2015. Географические ID в реестре служат справочными связками, а не доказанным историческим соответствием границ муниципалитета и НП.</w:t>
      </w:r>
    </w:p>
    <w:p>
      <w:r>
        <w:t>Независимое промышленное свидетельство: Инта, АО Интауголь, угледобыча, событие 2018. Муниципальный документ называет решение совета директоров о добровольной ликвидации 02.07.2018 и отсутствие добычи на 01.08.2020; нельзя считать дату решения последним днём добычи или исключать промежуточный запуск. Источник: Стратегия социально-экономического развития Инты до 2035, утверждена решением Совета 25.12.2020 №IV-4/1; Раздел 1.1.3 Характеристика экономики МОГО Инта, подраздел Промышленное производство; абзацы после перечисления специализаций; https://base.garant.ru/400135706/. Это свидетельство отдельного производства, без автоматического вывода о хозяйственном крахе всей СГРТ.</w:t>
      </w:r>
    </w:p>
    <w:p>
      <w:r>
        <w:t>Независимое промышленное свидетельство: Верхний Уфалей, ОАО Уфалейникель, никелевая металлургия, событие 2017. Справочник фиксирует остановку 2017 и распродажу имущества в ходе банкротства 2019; следующим абзацем прямо локализует комбинат в городе Верхний Уфалей. Источник: ИТС 12-2019 Производство никеля и кобальта; Раздел 2.2 Технологии производства никеля из окисленных руд; абзацы после Южуралникеля и перед перечислением местоположений трёх заводов; https://meganorm.ru/mega_doc/norm/zaklyuchenie/0/its_12-2019_informatsionno-tekhnicheskiy_spravochnik_po.html. Это свидетельство отдельного производства, без автоматического вывода о хозяйственном крахе всей СГРТ.</w:t>
      </w:r>
    </w:p>
    <w:p>
      <w:r>
        <w:t>Независимое промышленное свидетельство: Реж, ЗАО ПО Режникель; Режский никелевый завод, никелевая металлургия, производство никелевого штейна, событие 2017. Справочник отдельно подтверждает остановку Режского завода 2017 и точный город; при этом текст сам допускает потенциальный перезапуск мощностей, поэтому вечное закрытие не приписывается. Источник: ИТС 12-2019 Производство никеля и кобальта; Раздел 2.2 Технологии производства никеля из окисленных руд; сразу после абзаца об Уфалейникеле, перед точным местоположением Режского завода в г. Реже; https://meganorm.ru/mega_doc/norm/zaklyuchenie/0/its_12-2019_informatsionno-tekhnicheskiy_spravochnik_po.html. Это свидетельство отдельного производства, без автоматического вывода о хозяйственном крахе всей СГРТ.</w:t>
      </w:r>
    </w:p>
    <w:p>
      <w:pPr>
        <w:pStyle w:val="Heading1"/>
      </w:pPr>
      <w:r>
        <w:t>6. Независимая проверка модельных назначений</w:t>
      </w:r>
    </w:p>
    <w:p>
      <w:r>
        <w:t>Официальные территории первичной медицинской помощи Ленинградской области 2024 дают 222 уникальных внешних отношений с явно связанным поставщиком. Точное совпадение низового назначения на всех таких парах: 4.1%; среди пар с поставщиком в наборе модельных кандидатов: 28.1%. Доля источниковых поставщиков, попавших в набор кандидатов, оценивается отдельно от точности назначения. Нормативное прикрепление не является наблюдаемой поездкой и не служит универсальной истиной для всех услуг. Этот корпус не используется для обучения и не назван слепой заранее зарегистрированной проверкой.</w:t>
      </w:r>
    </w:p>
    <w:p>
      <w:pPr>
        <w:pStyle w:val="Heading1"/>
      </w:pPr>
      <w:r>
        <w:t>6 а. Покрытие медицинских поставщиков и независимый ориентир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Числитель</w:t>
            </w:r>
          </w:p>
        </w:tc>
        <w:tc>
          <w:tcPr>
            <w:tcW w:type="dxa" w:w="2160"/>
          </w:tcPr>
          <w:p>
            <w:r>
              <w:t>Пар</w:t>
            </w:r>
          </w:p>
        </w:tc>
        <w:tc>
          <w:tcPr>
            <w:tcW w:type="dxa" w:w="2160"/>
          </w:tcPr>
          <w:p>
            <w:r>
              <w:t>Доля</w:t>
            </w:r>
          </w:p>
        </w:tc>
      </w:tr>
      <w:tr>
        <w:tc>
          <w:tcPr>
            <w:tcW w:type="dxa" w:w="2160"/>
          </w:tcPr>
          <w:p>
            <w:r>
              <w:t>Поставщик наблюдается в OSM2021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</w:tr>
      <w:tr>
        <w:tc>
          <w:tcPr>
            <w:tcW w:type="dxa" w:w="2160"/>
          </w:tcPr>
          <w:p>
            <w:r>
              <w:t>Медицинский лидер до порога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</w:tr>
      <w:tr>
        <w:tc>
          <w:tcPr>
            <w:tcW w:type="dxa" w:w="2160"/>
          </w:tcPr>
          <w:p>
            <w:r>
              <w:t>Ближайший по дорожной сети поставщик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</w:tr>
      <w:tr>
        <w:tc>
          <w:tcPr>
            <w:tcW w:type="dxa" w:w="2160"/>
          </w:tcPr>
          <w:p>
            <w:r>
              <w:t>Медицинское назначение после порога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</w:tr>
      <w:tr>
        <w:tc>
          <w:tcPr>
            <w:tcW w:type="dxa" w:w="2160"/>
          </w:tcPr>
          <w:p>
            <w:r>
              <w:t>Интегральное низовое назначение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</w:tr>
    </w:tbl>
    <w:p>
      <w:r>
        <w:t>Главное ограничение этой проверки — слабая наблюдаемость поставщиков в датированном слое 2021 и несовпадение дат с нормативным прикреплением 2024. Совпадение среди наблюдаемых поставщиков и совпадение по всем исходным парам имеют разные знаменатели. Ближайший дорожный поставщик служит независимым простым ориентиром; превышение качества над ним не предполагается заранее. Нормативное прикрепление не является наблюдаемой поездкой. Низкие показатели не скрыты и не выданы за подтверждённую точность национальной сети.</w:t>
      </w:r>
    </w:p>
    <w:p>
      <w:r>
        <w:t>После ограничения на наблюдаемых поставщиков: 3 совпадений из 12; по всем исходным внешним отношениям: 3 из 222. Ограниченная подвыборка не заменяет общий результат.</w:t>
      </w:r>
    </w:p>
    <w:p>
      <w:r>
        <w:t>Для интегрального назначения среди источниковых поставщиков, попавших в кандидатный набор: 9 из 32. Это отдельный тест многозадачной интегральной модели, а не замена теста специализированной медицинской сети.</w:t>
      </w:r>
    </w:p>
    <w:p>
      <w:pPr>
        <w:pStyle w:val="Heading1"/>
      </w:pPr>
      <w:r>
        <w:t>6 б. Новый корпус 2021 после замораживания модели</w:t>
      </w:r>
    </w:p>
    <w:p>
      <w:r>
        <w:t>Прямо получен официальный акт Правительства Калужской области от 30.07.2021 №493, публикация 4000202108050001: 374 страницы, таблица прикрепления на PDF с.29–94. Все 642 строки сохранены, включая неоднозначные и неразрешённые. Источниковый протокол дополнен явной поправкой класса источника: официальный региональный правительственный/правовой портал допущен наряду с Минздравом/ТФОМС. Поправка внесена после получения и осмотра документа, до связывания ID и сравнений; исходный протокол неизменён. Это новое испытание после замораживания модели, а не первоначально слепой эксперимент.</w:t>
      </w:r>
    </w:p>
    <w:p>
      <w:r>
        <w:t>Независимо визуально сверены 40 строки с разрешённым местом поставщика на 27 страницах PDF; остальные 602 строки не прошли эту независимую визуальную сверку и не имеют принятых связок поставщика; отрицательный вывод на весь документ не переносится. Исключены 30 домохозяйственных записей; оставшиеся 10 реальных записей поставщиков локальны. Во всей рассмотренной подвыборке 36 пар имеют одинаковые origin/destination, 3 происхождения не разрешены, 1 запись содержит конфликт типа НП. Принятых межпоселенческих сопоставимых пар — 0. Поэтому метрика точности назначений не рассчитывается: это непригодность полученной подвыборки для проверки межпоселенческой геометрии, а не 0% точности и не доказательство успешности модели. Модель и параметры не подгонялись.</w:t>
      </w:r>
    </w:p>
    <w:p>
      <w:r>
        <w:t>Первоисточник: http://publication.pravo.gov.ru/file/pdf?eoNumber=4000202108050001; SHA256 4fd94192431472a9c96db5e47df39f0670aef91234ca2dfba50e6fafeb519637. Протокол, поправка класса источника, полный реестр и независимая рецензия доступны в validation/holdout2021_*.</w:t>
      </w:r>
    </w:p>
    <w:p>
      <w:r>
        <w:t>Отдельная проверка наблюдаемости: 10 реальных записей соответствуют 9 уникальным НП. Положительное медицинское свидетельство в замороженном слое OSM2021 есть у 2; у 7 положительное свидетельство отсутствует. Эта непредставительная подвыборка показывает наблюдаемость присутствия на уровне НП, не национальную полноту, совпадение конкретного учреждения, мощность, прикрепление или поездки. Отсутствие свидетельства не означает отсутствия учреждения.</w:t>
      </w:r>
    </w:p>
    <w:p>
      <w:r>
        <w:t>Последующий поиск адресов в том же акте дал 39 дополнительных кандидатных связок сверх исходного реестра. Они ещё не приняты независимой проверкой и не меняют вывод по исходной проверенной подвыборке 40 строк. Кандидатный адрес не доказывает прикрепление, функционирование учреждения или точность модели.</w:t>
      </w:r>
    </w:p>
    <w:p>
      <w:pPr>
        <w:pStyle w:val="Heading1"/>
      </w:pPr>
      <w:r>
        <w:t>7. Проверка гипотез и границы интерпретации</w:t>
      </w:r>
    </w:p>
    <w:p>
      <w:r>
        <w:t>Межрегиональная перекрёстная проверка переоценивает регрессию и масштабирование признаков на обучающих регионах. Исходные массы, ранги Ci и составы районов остаются фиксированными результатами общероссийского расчёта. Полная вложенная проверка всего алгоритма на регионах, не участвовавших в построении сетки, здесь не заявляется; участие людности 2021 в Mi/Ci сохраняет конструктивную зависимость от ретроспективного исхода.</w:t>
      </w:r>
    </w:p>
    <w:p>
      <w:r>
        <w:t>М 1, М 2 и М 3 сравниваются на одной и той же полной подвыборке: сначала масса и доступность, затем сельский аграрный и природный контекст, затем конфигурация и пригородность. Стандартизация выполняется внутри обучающей части, регионы разделяют обучение и проверку. Совместимая региональная доля посевов 2021 и экспериментальные интервалы бонитета вынесены в отдельные сценарии; основной дизайн М 1–М 3 сохраняет первоначальный набор признаков. Отбор полной подвыборки и пространственная зависимость остатков проверяются отдельно.</w:t>
      </w:r>
    </w:p>
    <w:p>
      <w:r>
        <w:t>Атлас содержит исходное покрытие, климат и почвы, вложенную иерархию, содержательные типы-гипотезы и фактические дорожные изохроны. Точки населённых пунктов и сеть не изображаются доказанными непрерывными территориальными полигонами. Для основного варианта и варианта с географическими кандидатами сохраняется отдельный состав, чтобы масштаб неопределённости связывания был видим.</w:t>
      </w:r>
    </w:p>
    <w:p>
      <w:pPr>
        <w:pStyle w:val="Heading1"/>
      </w:pPr>
      <w:r>
        <w:t>7 а. Фактически рассчитанное сравнение моделей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Уровень</w:t>
            </w:r>
          </w:p>
        </w:tc>
        <w:tc>
          <w:tcPr>
            <w:tcW w:type="dxa" w:w="1440"/>
          </w:tcPr>
          <w:p>
            <w:r>
              <w:t>Модель</w:t>
            </w:r>
          </w:p>
        </w:tc>
        <w:tc>
          <w:tcPr>
            <w:tcW w:type="dxa" w:w="1440"/>
          </w:tcPr>
          <w:p>
            <w:r>
              <w:t>Общая N</w:t>
            </w:r>
          </w:p>
        </w:tc>
        <w:tc>
          <w:tcPr>
            <w:tcW w:type="dxa" w:w="1440"/>
          </w:tcPr>
          <w:p>
            <w:r>
              <w:t>Регионов</w:t>
            </w:r>
          </w:p>
        </w:tc>
        <w:tc>
          <w:tcPr>
            <w:tcW w:type="dxa" w:w="1440"/>
          </w:tcPr>
          <w:p>
            <w:r>
              <w:t>RMSE по новым регионам</w:t>
            </w:r>
          </w:p>
        </w:tc>
        <w:tc>
          <w:tcPr>
            <w:tcW w:type="dxa" w:w="1440"/>
          </w:tcPr>
          <w:p>
            <w:r>
              <w:t>MAE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M1</w:t>
            </w:r>
          </w:p>
        </w:tc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9.927</w:t>
            </w:r>
          </w:p>
        </w:tc>
        <w:tc>
          <w:tcPr>
            <w:tcW w:type="dxa" w:w="1440"/>
          </w:tcPr>
          <w:p>
            <w:r>
              <w:t>7.433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M2</w:t>
            </w:r>
          </w:p>
        </w:tc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10.030</w:t>
            </w:r>
          </w:p>
        </w:tc>
        <w:tc>
          <w:tcPr>
            <w:tcW w:type="dxa" w:w="1440"/>
          </w:tcPr>
          <w:p>
            <w:r>
              <w:t>7.544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M3</w:t>
            </w:r>
          </w:p>
        </w:tc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10.613</w:t>
            </w:r>
          </w:p>
        </w:tc>
        <w:tc>
          <w:tcPr>
            <w:tcW w:type="dxa" w:w="1440"/>
          </w:tcPr>
          <w:p>
            <w:r>
              <w:t>7.935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M1</w:t>
            </w:r>
          </w:p>
        </w:tc>
        <w:tc>
          <w:tcPr>
            <w:tcW w:type="dxa" w:w="1440"/>
          </w:tcPr>
          <w:p>
            <w:r>
              <w:t>183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9.448</w:t>
            </w:r>
          </w:p>
        </w:tc>
        <w:tc>
          <w:tcPr>
            <w:tcW w:type="dxa" w:w="1440"/>
          </w:tcPr>
          <w:p>
            <w:r>
              <w:t>7.198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M2</w:t>
            </w:r>
          </w:p>
        </w:tc>
        <w:tc>
          <w:tcPr>
            <w:tcW w:type="dxa" w:w="1440"/>
          </w:tcPr>
          <w:p>
            <w:r>
              <w:t>183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9.425</w:t>
            </w:r>
          </w:p>
        </w:tc>
        <w:tc>
          <w:tcPr>
            <w:tcW w:type="dxa" w:w="1440"/>
          </w:tcPr>
          <w:p>
            <w:r>
              <w:t>7.172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M3</w:t>
            </w:r>
          </w:p>
        </w:tc>
        <w:tc>
          <w:tcPr>
            <w:tcW w:type="dxa" w:w="1440"/>
          </w:tcPr>
          <w:p>
            <w:r>
              <w:t>183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9.307</w:t>
            </w:r>
          </w:p>
        </w:tc>
        <w:tc>
          <w:tcPr>
            <w:tcW w:type="dxa" w:w="1440"/>
          </w:tcPr>
          <w:p>
            <w:r>
              <w:t>7.112</w:t>
            </w:r>
          </w:p>
        </w:tc>
      </w:tr>
    </w:tbl>
    <w:p>
      <w:r>
        <w:t>Ошибки относятся к совокупному процентному изменению 2010–2021, а не к ежегодным процентам. Общая выборка и совпадающие региональные разбиения сохранены для всех трёх спецификаций. Масса 2021 включает население конечного года и потому механически связана с исходом; даже контроль исходного населения и отдельный сельский исход не устраняют эндогенность. Коэффициенты и интервалы имеют описательный смысл.</w:t>
      </w:r>
    </w:p>
    <w:p>
      <w:r>
        <w:t>Проверка только на полностью первично подтверждённых переписных значениях: уровень 1: N=4, регионов=2, INSUFFICIENT_COMMON_SAMPLE_OR_REGIONS; уровень 2: N=3, регионов=1, INSUFFICIENT_COMMON_SAMPLE_OR_REGIONS; уровень 3: N=2, регионов=1, INSUFFICIENT_COMMON_SAMPLE_OR_REGIONS; уровень 4: N=0, регионов=0, INSUFFICIENT_COMMON_SAMPLE_OR_REGIONS.</w:t>
      </w:r>
    </w:p>
    <w:p>
      <w:pPr>
        <w:pStyle w:val="Heading1"/>
      </w:pPr>
      <w:r>
        <w:t>7 б. Чувствительность собственной массы</w:t>
      </w:r>
    </w:p>
    <w:p>
      <w:r>
        <w:t>Исходная формула массы независимо воспроизведена. При фиксированных кандидатах поочерёдно исключён каждый из пяти блоков; корреляция относится к порядку масс, Jaccard — к пересечению верхнего дециля. Районы тяготения и иерархия в этом тесте повторно не рассчитывались; проверка не измеряет точность притяжения.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Исключён блок</w:t>
            </w:r>
          </w:p>
        </w:tc>
        <w:tc>
          <w:tcPr>
            <w:tcW w:type="dxa" w:w="2160"/>
          </w:tcPr>
          <w:p>
            <w:r>
              <w:t>Кандидатов</w:t>
            </w:r>
          </w:p>
        </w:tc>
        <w:tc>
          <w:tcPr>
            <w:tcW w:type="dxa" w:w="2160"/>
          </w:tcPr>
          <w:p>
            <w:r>
              <w:t>Spearman порядка масс</w:t>
            </w:r>
          </w:p>
        </w:tc>
        <w:tc>
          <w:tcPr>
            <w:tcW w:type="dxa" w:w="2160"/>
          </w:tcPr>
          <w:p>
            <w:r>
              <w:t>Jaccard верхнего дециля</w:t>
            </w:r>
          </w:p>
        </w:tc>
      </w:tr>
      <w:tr>
        <w:tc>
          <w:tcPr>
            <w:tcW w:type="dxa" w:w="2160"/>
          </w:tcPr>
          <w:p>
            <w:r>
              <w:t>Собственная людность</w:t>
            </w:r>
          </w:p>
        </w:tc>
        <w:tc>
          <w:tcPr>
            <w:tcW w:type="dxa" w:w="2160"/>
          </w:tcPr>
          <w:p>
            <w:r>
              <w:t>3 897</w:t>
            </w:r>
          </w:p>
        </w:tc>
        <w:tc>
          <w:tcPr>
            <w:tcW w:type="dxa" w:w="2160"/>
          </w:tcPr>
          <w:p>
            <w:r>
              <w:t>0.982</w:t>
            </w:r>
          </w:p>
        </w:tc>
        <w:tc>
          <w:tcPr>
            <w:tcW w:type="dxa" w:w="2160"/>
          </w:tcPr>
          <w:p>
            <w:r>
              <w:t>0.879</w:t>
            </w:r>
          </w:p>
        </w:tc>
      </w:tr>
      <w:tr>
        <w:tc>
          <w:tcPr>
            <w:tcW w:type="dxa" w:w="2160"/>
          </w:tcPr>
          <w:p>
            <w:r>
              <w:t>Демографический контекст</w:t>
            </w:r>
          </w:p>
        </w:tc>
        <w:tc>
          <w:tcPr>
            <w:tcW w:type="dxa" w:w="2160"/>
          </w:tcPr>
          <w:p>
            <w:r>
              <w:t>3 897</w:t>
            </w:r>
          </w:p>
        </w:tc>
        <w:tc>
          <w:tcPr>
            <w:tcW w:type="dxa" w:w="2160"/>
          </w:tcPr>
          <w:p>
            <w:r>
              <w:t>0.959</w:t>
            </w:r>
          </w:p>
        </w:tc>
        <w:tc>
          <w:tcPr>
            <w:tcW w:type="dxa" w:w="2160"/>
          </w:tcPr>
          <w:p>
            <w:r>
              <w:t>0.688</w:t>
            </w:r>
          </w:p>
        </w:tc>
      </w:tr>
      <w:tr>
        <w:tc>
          <w:tcPr>
            <w:tcW w:type="dxa" w:w="2160"/>
          </w:tcPr>
          <w:p>
            <w:r>
              <w:t>Экономический прокси</w:t>
            </w:r>
          </w:p>
        </w:tc>
        <w:tc>
          <w:tcPr>
            <w:tcW w:type="dxa" w:w="2160"/>
          </w:tcPr>
          <w:p>
            <w:r>
              <w:t>3 897</w:t>
            </w:r>
          </w:p>
        </w:tc>
        <w:tc>
          <w:tcPr>
            <w:tcW w:type="dxa" w:w="2160"/>
          </w:tcPr>
          <w:p>
            <w:r>
              <w:t>0.858</w:t>
            </w:r>
          </w:p>
        </w:tc>
        <w:tc>
          <w:tcPr>
            <w:tcW w:type="dxa" w:w="2160"/>
          </w:tcPr>
          <w:p>
            <w:r>
              <w:t>0.579</w:t>
            </w:r>
          </w:p>
        </w:tc>
      </w:tr>
      <w:tr>
        <w:tc>
          <w:tcPr>
            <w:tcW w:type="dxa" w:w="2160"/>
          </w:tcPr>
          <w:p>
            <w:r>
              <w:t>Жильё</w:t>
            </w:r>
          </w:p>
        </w:tc>
        <w:tc>
          <w:tcPr>
            <w:tcW w:type="dxa" w:w="2160"/>
          </w:tcPr>
          <w:p>
            <w:r>
              <w:t>3 897</w:t>
            </w:r>
          </w:p>
        </w:tc>
        <w:tc>
          <w:tcPr>
            <w:tcW w:type="dxa" w:w="2160"/>
          </w:tcPr>
          <w:p>
            <w:r>
              <w:t>0.955</w:t>
            </w:r>
          </w:p>
        </w:tc>
        <w:tc>
          <w:tcPr>
            <w:tcW w:type="dxa" w:w="2160"/>
          </w:tcPr>
          <w:p>
            <w:r>
              <w:t>0.653</w:t>
            </w:r>
          </w:p>
        </w:tc>
      </w:tr>
      <w:tr>
        <w:tc>
          <w:tcPr>
            <w:tcW w:type="dxa" w:w="2160"/>
          </w:tcPr>
          <w:p>
            <w:r>
              <w:t>Сервисы</w:t>
            </w:r>
          </w:p>
        </w:tc>
        <w:tc>
          <w:tcPr>
            <w:tcW w:type="dxa" w:w="2160"/>
          </w:tcPr>
          <w:p>
            <w:r>
              <w:t>3 897</w:t>
            </w:r>
          </w:p>
        </w:tc>
        <w:tc>
          <w:tcPr>
            <w:tcW w:type="dxa" w:w="2160"/>
          </w:tcPr>
          <w:p>
            <w:r>
              <w:t>0.958</w:t>
            </w:r>
          </w:p>
        </w:tc>
        <w:tc>
          <w:tcPr>
            <w:tcW w:type="dxa" w:w="2160"/>
          </w:tcPr>
          <w:p>
            <w:r>
              <w:t>0.691</w:t>
            </w:r>
          </w:p>
        </w:tc>
      </w:tr>
    </w:tbl>
    <w:p>
      <w:r>
        <w:t>На уровне 1 ошибка M3 на отложенных регионах выше ошибки M1 на 0.685 процентного пункта. Это фактическое сравнение на общей полной выборке; изменение ошибки не доказывает причинную роль новых переменных.</w:t>
      </w:r>
    </w:p>
    <w:p>
      <w:r>
        <w:t>На уровне 2 ошибка M3 на отложенных регионах ниже ошибки M1 на 0.141 процентного пункта. Это фактическое сравнение на общей полной выборке; изменение ошибки не доказывает причинную роль новых переменных.</w:t>
      </w:r>
    </w:p>
    <w:p>
      <w:pPr>
        <w:pStyle w:val="Heading1"/>
      </w:pPr>
      <w:r>
        <w:t>7 в. Фактически пересчитанная чувствительность районов</w:t>
      </w:r>
    </w:p>
    <w:p>
      <w:r>
        <w:t>Каждый перечисленный сценарий рассчитан целиком. Покрытие учитывает исходную ось, а людность — известную сумму 2021, без превращения неизвестных значений в нули. Сравниваются низший и высший доступный уровни; одинаковый номер уровня сам по себе не доказывает одинаковую функциональную ступень, а разные высшие порядки не гомологичны.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Сценарий</w:t>
            </w:r>
          </w:p>
        </w:tc>
        <w:tc>
          <w:tcPr>
            <w:tcW w:type="dxa" w:w="1728"/>
          </w:tcPr>
          <w:p>
            <w:r>
              <w:t>Ур.</w:t>
            </w:r>
          </w:p>
        </w:tc>
        <w:tc>
          <w:tcPr>
            <w:tcW w:type="dxa" w:w="1728"/>
          </w:tcPr>
          <w:p>
            <w:r>
              <w:t>Назначено НП</w:t>
            </w:r>
          </w:p>
        </w:tc>
        <w:tc>
          <w:tcPr>
            <w:tcW w:type="dxa" w:w="1728"/>
          </w:tcPr>
          <w:p>
            <w:r>
              <w:t>Без назначения</w:t>
            </w:r>
          </w:p>
        </w:tc>
        <w:tc>
          <w:tcPr>
            <w:tcW w:type="dxa" w:w="1728"/>
          </w:tcPr>
          <w:p>
            <w:r>
              <w:t>Известная P2021 назначенных</w:t>
            </w:r>
          </w:p>
        </w:tc>
      </w:tr>
      <w:tr>
        <w:tc>
          <w:tcPr>
            <w:tcW w:type="dxa" w:w="1728"/>
          </w:tcPr>
          <w:p>
            <w:r>
              <w:t>word_ci_2021_baseline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45 788</w:t>
            </w:r>
          </w:p>
        </w:tc>
        <w:tc>
          <w:tcPr>
            <w:tcW w:type="dxa" w:w="1728"/>
          </w:tcPr>
          <w:p>
            <w:r>
              <w:t>127 733</w:t>
            </w:r>
          </w:p>
        </w:tc>
        <w:tc>
          <w:tcPr>
            <w:tcW w:type="dxa" w:w="1728"/>
          </w:tcPr>
          <w:p>
            <w:r>
              <w:t>104 079 579</w:t>
            </w:r>
          </w:p>
        </w:tc>
      </w:tr>
      <w:tr>
        <w:tc>
          <w:tcPr>
            <w:tcW w:type="dxa" w:w="1728"/>
          </w:tcPr>
          <w:p>
            <w:r>
              <w:t>word_ci_2021_baseline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151 275</w:t>
            </w:r>
          </w:p>
        </w:tc>
        <w:tc>
          <w:tcPr>
            <w:tcW w:type="dxa" w:w="1728"/>
          </w:tcPr>
          <w:p>
            <w:r>
              <w:t>22 246</w:t>
            </w:r>
          </w:p>
        </w:tc>
        <w:tc>
          <w:tcPr>
            <w:tcW w:type="dxa" w:w="1728"/>
          </w:tcPr>
          <w:p>
            <w:r>
              <w:t>127 101 548</w:t>
            </w:r>
          </w:p>
        </w:tc>
      </w:tr>
      <w:tr>
        <w:tc>
          <w:tcPr>
            <w:tcW w:type="dxa" w:w="1728"/>
          </w:tcPr>
          <w:p>
            <w:r>
              <w:t>word_ci_2021_inclusive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34 250</w:t>
            </w:r>
          </w:p>
        </w:tc>
        <w:tc>
          <w:tcPr>
            <w:tcW w:type="dxa" w:w="1728"/>
          </w:tcPr>
          <w:p>
            <w:r>
              <w:t>139 271</w:t>
            </w:r>
          </w:p>
        </w:tc>
        <w:tc>
          <w:tcPr>
            <w:tcW w:type="dxa" w:w="1728"/>
          </w:tcPr>
          <w:p>
            <w:r>
              <w:t>107 269 614</w:t>
            </w:r>
          </w:p>
        </w:tc>
      </w:tr>
      <w:tr>
        <w:tc>
          <w:tcPr>
            <w:tcW w:type="dxa" w:w="1728"/>
          </w:tcPr>
          <w:p>
            <w:r>
              <w:t>word_ci_2021_inclusive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151 866</w:t>
            </w:r>
          </w:p>
        </w:tc>
        <w:tc>
          <w:tcPr>
            <w:tcW w:type="dxa" w:w="1728"/>
          </w:tcPr>
          <w:p>
            <w:r>
              <w:t>21 655</w:t>
            </w:r>
          </w:p>
        </w:tc>
        <w:tc>
          <w:tcPr>
            <w:tcW w:type="dxa" w:w="1728"/>
          </w:tcPr>
          <w:p>
            <w:r>
              <w:t>127 393 682</w:t>
            </w:r>
          </w:p>
        </w:tc>
      </w:tr>
      <w:tr>
        <w:tc>
          <w:tcPr>
            <w:tcW w:type="dxa" w:w="1728"/>
          </w:tcPr>
          <w:p>
            <w:r>
              <w:t>word_ci_2021_p0_sensitivity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149 024</w:t>
            </w:r>
          </w:p>
        </w:tc>
        <w:tc>
          <w:tcPr>
            <w:tcW w:type="dxa" w:w="1728"/>
          </w:tcPr>
          <w:p>
            <w:r>
              <w:t>24 497</w:t>
            </w:r>
          </w:p>
        </w:tc>
        <w:tc>
          <w:tcPr>
            <w:tcW w:type="dxa" w:w="1728"/>
          </w:tcPr>
          <w:p>
            <w:r>
              <w:t>126 810 059</w:t>
            </w:r>
          </w:p>
        </w:tc>
      </w:tr>
      <w:tr>
        <w:tc>
          <w:tcPr>
            <w:tcW w:type="dxa" w:w="1728"/>
          </w:tcPr>
          <w:p>
            <w:r>
              <w:t>word_ci_2021_p0_sensitivity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152 438</w:t>
            </w:r>
          </w:p>
        </w:tc>
        <w:tc>
          <w:tcPr>
            <w:tcW w:type="dxa" w:w="1728"/>
          </w:tcPr>
          <w:p>
            <w:r>
              <w:t>21 083</w:t>
            </w:r>
          </w:p>
        </w:tc>
        <w:tc>
          <w:tcPr>
            <w:tcW w:type="dxa" w:w="1728"/>
          </w:tcPr>
          <w:p>
            <w:r>
              <w:t>127 612 543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Направление A → B</w:t>
            </w:r>
          </w:p>
        </w:tc>
        <w:tc>
          <w:tcPr>
            <w:tcW w:type="dxa" w:w="1728"/>
          </w:tcPr>
          <w:p>
            <w:r>
              <w:t>Уровни A→B</w:t>
            </w:r>
          </w:p>
        </w:tc>
        <w:tc>
          <w:tcPr>
            <w:tcW w:type="dxa" w:w="1728"/>
          </w:tcPr>
          <w:p>
            <w:r>
              <w:t>Оба назначены</w:t>
            </w:r>
          </w:p>
        </w:tc>
        <w:tc>
          <w:tcPr>
            <w:tcW w:type="dxa" w:w="1728"/>
          </w:tcPr>
          <w:p>
            <w:r>
              <w:t>Тот же центр</w:t>
            </w:r>
          </w:p>
        </w:tc>
        <w:tc>
          <w:tcPr>
            <w:tcW w:type="dxa" w:w="1728"/>
          </w:tcPr>
          <w:p>
            <w:r>
              <w:t>Jaccard A→B</w:t>
            </w:r>
          </w:p>
        </w:tc>
      </w:tr>
      <w:tr>
        <w:tc>
          <w:tcPr>
            <w:tcW w:type="dxa" w:w="1728"/>
          </w:tcPr>
          <w:p>
            <w:r>
              <w:t>word_ci_2021_baseline → word_ci_2021_inclusive</w:t>
            </w:r>
          </w:p>
        </w:tc>
        <w:tc>
          <w:tcPr>
            <w:tcW w:type="dxa" w:w="1728"/>
          </w:tcPr>
          <w:p>
            <w:r>
              <w:t>Низший 1→1</w:t>
            </w:r>
          </w:p>
        </w:tc>
        <w:tc>
          <w:tcPr>
            <w:tcW w:type="dxa" w:w="1728"/>
          </w:tcPr>
          <w:p>
            <w:r>
              <w:t>21 693</w:t>
            </w:r>
          </w:p>
        </w:tc>
        <w:tc>
          <w:tcPr>
            <w:tcW w:type="dxa" w:w="1728"/>
          </w:tcPr>
          <w:p>
            <w:r>
              <w:t>52.5%</w:t>
            </w:r>
          </w:p>
        </w:tc>
        <w:tc>
          <w:tcPr>
            <w:tcW w:type="dxa" w:w="1728"/>
          </w:tcPr>
          <w:p>
            <w:r>
              <w:t>0.313</w:t>
            </w:r>
          </w:p>
        </w:tc>
      </w:tr>
      <w:tr>
        <w:tc>
          <w:tcPr>
            <w:tcW w:type="dxa" w:w="1728"/>
          </w:tcPr>
          <w:p>
            <w:r>
              <w:t>word_ci_2021_baseline → word_ci_2021_inclusive</w:t>
            </w:r>
          </w:p>
        </w:tc>
        <w:tc>
          <w:tcPr>
            <w:tcW w:type="dxa" w:w="1728"/>
          </w:tcPr>
          <w:p>
            <w:r>
              <w:t>Высший 4→5</w:t>
            </w:r>
          </w:p>
        </w:tc>
        <w:tc>
          <w:tcPr>
            <w:tcW w:type="dxa" w:w="1728"/>
          </w:tcPr>
          <w:p>
            <w:r>
              <w:t>150 409</w:t>
            </w:r>
          </w:p>
        </w:tc>
        <w:tc>
          <w:tcPr>
            <w:tcW w:type="dxa" w:w="1728"/>
          </w:tcPr>
          <w:p>
            <w:r>
              <w:t>65.5%</w:t>
            </w:r>
          </w:p>
        </w:tc>
        <w:tc>
          <w:tcPr>
            <w:tcW w:type="dxa" w:w="1728"/>
          </w:tcPr>
          <w:p>
            <w:r>
              <w:t>0.567</w:t>
            </w:r>
          </w:p>
        </w:tc>
      </w:tr>
      <w:tr>
        <w:tc>
          <w:tcPr>
            <w:tcW w:type="dxa" w:w="1728"/>
          </w:tcPr>
          <w:p>
            <w:r>
              <w:t>word_ci_2021_baseline → word_ci_2021_p0_sensitivity</w:t>
            </w:r>
          </w:p>
        </w:tc>
        <w:tc>
          <w:tcPr>
            <w:tcW w:type="dxa" w:w="1728"/>
          </w:tcPr>
          <w:p>
            <w:r>
              <w:t>Низший 1→1</w:t>
            </w:r>
          </w:p>
        </w:tc>
        <w:tc>
          <w:tcPr>
            <w:tcW w:type="dxa" w:w="1728"/>
          </w:tcPr>
          <w:p>
            <w:r>
              <w:t>45 788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0.681</w:t>
            </w:r>
          </w:p>
        </w:tc>
      </w:tr>
      <w:tr>
        <w:tc>
          <w:tcPr>
            <w:tcW w:type="dxa" w:w="1728"/>
          </w:tcPr>
          <w:p>
            <w:r>
              <w:t>word_ci_2021_baseline → word_ci_2021_p0_sensitivity</w:t>
            </w:r>
          </w:p>
        </w:tc>
        <w:tc>
          <w:tcPr>
            <w:tcW w:type="dxa" w:w="1728"/>
          </w:tcPr>
          <w:p>
            <w:r>
              <w:t>Высший 4→4</w:t>
            </w:r>
          </w:p>
        </w:tc>
        <w:tc>
          <w:tcPr>
            <w:tcW w:type="dxa" w:w="1728"/>
          </w:tcPr>
          <w:p>
            <w:r>
              <w:t>151 275</w:t>
            </w:r>
          </w:p>
        </w:tc>
        <w:tc>
          <w:tcPr>
            <w:tcW w:type="dxa" w:w="1728"/>
          </w:tcPr>
          <w:p>
            <w:r>
              <w:t>86.1%</w:t>
            </w:r>
          </w:p>
        </w:tc>
        <w:tc>
          <w:tcPr>
            <w:tcW w:type="dxa" w:w="1728"/>
          </w:tcPr>
          <w:p>
            <w:r>
              <w:t>0.755</w:t>
            </w:r>
          </w:p>
        </w:tc>
      </w:tr>
    </w:tbl>
    <w:p>
      <w:r>
        <w:t>На низшем уровне доля совпадающих центров среди назначенных в обоих сценариях составляет 52.5–100.0%; направленное совпадение состава районов по лучшему Jaccard — 0.313–0.681. Это измеренная чувствительность границ к выбору сценария, а не внешняя проверка правильности районов. Jaccard сопоставляет каждый район A с наиболее похожим районом B и взвешивает по размеру A; обратное направление может дать другой результат. Смена неназначенного статуса не входит в знаменатель совпадения центров и показана отдельно в исходной таблице.</w:t>
      </w:r>
    </w:p>
    <w:p>
      <w:r>
        <w:t>Основание типовых сравнений: word_ci_2021_baseline — каноническая операционализация, word_ci_2021_inclusive — каноническая операционализация, word_ci_2021_p0_sensitivity — каноническая операционализация. Сравнения с различающимися основаниями типов читаются как дополнительная чувствительность определения, а не как тождественная классификация.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Сценарии A → B</w:t>
            </w:r>
          </w:p>
        </w:tc>
        <w:tc>
          <w:tcPr>
            <w:tcW w:type="dxa" w:w="1728"/>
          </w:tcPr>
          <w:p>
            <w:r>
              <w:t>Срез</w:t>
            </w:r>
          </w:p>
        </w:tc>
        <w:tc>
          <w:tcPr>
            <w:tcW w:type="dxa" w:w="1728"/>
          </w:tcPr>
          <w:p>
            <w:r>
              <w:t>Типы A / B</w:t>
            </w:r>
          </w:p>
        </w:tc>
        <w:tc>
          <w:tcPr>
            <w:tcW w:type="dxa" w:w="1728"/>
          </w:tcPr>
          <w:p>
            <w:r>
              <w:t>Сохранились</w:t>
            </w:r>
          </w:p>
        </w:tc>
        <w:tc>
          <w:tcPr>
            <w:tcW w:type="dxa" w:w="1728"/>
          </w:tcPr>
          <w:p>
            <w:r>
              <w:t>Только A / B</w:t>
            </w:r>
          </w:p>
        </w:tc>
      </w:tr>
      <w:tr>
        <w:tc>
          <w:tcPr>
            <w:tcW w:type="dxa" w:w="1728"/>
          </w:tcPr>
          <w:p>
            <w:r>
              <w:t>word_ci_2021_baseline → word_ci_2021_inclusive</w:t>
            </w:r>
          </w:p>
        </w:tc>
        <w:tc>
          <w:tcPr>
            <w:tcW w:type="dxa" w:w="1728"/>
          </w:tcPr>
          <w:p>
            <w:r>
              <w:t>lowest</w:t>
            </w:r>
          </w:p>
        </w:tc>
        <w:tc>
          <w:tcPr>
            <w:tcW w:type="dxa" w:w="1728"/>
          </w:tcPr>
          <w:p>
            <w:r>
              <w:t>9 / 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 / 1</w:t>
            </w:r>
          </w:p>
        </w:tc>
      </w:tr>
      <w:tr>
        <w:tc>
          <w:tcPr>
            <w:tcW w:type="dxa" w:w="1728"/>
          </w:tcPr>
          <w:p>
            <w:r>
              <w:t>word_ci_2021_baseline → word_ci_2021_inclusive</w:t>
            </w:r>
          </w:p>
        </w:tc>
        <w:tc>
          <w:tcPr>
            <w:tcW w:type="dxa" w:w="1728"/>
          </w:tcPr>
          <w:p>
            <w:r>
              <w:t>highest</w:t>
            </w:r>
          </w:p>
        </w:tc>
        <w:tc>
          <w:tcPr>
            <w:tcW w:type="dxa" w:w="1728"/>
          </w:tcPr>
          <w:p>
            <w:r>
              <w:t>2 / 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/ 0</w:t>
            </w:r>
          </w:p>
        </w:tc>
      </w:tr>
      <w:tr>
        <w:tc>
          <w:tcPr>
            <w:tcW w:type="dxa" w:w="1728"/>
          </w:tcPr>
          <w:p>
            <w:r>
              <w:t>word_ci_2021_baseline → word_ci_2021_p0_sensitivity</w:t>
            </w:r>
          </w:p>
        </w:tc>
        <w:tc>
          <w:tcPr>
            <w:tcW w:type="dxa" w:w="1728"/>
          </w:tcPr>
          <w:p>
            <w:r>
              <w:t>lowest</w:t>
            </w:r>
          </w:p>
        </w:tc>
        <w:tc>
          <w:tcPr>
            <w:tcW w:type="dxa" w:w="1728"/>
          </w:tcPr>
          <w:p>
            <w:r>
              <w:t>9 / 20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 / 16</w:t>
            </w:r>
          </w:p>
        </w:tc>
      </w:tr>
      <w:tr>
        <w:tc>
          <w:tcPr>
            <w:tcW w:type="dxa" w:w="1728"/>
          </w:tcPr>
          <w:p>
            <w:r>
              <w:t>word_ci_2021_baseline → word_ci_2021_p0_sensitivity</w:t>
            </w:r>
          </w:p>
        </w:tc>
        <w:tc>
          <w:tcPr>
            <w:tcW w:type="dxa" w:w="1728"/>
          </w:tcPr>
          <w:p>
            <w:r>
              <w:t>highest</w:t>
            </w:r>
          </w:p>
        </w:tc>
        <w:tc>
          <w:tcPr>
            <w:tcW w:type="dxa" w:w="1728"/>
          </w:tcPr>
          <w:p>
            <w:r>
              <w:t>2 / 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 / 0</w:t>
            </w:r>
          </w:p>
        </w:tc>
      </w:tr>
    </w:tbl>
    <w:p>
      <w:r>
        <w:t>Канонические типы и широкие прототипы различены по сценариям в предыдущей подписи. Совпадение классификации у того же центра отражает устойчивость описательной гипотезы; оно не доказывает тождество изменившихся составов СГРТ.</w:t>
      </w:r>
    </w:p>
    <w:p>
      <w:pPr>
        <w:pStyle w:val="Heading1"/>
      </w:pPr>
      <w:r>
        <w:t>8. Воспроизводимость и литературная опора</w:t>
      </w:r>
    </w:p>
    <w:p>
      <w:r>
        <w:t>Все слои привязаны к устойчивым идентификаторам и снабжены датами, URL, SHA256, исходным зерном, единицами и правилами пропусков. Проверяющий агент независимо контролирует соответствие исходной рукописи; отказ по критерию возвращает расчёт на исправление. Программный цикл сохраняет команды, журналы и состояние приёмки. Прохождение технических проверок не объявляется научным завершением.</w:t>
      </w:r>
    </w:p>
    <w:p>
      <w:r>
        <w:t>Методическая интерпретация опирается на выборочное первичное чтение Поляна, Трейвиша, Родомана, Покшишевского, Лаппо и Хорева, дополненное первичными текстами Баранского 1946, Колосовского 1947 и архивными выступлениями Маергойза в публикации 2012. Перечень прочитанных страниц и ограничения чтения сохранены в литературной матрице; чужим авторам не приписываются наши сценарные пороги.</w:t>
      </w:r>
    </w:p>
    <w:p>
      <w:r>
        <w:t>Проверяемые выходы: model/*/memberships.parquet, systems.parquet, hierarchy.parquet, function_specific_memberships.parquet, word_type_hypotheses.parquet, operational_type_candidates.parquet; analysis/; maps/; transport/; reviews/. Требования и научные ограничения читаются вместе с картами.</w:t>
      </w:r>
    </w:p>
    <w:p>
      <w:r>
        <w:t>Независимая матрица операционализации сверяет 32 точных фрагмента исходного Word (строки 65–96) и разделяет определяющее ядро, необходимую для утверждений о потоках функциональную опору, поддерживающие признаки, иллюстрации и механизмы. Полная таблица с буквальными цитатами: reviews/word_core_typology_operationalization.csv; это основание различия описательных типов и расширенного AND-профиля.</w:t>
      </w:r>
    </w:p>
    <w:p>
      <w:r>
        <w:t>Функциональные типы опираются на разновременные признаки: демография 2010–2021 сопоставляется, в частности, с рекреационными свидетельствами и дорогами 2026. Поэтому они не объявляются исторически доказанной функцией территории именно в 2021 году.</w:t>
      </w:r>
    </w:p>
    <w:p>
      <w:r>
        <w:t>Для этнического (анклавного) типа ответы переписи о национальной принадлежности отражают самоописание населения. Они не являются измерением языка, языковой преемственности или индивидуального поведения. Для типа 7 температурныйпорог сам по себе не устанавливает принадлежность к Нечерноземью; для типа 9 ресурсныйобъект сам по себе не устанавливает вахтовую функцию.</w:t>
      </w:r>
    </w:p>
    <w:p>
      <w:pPr>
        <w:pStyle w:val="Heading1"/>
      </w:pPr>
      <w:r>
        <w:t>9. Проверяемые литературные и статистические источники</w:t>
      </w:r>
    </w:p>
    <w:p>
      <w:r>
        <w:t>Литература ниже задаёт основания анализа связей, иерархии и функций. Она не объявляется эмпирическим доказательством наших порогов, сервисных мощностей или причин динамики.</w:t>
      </w:r>
    </w:p>
    <w:p>
      <w:r>
        <w:t>1. Полян П. М. (2014). Территориальные структуры — урбанизация — расселение: теоретические подходы и методы изучения. Прочитано: Печатные 203–207; PDF 103–105 (новая версия 395 PDF-страниц). https://imwerden.de/pdf/polyan_territorialnye_struktury_2014.pdf</w:t>
      </w:r>
    </w:p>
    <w:p>
      <w:r>
        <w:t>2. Полян П. М. (2014). Опорный каркас расселения региона: масштабная специфика и параметризация (глава сборника). Прочитано: Печатные 240–243; PDF 122–123; PDF 122 дополнительно просмотрена как изображение. https://imwerden.de/pdf/polyan_territorialnye_struktury_2014.pdf</w:t>
      </w:r>
    </w:p>
    <w:p>
      <w:r>
        <w:t>3. Полян П. М. с И. Н. Заславским и Н. И. Наймарком (2014). Методика выделения городских агломераций (глава сборника). Прочитано: PDF 175–176; фрагменты о недостатке критериев реального взаимодействия и общесетевых методиках. https://imwerden.de/pdf/polyan_territorialnye_struktury_2014.pdf</w:t>
      </w:r>
    </w:p>
    <w:p>
      <w:r>
        <w:t>4. Трейвиш А. И. (2006). Географическая полимасштабность в развитии России // География. № 11. Прочитано: Раздел «Принцип полимасштабности», абзацы о масштабе карты, ранге объектов и микро-/мезо-/макроуровнях. https://geo.1sept.ru/article.php?ID=200601102</w:t>
      </w:r>
    </w:p>
    <w:p>
      <w:r>
        <w:t>5. Родоман Б. Б. (2021). «Поляризованный ландшафт»: полвека спустя // Известия РАН. Серия географическая. 85(3):467–480. Прочитано: Разделы «Введение» и «Транспорт и расселение в поляризованном ландшафте»; рис. 3. https://sciencejournals.ru/view-article/?a=IzvGeo2103012Rodoman&amp;j=izvgeo&amp;n=3&amp;v=85&amp;y=2021</w:t>
      </w:r>
    </w:p>
    <w:p>
      <w:r>
        <w:t>6. Покшишевский В. В. (1978). Население и география: теоретические очерки. М.: Мысль. Прочитано: Печатные 106–108 (PDF 107–109) и 120–123 (PDF 121–124). https://www.demoscope.ru/weekly/knigi/IDEM_library/pdf/book044.pdf</w:t>
      </w:r>
    </w:p>
    <w:p>
      <w:r>
        <w:t>7. Лаппо Г. М. (2005). Почему в XX веке в России создавались новые города // География. № 6. Прочитано: Разделы «Молодые города — старые центры» и о возникновении городов при формировании инфраструктуры; абзац «Транспортные магистрали выступили осями урбанизации». https://geo.1sept.ru/article.php?ID=200500603</w:t>
      </w:r>
    </w:p>
    <w:p>
      <w:r>
        <w:t>8. Хорев Б. С. (1980; перепечатка 2022). Роль маятниковой миграции во взаимосвязи городского и сельского расселения и основные задачи её регулирования // Проблемы расселения в СССР. С. 222–234. Прочитано: Глава 11; начальные абзацы о трудовых/учебных поездках и специальных обследованиях; абзацы о недельных циклах. https://www.demoscope.ru/weekly/2022/0949/nauka03.php</w:t>
      </w:r>
    </w:p>
    <w:p>
      <w:r>
        <w:t>9. Баранский Н.Н. (1946). Об экономико-географическом изучении городов. Печатные страницы 19,21–22,36,61–62; выборочное чтение первоисточника/авторской архивной записи, вся книга не заявлена прочитанной. https://elib.rgo.ru/handle/123456789/219639</w:t>
      </w:r>
    </w:p>
    <w:p>
      <w:r>
        <w:t>10. Маергойз И.М. (2012). Географы должны внести свою лепту в выяснение путей развития как больших, так и малых городов. Печатные страницы 261–262; выборочное чтение первоисточника/авторской архивной записи, вся книга не заявлена прочитанной. https://djvu.online/file/2Xi5bPocoGQA6</w:t>
      </w:r>
    </w:p>
    <w:p>
      <w:r>
        <w:t>11. Маергойз И.М. (2012). Мы изучаем территориальную субстанцию и функционирование народного хозяйства. Печатные страницы 263–266; выборочное чтение первоисточника/авторской архивной записи, вся книга не заявлена прочитанной. https://djvu.online/file/2Xi5bPocoGQA6</w:t>
      </w:r>
    </w:p>
    <w:p>
      <w:r>
        <w:t>12. Колосовский Н.Н. (1947). Производственно-территориальное сочетание (комплекс) в советской экономической географии. Печатные страницы 133,137,142,152; выборочное чтение первоисточника/авторской архивной записи, вся книга не заявлена прочитанной. https://elib.rgo.ru/handle/123456789/218237</w:t>
      </w:r>
    </w:p>
    <w:p>
      <w:r>
        <w:t>13. Махрова А.Г., Бочкарев А.Н. (2017). Маятниковая миграция в Московском регионе: новые данные. Демоскоп Weekly №727–728, 1–21 мая 2017. PDF с.4: методика; с.6: ноябрь 2015; с.11: четыре именных доли; с.13, рис.7: муниципальная карта. http://demoscope.ru/weekly/2017/0727/demoscope727.pdf</w:t>
      </w:r>
    </w:p>
    <w:p>
      <w:r>
        <w:t>Росреестр. Государственный национальный доклад 2021: приложение 2, PDF174–179, колонки 3–5. SHA25646b0e2c130645bcb2aee50ffccc315e735a806977123e9d5b75434e9130c8a08. Архивный URL и точные строки сохранены в land2021_recovery/regional_farmland2021_primary.parquet.</w:t>
      </w:r>
    </w:p>
    <w:p>
      <w:r>
        <w:t>Росстат. Посевные площади РФ в 2021 году. Бюллетень,06.03.2023; XLS лист T_1440, колонка 6, региональная строка. https://rosstat.gov.ru/storage/mediabank/posev_2021.xls. SHA2569648c0144304d884085dfdfcad68648844cc6bfe631621d35ae4ac30c68b3c38.</w:t>
      </w:r>
    </w:p>
    <w:p>
      <w:r>
        <w:t>Национальный атлас почв РФ. Бонитет почвенного покрова, разворот 240–241. https://soil-db.ru/soilatlas/razdel-6-funkcii-pochv/bonitet-pochvennogo-pokrova. Изображение https://files.soil-db.ru/soilatlas/3600x2400/240-241-min.jpg. Геопривязка и интервальное извлечение экспериментальны.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