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ru-RU"/>
        </w:rPr>
        <w:t>Трансформация территориальной структуры расселения России в 2002–2021 гг.</w:t>
      </w:r>
    </w:p>
    <w:p>
      <w:pPr>
        <w:pStyle w:val="Subtitle"/>
      </w:pPr>
      <w:r>
        <w:rPr>
          <w:lang w:val="ru-RU"/>
        </w:rPr>
        <w:t>Замысел исследования, собранные данные и предварительные результаты</w:t>
        <w:br/>
        <w:t>Краткий иллюстрированный отчет · 21 октября 2026 года</w:t>
      </w:r>
    </w:p>
    <w:p>
      <w:pPr>
        <w:pStyle w:val="Heading1"/>
      </w:pPr>
      <w:r>
        <w:rPr>
          <w:lang w:val="ru-RU"/>
        </w:rPr>
        <w:t>Что исследуем и что уже получилось</w:t>
      </w:r>
    </w:p>
    <w:p>
      <w:r>
        <w:rPr>
          <w:lang w:val="ru-RU"/>
        </w:rPr>
        <w:t>Исследование посвящено тому, как меняется распределение населения между городами, поселками и сельской местностью России. Нас интересует не только рост или убыль отдельного поселения, но и судьба всей окружающей его сети: сохраняет ли малый город роль местного центра, сочетается ли его рост с сокращением сельского окружения или население сокращается во всей системе.</w:t>
      </w:r>
    </w:p>
    <w:p>
      <w:r>
        <w:rPr>
          <w:lang w:val="ru-RU"/>
        </w:rPr>
        <w:t>Главный достигнутый результат — собрана пространственная база переписей 2002, 2010 и 2021 годов, а к ней присоединены сведения об образовании, медицине, торговле, транспорте и условиях сельского хозяйства. База уже позволяет описывать демографические изменения и строить предварительные модели связей между поселениями. Окончательная типология и реальные границы этих связей еще проверяются.</w:t>
      </w:r>
    </w:p>
    <w:p>
      <w:r>
        <w:rPr>
          <w:lang w:val="ru-RU"/>
        </w:rPr>
        <w:t>Как собирали основу. Сначала сохраняли исходные переписные записи и сведения об их происхождении. Затем сопоставляли названия, коды и координаты, учитывали переименования, включения в другие поселения и неполные временные цепочки. После этого отдельно проверяли численность, качество источника, допустимость координат и отсутствие двойного счета. Неизвестные значения оставляли неизвестными; нули сохраняли только как численные утверждения источника.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91"/>
        <w:gridCol w:w="2891"/>
        <w:gridCol w:w="1928"/>
      </w:tblGrid>
      <w:tr>
        <w:trPr>
          <w:tblHeader/>
          <w:cantSplit/>
        </w:trPr>
        <w:tc>
          <w:tcPr>
            <w:tcW w:type="dxa" w:w="1134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Перепись</w:t>
            </w:r>
          </w:p>
        </w:tc>
        <w:tc>
          <w:tcPr>
            <w:tcW w:type="dxa" w:w="2891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Учтено населения</w:t>
            </w:r>
          </w:p>
        </w:tc>
        <w:tc>
          <w:tcPr>
            <w:tcW w:type="dxa" w:w="2891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Контрольный итог</w:t>
            </w:r>
          </w:p>
        </w:tc>
        <w:tc>
          <w:tcPr>
            <w:tcW w:type="dxa" w:w="1928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Покрытие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2002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144 637 473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145 166 731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99,64%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2010</w:t>
            </w:r>
          </w:p>
        </w:tc>
        <w:tc>
          <w:tcPr>
            <w:tcW w:type="dxa" w:w="289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142 172 049</w:t>
            </w:r>
          </w:p>
        </w:tc>
        <w:tc>
          <w:tcPr>
            <w:tcW w:type="dxa" w:w="289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142 856 536</w:t>
            </w:r>
          </w:p>
        </w:tc>
        <w:tc>
          <w:tcPr>
            <w:tcW w:type="dxa" w:w="1928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99,52%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144 329 319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144 699 673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99,74%</w:t>
            </w:r>
          </w:p>
        </w:tc>
      </w:tr>
    </w:tbl>
    <w:p>
      <w:pPr>
        <w:pStyle w:val="Caption"/>
      </w:pPr>
      <w:r>
        <w:rPr>
          <w:lang w:val="ru-RU"/>
        </w:rPr>
        <w:t>Таблица 1. Широкий слой базы [1]. Покрытие — доля населения на общей территории сравнения; итог 2021 приведен без Крыма и Севастополя. Это не доля поселений и не точность каждого числа.</w:t>
      </w:r>
    </w:p>
    <w:p>
      <w:r>
        <w:rPr>
          <w:lang w:val="ru-RU"/>
        </w:rPr>
        <w:t>Для карт динамики доступны 144 527 историй поселений с принятыми координатами. История — связанные записи об одном населенном пункте за разные годы. Значения 2002 и 2021 годов есть у 143 446 историй; три переписных значения — у 142 765. Москва и Санкт-Петербург ведутся отдельными территориальными итогами.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Какие данные собраны</w:t>
      </w:r>
    </w:p>
    <w:p>
      <w:r>
        <w:rPr>
          <w:lang w:val="ru-RU"/>
        </w:rPr>
        <w:t>В отчете показаны все основные тематические блоки, доступные в зафиксированных материалах Git. Сотни технических полей и каждый год муниципальных рядов не превращены в отдельные карты: для них выбраны содержательные показатели и указан реальный временной охват. Пустые и негеолоцированные записи сохраняются в таблицах, но не изображаются фиктивными точками.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871"/>
        <w:gridCol w:w="1531"/>
        <w:gridCol w:w="4791"/>
      </w:tblGrid>
      <w:tr>
        <w:trPr>
          <w:tblHeader/>
          <w:cantSplit/>
        </w:trPr>
        <w:tc>
          <w:tcPr>
            <w:tcW w:type="dxa" w:w="1786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1871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Даты</w:t>
            </w:r>
          </w:p>
        </w:tc>
        <w:tc>
          <w:tcPr>
            <w:tcW w:type="dxa" w:w="1531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Уровень данных</w:t>
            </w:r>
          </w:p>
        </w:tc>
        <w:tc>
          <w:tcPr>
            <w:tcW w:type="dxa" w:w="4791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Что можно использовать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Переписи и координаты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2002, 2010, 2021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Поселение</w:t>
            </w:r>
          </w:p>
        </w:tc>
        <w:tc>
          <w:tcPr>
            <w:tcW w:type="dxa" w:w="47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144 527 историй на демографических картах; полные и неполные ряды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Образование</w:t>
            </w:r>
          </w:p>
        </w:tc>
        <w:tc>
          <w:tcPr>
            <w:tcW w:type="dxa" w:w="187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Снимок 01.01.2021; дополнения 2022–2026</w:t>
            </w:r>
          </w:p>
        </w:tc>
        <w:tc>
          <w:tcPr>
            <w:tcW w:type="dxa" w:w="153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Учреждение → поселение</w:t>
            </w:r>
          </w:p>
        </w:tc>
        <w:tc>
          <w:tcPr>
            <w:tcW w:type="dxa" w:w="479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Школы, детсады, колледжи, вузы; адресные и приблизительные связи раздельны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Медицина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Снимок 01.01.2021; современные проверки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Учреждение → поселение</w:t>
            </w:r>
          </w:p>
        </w:tc>
        <w:tc>
          <w:tcPr>
            <w:tcW w:type="dxa" w:w="47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ФАПы, амбулатории, поликлиники, больницы, аптеки; полнота сети не доказана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Торговля и услуги</w:t>
            </w:r>
          </w:p>
        </w:tc>
        <w:tc>
          <w:tcPr>
            <w:tcW w:type="dxa" w:w="187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01.01.2021; отдельные современные каталоги</w:t>
            </w:r>
          </w:p>
        </w:tc>
        <w:tc>
          <w:tcPr>
            <w:tcW w:type="dxa" w:w="153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Объект → поселение</w:t>
            </w:r>
          </w:p>
        </w:tc>
        <w:tc>
          <w:tcPr>
            <w:tcW w:type="dxa" w:w="479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Магазины, рынки, банки, банкоматы, почта, администрация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Доставка и общепит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WB 21.10.2026; Places; юрлица 2011–2025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Объект или код поселения</w:t>
            </w:r>
          </w:p>
        </w:tc>
        <w:tc>
          <w:tcPr>
            <w:tcW w:type="dxa" w:w="47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WB типы 8/34 — 7 991 НП; Ozon — только непроверенные сигналы названий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Экономический контекст</w:t>
            </w:r>
          </w:p>
        </w:tc>
        <w:tc>
          <w:tcPr>
            <w:tcW w:type="dxa" w:w="187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2021; отраслевые ряды 2011–2025</w:t>
            </w:r>
          </w:p>
        </w:tc>
        <w:tc>
          <w:tcPr>
            <w:tcW w:type="dxa" w:w="153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Код поселения</w:t>
            </w:r>
          </w:p>
        </w:tc>
        <w:tc>
          <w:tcPr>
            <w:tcW w:type="dxa" w:w="479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Регистрационные записи; не рабочие места и не физические предприятия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Демография и жилье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Преимущественно 2006–2022; миграция с 2011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Муниципалитет</w:t>
            </w:r>
          </w:p>
        </w:tc>
        <w:tc>
          <w:tcPr>
            <w:tcW w:type="dxa" w:w="47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Рождения, смерти, прирост, ввод жилья; не собственные числа деревни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Сельское хозяйство</w:t>
            </w:r>
          </w:p>
        </w:tc>
        <w:tc>
          <w:tcPr>
            <w:tcW w:type="dxa" w:w="187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Ряды 2006–2022; доли 2008 и 2021</w:t>
            </w:r>
          </w:p>
        </w:tc>
        <w:tc>
          <w:tcPr>
            <w:tcW w:type="dxa" w:w="153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Муниципалитет / регион</w:t>
            </w:r>
          </w:p>
        </w:tc>
        <w:tc>
          <w:tcPr>
            <w:tcW w:type="dxa" w:w="479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Посевы, урожайность, выпуск; доля посевов 2021 по 84 субъектам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Климат и почвы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Нормы 1970–2000 и 1981–2010; почвенные карты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Растр → координата</w:t>
            </w:r>
          </w:p>
        </w:tc>
        <w:tc>
          <w:tcPr>
            <w:tcW w:type="dxa" w:w="47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Тепло, осадки, увлажнение, почвенные классы; бонитет — эксперимент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Транспорт</w:t>
            </w:r>
          </w:p>
        </w:tc>
        <w:tc>
          <w:tcPr>
            <w:tcW w:type="dxa" w:w="187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OSM 2026; пересборка по снимку 2021</w:t>
            </w:r>
          </w:p>
        </w:tc>
        <w:tc>
          <w:tcPr>
            <w:tcW w:type="dxa" w:w="153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Дорожный граф</w:t>
            </w:r>
          </w:p>
        </w:tc>
        <w:tc>
          <w:tcPr>
            <w:tcW w:type="dxa" w:w="4791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Модельные времена поездки; не наблюденные маршруты людей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Дополнительный контекст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1979–1989; 2002; 2021; 2022–2024; разные даты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Поселение / город / территория</w:t>
            </w:r>
          </w:p>
        </w:tc>
        <w:tc>
          <w:tcPr>
            <w:tcW w:type="dxa" w:w="47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Пол, национальность, история населения, рекреация, моногорода, добыча</w:t>
            </w:r>
          </w:p>
        </w:tc>
      </w:tr>
    </w:tbl>
    <w:p>
      <w:pPr>
        <w:pStyle w:val="Caption"/>
      </w:pPr>
      <w:r>
        <w:rPr>
          <w:lang w:val="ru-RU"/>
        </w:rPr>
        <w:t>Таблица 2. Основные блоки зафиксированных срезов [1–7]. Объем рабочего перечня для функциональных слоев — 173 862 единицы; он шире демографической картографической выборки по правилам включения.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Как изменялось население</w:t>
      </w:r>
    </w:p>
    <w:p>
      <w:r>
        <w:rPr>
          <w:lang w:val="ru-RU"/>
        </w:rPr>
        <w:t>На картах изменения населения используется одна цветовая логика: красный — убыль, синий — рост; насыщенность передает величину изменения. Процент равен разности численностей, деленной на начальную численность. При начальном нуле процент не определяется: такие случаи показаны отдельно.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6194673" cy="5760000"/>
            <wp:docPr id="1" name="Picture 1" descr="dynam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4673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В широкой выборке сокращающихся поселений примерно в четыре раза больше, чем растущих. Это не означает падения населения России в четыре раза: поселения сильно различаются по размеру. Карты показывают сочетание обширных зон убыли с локальными очагами роста. Сопоставление двух межпереписных периодов помогает отделить длительное сокращение от смены направления динамики.</w:t>
      </w:r>
    </w:p>
    <w:p>
      <w:r>
        <w:rPr>
          <w:lang w:val="ru-RU"/>
        </w:rPr>
        <w:t>Численная полнота ряда сама по себе не доказывает неизменность границ поселения. Особенно осторожно следует читать 2010 год: числа в части вторичных источников изменены для защиты конфиденциальности и не подтверждены как точные численности; первичная сверка продолжается. Москва и Санкт-Петербург учитываются отдельными территориальными итогами и не добавляются повторно к обычным поселениям.</w:t>
      </w:r>
    </w:p>
    <w:p>
      <w:pPr>
        <w:pStyle w:val="Caption"/>
      </w:pPr>
      <w:r>
        <w:rPr>
          <w:lang w:val="ru-RU"/>
        </w:rPr>
        <w:t>Рисунок 1. Относительное изменение населения в трех периодах [1]. Пропуски и начальные нули не превращены в проценты. Все точки одного размера; число точек не равно населению.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Как меняется сеть поселений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6336000" cy="4120421"/>
            <wp:docPr id="2" name="Picture 2" descr="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12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Численность 2021 года показывает, где сосредоточено население; абсолютное изменение — масштаб прибавки или потери в людях; переход к нулю — крайний вариант демографического сокращения; последовательность двух периодов — устойчивость направления изменений.</w:t>
      </w:r>
    </w:p>
    <w:p>
      <w:r>
        <w:rPr>
          <w:lang w:val="ru-RU"/>
        </w:rPr>
        <w:t>Среди историй с изменением в обоих интервалах 68 529 сокращались оба раза, 10 134 росли оба раза, 23 814 сменили убыль ростом и 18 237 — рост убылью. Это характеристики выбранных численных рядов. Их нельзя автоматически объяснить миграцией: для этого нужны отдельные данные о движении населения и изменениях территории.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3742"/>
      </w:tblGrid>
      <w:tr>
        <w:trPr>
          <w:tblHeader/>
          <w:cantSplit/>
        </w:trPr>
        <w:tc>
          <w:tcPr>
            <w:tcW w:type="dxa" w:w="3969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Сравнение 2002 и 2021</w:t>
            </w:r>
          </w:p>
        </w:tc>
        <w:tc>
          <w:tcPr>
            <w:tcW w:type="dxa" w:w="2268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Число историй</w:t>
            </w:r>
          </w:p>
        </w:tc>
        <w:tc>
          <w:tcPr>
            <w:tcW w:type="dxa" w:w="3742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Доля из 143 446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Убыль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107 921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75,2%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Рост</w:t>
            </w:r>
          </w:p>
        </w:tc>
        <w:tc>
          <w:tcPr>
            <w:tcW w:type="dxa" w:w="2268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26 437</w:t>
            </w:r>
          </w:p>
        </w:tc>
        <w:tc>
          <w:tcPr>
            <w:tcW w:type="dxa" w:w="3742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18,4%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Без изменения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9 088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6,3%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Переход от &gt;0 к 0 (часть убыли)</w:t>
            </w:r>
          </w:p>
        </w:tc>
        <w:tc>
          <w:tcPr>
            <w:tcW w:type="dxa" w:w="2268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14 110</w:t>
            </w:r>
          </w:p>
        </w:tc>
        <w:tc>
          <w:tcPr>
            <w:tcW w:type="dxa" w:w="3742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9,8% всех пар; входит в убыль</w:t>
            </w:r>
          </w:p>
        </w:tc>
      </w:tr>
    </w:tbl>
    <w:p>
      <w:pPr>
        <w:pStyle w:val="Caption"/>
      </w:pPr>
      <w:r>
        <w:rPr>
          <w:lang w:val="ru-RU"/>
        </w:rPr>
        <w:t>Рисунок 2 и таблица 3. Разные способы прочитать одну демографическую основу [1]. На карте численности нули показаны нижним цветом; на карте абсолютного изменения крайние значения насыщены за пределами ±10 тыс. человек. Округление долей дает 99,9%.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Образование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6125934" cy="5759999"/>
            <wp:docPr id="3" name="Picture 3" descr="educ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5934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Отдельно нанесены общеобразовательные школы, детские сады, колледжи, вузы и специализированные школы. Источник — исторический снимок OpenStreetMap на 1 января 2021 года, повторно связанный с рабочим перечнем поселений. Это точки поселений, в которых приняты записи учреждений, а не контуры школьных участков.</w:t>
      </w:r>
    </w:p>
    <w:p>
      <w:r>
        <w:rPr>
          <w:lang w:val="ru-RU"/>
        </w:rPr>
        <w:t>Синий обозначает наличие адресной привязки, оранжевый — только дополнительного географического сопоставления. Один символ может соответствовать нескольким учреждениям. Адресная связь сама по себе не подтверждает работу учреждения в 2021 году. Запись специализированной школы не приравнивается к обычной общеобразовательной школе. Число мест и действительная работа учреждений подтверждены не повсеместно. Отсутствие символа означает отсутствие принятой записи в этом слое, а не отсутствие образования.</w:t>
      </w:r>
    </w:p>
    <w:p>
      <w:pPr>
        <w:pStyle w:val="Caption"/>
      </w:pPr>
      <w:r>
        <w:rPr>
          <w:lang w:val="ru-RU"/>
        </w:rPr>
        <w:t>Рисунок 3. Образовательные записи 2021, связанные с поселениями [2]. На панелях указано число поселений, а не число учреждений.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ФАПы и другие медицинские учреждения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6079613" cy="5759999"/>
            <wp:docPr id="4" name="Picture 4" descr="medic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9613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Отдельные панели показывают ФАПы, амбулатории, поликлиники, больницы, клинические объекты общего профиля и аптеки по снимку OSM на 1 января 2021 года. Для ФАПов, амбулаторий и поликлиник используются прямые указания в названии; общий медицинский признак не превращается автоматически в ФАП или больницу.</w:t>
      </w:r>
    </w:p>
    <w:p>
      <w:r>
        <w:rPr>
          <w:lang w:val="ru-RU"/>
        </w:rPr>
        <w:t>Категории частично пересекаются: поликлиника может входить и в общий клинический слой. Их числа нельзя складывать как независимые учреждения. Аптеки показаны отдельно и не подменяют врачебную помощь. На этих картах географические и условные медицинские сопоставления объединены в оранжевую группу, адресные остаются синими.</w:t>
      </w:r>
    </w:p>
    <w:p>
      <w:r>
        <w:rPr>
          <w:lang w:val="ru-RU"/>
        </w:rPr>
        <w:t>Источниковое покрытие особенно важно для сельской медицины. В прежней независимой проверке официального списка Удмуртии из 473 однозначно связанных поселений с ФАП лишь у 27 нашлось какое-либо координатное медицинское свидетельство OSM. Поэтому по пустым участкам карты нельзя делать вывод об отсутствии медпомощи.</w:t>
      </w:r>
    </w:p>
    <w:p>
      <w:pPr>
        <w:pStyle w:val="Caption"/>
      </w:pPr>
      <w:r>
        <w:rPr>
          <w:lang w:val="ru-RU"/>
        </w:rPr>
        <w:t>Рисунок 4. Медицинские записи 2021, связанные с поселениями [2]. ФАП — фельдшерско-акушерский пункт. НП — населенный пункт. Категории могут пересекаться.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Коммерция и другие повседневные услуги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6079613" cy="5759999"/>
            <wp:docPr id="5" name="Picture 5" descr="commer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r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9613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Показаны крупная торговля, прочие магазины, рынки, банки и банкоматы, почта и административные объекты. Исторический срез относится к 1 января 2021 года. Адресные и дополнительные географические связи разделены так же, как в образовательном блоке.</w:t>
      </w:r>
    </w:p>
    <w:p>
      <w:r>
        <w:rPr>
          <w:lang w:val="ru-RU"/>
        </w:rPr>
        <w:t>Плотность символов зависит и от полноты источника; она не позволяет напрямую сравнивать обеспеченность регионов услугами. Этот массив помогает сравнивать наблюдаемую сервисную роль центров. Он не измеряет оборот, число покупателей, рабочие места или радиус обслуживания. Современные сведения о пунктах выдачи и других сервисах могут служить дополнительным контекстом, но не доказывают наличие той же сети в 2021 году.</w:t>
      </w:r>
    </w:p>
    <w:p>
      <w:pPr>
        <w:pStyle w:val="Caption"/>
      </w:pPr>
      <w:r>
        <w:rPr>
          <w:lang w:val="ru-RU"/>
        </w:rPr>
        <w:t>Рисунок 5. Торговля, финансы, почта и административные объекты 2021 [2]. Количество символов зависит от полноты источника.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Современная коммерция и доставка товаров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6209630" cy="5760000"/>
            <wp:docPr id="6" name="Picture 6" descr="modern commer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rn_commer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963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Отдельный современный блок содержит Wildberries, каталог Places и ряды зарегистрированных организаций розницы и общепита. В снимке WB на 21 октября 2026 года опубликованы 91 043 записи раздела ru; 74 763 адресно сопоставлены с 16 172 поселениями. Это все типы записей доставки. Выбранные типы точек доставки WB (коды источника 8 и 34) представлены в 7 991 поселении; более строгая привязка до 5 км — в 7 973.</w:t>
      </w:r>
    </w:p>
    <w:p>
      <w:r>
        <w:rPr>
          <w:lang w:val="ru-RU"/>
        </w:rPr>
        <w:t>Ozon показан только как лексический сигнал: 50 принятых записей названий в 31 поселении, а не проверенная сеть пунктов выдачи. Places сохраняется как самостоятельный каталог со своими правилами; регистрационная розница и общепит — записи организаций по кодам деятельности, а не физические магазины или рестораны.</w:t>
      </w:r>
    </w:p>
    <w:p>
      <w:pPr>
        <w:pStyle w:val="Caption"/>
      </w:pPr>
      <w:r>
        <w:rPr>
          <w:lang w:val="ru-RU"/>
        </w:rPr>
        <w:t>Рисунок 6. Присутствие положительных записей в отдельных коммерческих источниках [3]. Точки — поселения; наборы имеют разные даты и не складываются в единый перечень уникальных предприятий. Современный слой не реконструирует сеть 2021 года.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Муниципальная демография жилье и сельское хозяйство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5582336" cy="5651999"/>
            <wp:docPr id="7" name="Picture 7" descr="municip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nicip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336" cy="56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Картируются естественный и миграционный прирост, ввод жилья, посевная площадь, урожайность зерновых и индекс сельхозпроизводства за 2021 год. Одна точка представляет муниципалитет; ее положение — медиана координат связанных поселений, а не точное положение административного центра.</w:t>
      </w:r>
    </w:p>
    <w:p>
      <w:r>
        <w:rPr>
          <w:lang w:val="ru-RU"/>
        </w:rPr>
        <w:t>Прирост на 1000 жителей позволяет сравнивать муниципалитеты разного размера; жилье измерено в квадратных метрах на жителя. Площадь посевов дана в гектарах, урожайность — в центнерах на гектар убранной площади. Индекс производства сравнивает выпуск с предыдущим годом в сопоставимых ценах.</w:t>
      </w:r>
    </w:p>
    <w:p>
      <w:r>
        <w:rPr>
          <w:lang w:val="ru-RU"/>
        </w:rPr>
        <w:t>Ряды в архиве охватывают разные годы, преимущественно 2006–2022; миграционный блок начинается с 2011 года. Муниципальные рождения, смерти, миграция и жилье не становятся собственными характеристиками каждой деревни. Номинальная стоимость аграрной продукции также собрана, но для карты выбран индекс в сопоставимых ценах, чтобы не смешивать рост выпуска и рост цен.</w:t>
      </w:r>
    </w:p>
    <w:p>
      <w:pPr>
        <w:pStyle w:val="Caption"/>
      </w:pPr>
      <w:r>
        <w:rPr>
          <w:lang w:val="ru-RU"/>
        </w:rPr>
        <w:t>Рисунок 7. Муниципальные контексты 2021 [4]. n — число муниципалитетов с числом и географической опорой для данного показателя. Цвета за границами шкал насыщены. Повторенные по деревням муниципальные значения предварительно сведены к одному муниципалитету.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Природные условия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6336000" cy="4291535"/>
            <wp:docPr id="8" name="Picture 8" descr="na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9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Сумма активных температур характеризует обеспеченность теплом, отношение осадков к потенциальной испаряемости — увлажнение. Вместе с осадками и почвенными свойствами эти данные позволяют сравнивать условия сельского хозяйства вокруг центров.</w:t>
      </w:r>
    </w:p>
    <w:p>
      <w:r>
        <w:rPr>
          <w:lang w:val="ru-RU"/>
        </w:rPr>
        <w:t>Это пространственный фон, а не изменения климата между переписями. Использованы климатические нормы 1981–2010 и 1970–2000 годов; почвенная оценка FAO описывает пригодность для кукурузы при низких вложениях. Она не равна российскому бонитету почв, фактической урожайности или доходности хозяйства. Другие помесячные и почвенные показатели сохранены в исходных таблицах.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2634260" cy="1835999"/>
            <wp:docPr id="9" name="Picture 9" descr="econom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om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4260" cy="18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Экономический контекст 2021 доступен для 142 570 записей поселений; повторный подсчет регистрационных сведений совпал с сохраненными числами. Показатель не равен занятости или числу действующих предприятий. На карте показаны положительные значения с координатами.</w:t>
      </w:r>
    </w:p>
    <w:p>
      <w:pPr>
        <w:pStyle w:val="Caption"/>
      </w:pPr>
      <w:r>
        <w:rPr>
          <w:lang w:val="ru-RU"/>
        </w:rPr>
        <w:t>Рисунок 8. Природный фон [4] и регистрационные экономические сведения [7]. Проекция новых карт — Альберса, параллели 50° и 70° с.ш. Основа Natural Earth; она служит для ориентации, а не доказательства границ обслуживания.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Что известно об использовании сельхозземель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4310826" cy="4391999"/>
            <wp:docPr id="10" name="Picture 10" descr="14 municipal2008 vs regional2021 la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unicipal2008_vs_regional2021_la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0826" cy="439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Есть два масштаба данных: муниципальная доля посевов в сельхозугодьях за 2008 год и региональная доля за 2021 год. Это разные пространственные единицы и источники, поэтому две карты не являются картой временного изменения. Для муниципальных данных 2008 года эквивалентность исторических границ не доказана.</w:t>
      </w:r>
    </w:p>
    <w:p>
      <w:r>
        <w:rPr>
          <w:lang w:val="ru-RU"/>
        </w:rPr>
        <w:t>Для 2021 года сопоставимая региональная пара получена по 84 субъектам: посевы Росстата и фактические сельхозугодья Росреестра на 1 января 2022 года. Низкая доля посевов не означает заброшенность: в сельхозугодья входят также пастбища, сенокосы и многолетние насаждения.</w:t>
      </w:r>
    </w:p>
    <w:p>
      <w:r>
        <w:rPr>
          <w:lang w:val="ru-RU"/>
        </w:rPr>
        <w:t>Дополнительно восстановлены 20 559 экспериментальных интервальных оценок российского бонитета по мелкомасштабной карте атласа. Это отдельный пробный слой с существенной неопределенностью геопривязки, а не точные оценки почвы каждого поселения.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2966810" cy="2088000"/>
            <wp:docPr id="11" name="Picture 11" descr="12 experimental bonitet interv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xperimental_bonitet_interva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681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ru-RU"/>
        </w:rPr>
        <w:t>Рисунок 9. Разные масштабы аграрных данных и пробный слой бонитета [5]. Две верхние карты не показывают временную динамику; нижняя карта не принята как точная национальная поверхность.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Дополнительная демография и этнокультурный контекст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6271725" cy="4248000"/>
            <wp:docPr id="12" name="Picture 12" descr="extra demograph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demograph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1725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Имеются сведения о половом составе 2002 года для 2 909 поселений, вторичные исторические численности до 2002 года для 271 истории, официальные городские ряды наличного населения 1979–1989 для 13 городов и оценки 2022–2024 для 166 городских серий. Это отдельные частичные наборы: их нельзя переносить на все поселения.</w:t>
      </w:r>
    </w:p>
    <w:p>
      <w:r>
        <w:rPr>
          <w:lang w:val="ru-RU"/>
        </w:rPr>
        <w:t>Этнокультурный слой показывает показатель 1 минус отношение числа ответов «русские» к числу лиц, указавших национальность в переписи 2021 года. Чем выше значение, тем меньше доля русских ответов. Возможен множественный ответ. Подавленные и отсутствующие значения остаются неизвестными. Такая структура помогает описывать территории, но сама по себе не объясняет рождаемость, миграцию или устойчивость поселения.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3192425" cy="2268000"/>
            <wp:docPr id="13" name="Picture 13" descr="06 ethnic composition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thnic_composition_conte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2425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ru-RU"/>
        </w:rPr>
        <w:t>Рисунок 10. Дополнительные источники демографии [1] и этнокультурный контекст [5]. n — число отображаемых рядов. Исторические серии наличного населения не смешиваются с постоянным населением; оценки после 2021 года округлены.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Исторические и современные функции территорий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5577912" cy="3636000"/>
            <wp:docPr id="14" name="Picture 14" descr="02 functional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ctional_evid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912" cy="3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Дополнительные карты показывают рекреационные объекты, садовые территории, исторический перечень моногородов и добывающий контекст. Сведения имеют разные даты и служат для постановки гипотез. Наличие шахты не доказывает вахтовый характер всего поселения; наличие дач — переселение горожан в сельскую местность; правовой статус моногорода — причину его демографической динамики. Текущий перечень моногородов 2026 года хранится отдельно от исторического.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3610822" cy="2699999"/>
            <wp:docPr id="15" name="Picture 15" descr="09 current monotowns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urrent_monotowns_202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0822" cy="26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ru-RU"/>
        </w:rPr>
        <w:t>Рисунок 11. Рекреационно-дачный, монопрофильный и добывающий контекст [5]. Слой OSM относится к датированному источнику; исторические и правовые перечни разделены. Текущий перечень моногородов — 2026 год, а не 2021.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От поселений к локальным системам</w:t>
      </w:r>
    </w:p>
    <w:p>
      <w:r>
        <w:rPr>
          <w:lang w:val="ru-RU"/>
        </w:rPr>
        <w:t>Следующий уровень анализа — сельско-городской район тяготения: центр и окружающие поселения, для которых он предположительно важен как место получения услуг и работы. Такие районы рассчитываются по дорожной доступности и собственной привлекательности центров; муниципальная граница не принимается заранее за границу реальных связей.</w:t>
      </w:r>
    </w:p>
    <w:p>
      <w:r>
        <w:rPr>
          <w:lang w:val="ru-RU"/>
        </w:rPr>
        <w:t>Условный пример. Деревня находится в 20 минутах от небольшого поселка и в 45 минутах от более крупного города. Модель сопоставляет время поездки с населением и функциями обоих центров и выбирает наиболее вероятный. На следующем уровне целая локальная группа может войти в систему более крупного центра. Это объяснение метода, не наблюдение реальных поездок.</w:t>
      </w:r>
    </w:p>
    <w:p>
      <w:r>
        <w:rPr>
          <w:lang w:val="ru-RU"/>
        </w:rPr>
        <w:t>Исправлено важное место исходной концепции: привлекательность центра не подгоняется по тому сельскому населению, которое та же модель уже к нему отнесла. Так исключается круговое обоснование. Собственные признаки центра задаются отдельно; предварительная зона используется на отдельном шаге ранжирования.</w:t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3018347" cy="1800000"/>
            <wp:docPr id="16" name="Picture 16" descr="transport extra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ort_extra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834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5650632" cy="2304000"/>
            <wp:docPr id="17" name="Picture 17" descr="11 regional sgrt output word ci 2021 bas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gional_sgrt_output_word_ci_2021_basel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0632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val="ru-RU"/>
        </w:rPr>
        <w:t>Региональная карта выше иллюстрирует предшествующий расчет WordCi на дорожной сети 2026 года. Цвет обозначает принадлежность к расчетной системе, черные точки — центры, красные — отсутствие назначения на нижнем уровне. Это не утвержденные границы обслуживания. Более поздние циклы исправляют конфигурации систем и переходят к сети 2021; прежние карты не объявлены итогом этих исправлений.</w:t>
      </w:r>
    </w:p>
    <w:p>
      <w:pPr>
        <w:pStyle w:val="Caption"/>
      </w:pPr>
      <w:r>
        <w:rPr>
          <w:lang w:val="ru-RU"/>
        </w:rPr>
        <w:t>Рисунок 12. Фрагмент транспортного листа и примеры предшествующего расчета [5]. Дорожная сеть 19.10.2026; расчет WordCi. НП без нижнего назначения может быть связан с центром более высокого уровня. Новые циклы имеют отдельный статус.</w:t>
      </w:r>
    </w:p>
    <w:p>
      <w:r>
        <w:rPr>
          <w:lang w:val="ru-RU"/>
        </w:rPr>
        <w:br w:type="page"/>
      </w:r>
    </w:p>
    <w:p>
      <w:pPr>
        <w:pStyle w:val="Heading1"/>
      </w:pPr>
      <w:r>
        <w:rPr>
          <w:lang w:val="ru-RU"/>
        </w:rPr>
        <w:t>Что сделано и что проверяем дальше</w:t>
      </w:r>
    </w:p>
    <w:p>
      <w:r>
        <w:rPr>
          <w:lang w:val="ru-RU"/>
        </w:rPr>
        <w:t>Зафиксированы два источниковых среза: main 90fe15a2 для широкой переписной базы и исследовательская ветка research/sgrt-final-protocol-20261018, коммит d86b2f8b для расширенных тематических слоев и статуса модели. Включены только результаты этих зафиксированных срезов.</w:t>
      </w:r>
    </w:p>
    <w:p>
      <w:r>
        <w:rPr>
          <w:lang w:val="ru-RU"/>
        </w:rPr>
        <w:t>В исследовательской ветке сохранены повторные привязки образования, медицины и коммерции к 173 862 единицам рабочего перечня. Это расширенный перечень, включающий неполные ряды и дополнительные записи; его объем отличается от 144 527 историй демографической картографической выборки из-за разных правил включения. По документации указанного коммита, в циклах 05–06 зафиксированы шесть выполненных сценариев; в базовом — 4 009 центров и 8 554 системы четырех уровней. Это технический прогресс: в конфигурации обнаружена ошибка, а новый дорожный профиль 2021 требует повторного допуска. Поэтому итоговая сетка и все девять типов пока не объявляются доказанными.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82"/>
        <w:gridCol w:w="4139"/>
      </w:tblGrid>
      <w:tr>
        <w:trPr>
          <w:tblHeader/>
          <w:cantSplit/>
        </w:trPr>
        <w:tc>
          <w:tcPr>
            <w:tcW w:type="dxa" w:w="1757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4082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Что уже сохранено</w:t>
            </w:r>
          </w:p>
        </w:tc>
        <w:tc>
          <w:tcPr>
            <w:tcW w:type="dxa" w:w="4139"/>
            <w:vAlign w:val="center"/>
            <w:shd w:fill="24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Что еще нужно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База и карты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Переписные цепочки, координаты, происхождение значений; тематические слои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Первичная сверка 2010 и исторических границ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Модель систем</w:t>
            </w:r>
          </w:p>
        </w:tc>
        <w:tc>
          <w:tcPr>
            <w:tcW w:type="dxa" w:w="4082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Масса центров, дорожные времена, назначения, четыре уровня; сценарии</w:t>
            </w:r>
          </w:p>
        </w:tc>
        <w:tc>
          <w:tcPr>
            <w:tcW w:type="dxa" w:w="4139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Повторный допуск сети 2021, исправление конфигураций и пересчет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Содержательные типы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Проверяемые признаки девяти гипотез из Word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000000"/>
                <w:sz w:val="18"/>
              </w:rPr>
              <w:t>Работа и мощности учреждений, реальные связи и устойчивость границ</w:t>
            </w:r>
          </w:p>
        </w:tc>
      </w:tr>
    </w:tbl>
    <w:p>
      <w:r>
        <w:rPr>
          <w:lang w:val="ru-RU"/>
        </w:rPr>
        <w:t>Типы из исходного Word: урбанизирующиеся пригородные и аграрно-сервисные; стабильные аграрные и периферийные; рекреационно-дачные и этнокультурные; депрессивные аграрные, старопромышленные и ресурсно-вахтовые. Это девять исследовательских гипотез, а не готовое деление всей России.</w:t>
      </w:r>
    </w:p>
    <w:p>
      <w:r>
        <w:rPr>
          <w:lang w:val="ru-RU"/>
        </w:rPr>
        <w:t>Дальше сравниваем динамику центра, сельского окружения и всей системы на согласованной сетке, проверяем чувствительность к источникам и параметрам, затем выделяем устойчивые содержательные типы. Уже создана основа для общероссийского анализа; окончательные границы и механизмы требуют независимого подтверждения.</w:t>
      </w:r>
    </w:p>
    <w:p>
      <w:pPr>
        <w:pStyle w:val="Heading1"/>
      </w:pPr>
      <w:r>
        <w:rPr>
          <w:lang w:val="ru-RU"/>
        </w:rPr>
        <w:t>Источники и версии</w:t>
      </w:r>
    </w:p>
    <w:p>
      <w:pPr>
        <w:spacing w:after="60"/>
      </w:pPr>
      <w:r>
        <w:rPr>
          <w:lang w:val="ru-RU"/>
        </w:rPr>
        <w:t xml:space="preserve">[1] </w:t>
      </w:r>
      <w:hyperlink r:id="rId28">
        <w:r>
          <w:rPr>
            <w:sz w:val="17"/>
          </w:rPr>
          <w:t>Широкая переписная база и методические ограничения</w:t>
        </w:r>
      </w:hyperlink>
    </w:p>
    <w:p>
      <w:pPr>
        <w:spacing w:after="60"/>
      </w:pPr>
      <w:r>
        <w:rPr>
          <w:lang w:val="ru-RU"/>
        </w:rPr>
        <w:t xml:space="preserve">[2] </w:t>
      </w:r>
      <w:hyperlink r:id="rId29">
        <w:r>
          <w:rPr>
            <w:sz w:val="17"/>
          </w:rPr>
          <w:t>Образование медицина коммерция и правила привязки</w:t>
        </w:r>
      </w:hyperlink>
    </w:p>
    <w:p>
      <w:pPr>
        <w:spacing w:after="60"/>
      </w:pPr>
      <w:r>
        <w:rPr>
          <w:lang w:val="ru-RU"/>
        </w:rPr>
        <w:t xml:space="preserve">[3] </w:t>
      </w:r>
      <w:hyperlink r:id="rId30">
        <w:r>
          <w:rPr>
            <w:sz w:val="17"/>
          </w:rPr>
          <w:t>Современный коммерческий слой Wildberries и Places</w:t>
        </w:r>
      </w:hyperlink>
    </w:p>
    <w:p>
      <w:pPr>
        <w:spacing w:after="60"/>
      </w:pPr>
      <w:r>
        <w:rPr>
          <w:lang w:val="ru-RU"/>
        </w:rPr>
        <w:t xml:space="preserve">[4] </w:t>
      </w:r>
      <w:hyperlink r:id="rId31">
        <w:r>
          <w:rPr>
            <w:sz w:val="17"/>
          </w:rPr>
          <w:t>Муниципальные климатические и почвенные контексты</w:t>
        </w:r>
      </w:hyperlink>
    </w:p>
    <w:p>
      <w:pPr>
        <w:spacing w:after="60"/>
      </w:pPr>
      <w:r>
        <w:rPr>
          <w:lang w:val="ru-RU"/>
        </w:rPr>
        <w:t xml:space="preserve">[5] </w:t>
      </w:r>
      <w:hyperlink r:id="rId32">
        <w:r>
          <w:rPr>
            <w:sz w:val="17"/>
          </w:rPr>
          <w:t>Карты и ограничения предшествующей модели</w:t>
        </w:r>
      </w:hyperlink>
    </w:p>
    <w:p>
      <w:pPr>
        <w:spacing w:after="60"/>
      </w:pPr>
      <w:r>
        <w:rPr>
          <w:lang w:val="ru-RU"/>
        </w:rPr>
        <w:t xml:space="preserve">[6] </w:t>
      </w:r>
      <w:hyperlink r:id="rId33">
        <w:r>
          <w:rPr>
            <w:sz w:val="17"/>
          </w:rPr>
          <w:t>Исходная концепция Word и статус циклов 05–06</w:t>
        </w:r>
      </w:hyperlink>
    </w:p>
    <w:p>
      <w:pPr>
        <w:spacing w:after="60"/>
      </w:pPr>
      <w:r>
        <w:rPr>
          <w:lang w:val="ru-RU"/>
        </w:rPr>
        <w:t xml:space="preserve">[7] </w:t>
      </w:r>
      <w:hyperlink r:id="rId34">
        <w:r>
          <w:rPr>
            <w:sz w:val="17"/>
          </w:rPr>
          <w:t>Повторный подсчет экономических записей</w:t>
        </w:r>
      </w:hyperlink>
    </w:p>
    <w:p>
      <w:pPr>
        <w:pStyle w:val="Caption"/>
      </w:pPr>
      <w:r>
        <w:rPr>
          <w:lang w:val="ru-RU"/>
        </w:rPr>
        <w:t>Основа исследования — «Динамическая типология сельско-городских районов тяготения», текст исходного Word сохранен в reviews/original_word_source.txt исследовательского среза. OSM © OpenStreetMap contributors, ODbL; поставщик выгрузок Geofabrik. Первичные статистические источники — Росстат, региональные переписные публикации и Росреестр; климат и почвы — FAO GAEZ, WorldClim, GlobalAI и Национальный атлас почв. Данные имеют разные условия использования.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21 октября 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C76"/>
        <w:sz w:val="16"/>
      </w:rPr>
      <w:t>РАССЕЛЕНИЕ РОССИИ  ·  ДАННЫЕ И ХОД ИССЛЕДОВАНИЯ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hyperlink" Target="https://github.com/ZakBu/russian-settlements-research/blob/90fe15a2aebc7327b7d525d29c5d70057e320e2e/docs/CURRENT_REVIEW_RU_20261013.md" TargetMode="External"/><Relationship Id="rId29" Type="http://schemas.openxmlformats.org/officeDocument/2006/relationships/hyperlink" Target="https://github.com/ZakBu/russian-settlements-research/blob/d86b2f8b0144537c1bb8348b7f6d320fe844e835/research/sgrt_word_completion_20261021/model_inputs_cycle05/relinked_v4/README.md" TargetMode="External"/><Relationship Id="rId30" Type="http://schemas.openxmlformats.org/officeDocument/2006/relationships/hyperlink" Target="https://github.com/ZakBu/russian-settlements-research/blob/d86b2f8b0144537c1bb8348b7f6d320fe844e835/research/sgrt_word_replication_20261021/commerce/README.md" TargetMode="External"/><Relationship Id="rId31" Type="http://schemas.openxmlformats.org/officeDocument/2006/relationships/hyperlink" Target="https://github.com/ZakBu/russian-settlements-research/blob/d86b2f8b0144537c1bb8348b7f6d320fe844e835/research/sgrt_word_completion_20261021/context/README.md" TargetMode="External"/><Relationship Id="rId32" Type="http://schemas.openxmlformats.org/officeDocument/2006/relationships/hyperlink" Target="https://github.com/ZakBu/russian-settlements-research/blob/d86b2f8b0144537c1bb8348b7f6d320fe844e835/research/sgrt_word_completion_20261021/maps/README.md" TargetMode="External"/><Relationship Id="rId33" Type="http://schemas.openxmlformats.org/officeDocument/2006/relationships/hyperlink" Target="https://github.com/ZakBu/russian-settlements-research/blob/d86b2f8b0144537c1bb8348b7f6d320fe844e835/research/sgrt_word_completion_20261021/coordination/PROGRESS_cycle05_06.md" TargetMode="External"/><Relationship Id="rId34" Type="http://schemas.openxmlformats.org/officeDocument/2006/relationships/hyperlink" Target="https://github.com/ZakBu/russian-settlements-research/blob/d86b2f8b0144537c1bb8348b7f6d320fe844e835/research/sgrt_word_completion_20261021/economy_source_recheck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Трансформация территориальной структуры расселения России в 2002–2021 гг.</dc:title>
  <dc:subject>Данные и ход исследования</dc:subject>
  <dc:creator/>
  <cp:keywords>расселение, Россия, переписи, 2002, 2010, 2021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