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08AEB" w14:textId="77777777" w:rsidR="00181F76" w:rsidRDefault="00000000">
      <w:pPr>
        <w:jc w:val="center"/>
      </w:pPr>
      <w:r>
        <w:rPr>
          <w:b/>
          <w:sz w:val="32"/>
        </w:rPr>
        <w:t>OPTIMIZING MONETARY POLICY UNDER COST-PUSH SHOCKS:</w:t>
      </w:r>
      <w:r>
        <w:rPr>
          <w:b/>
          <w:sz w:val="32"/>
        </w:rPr>
        <w:br/>
        <w:t>A COMPUTATIONAL COMPARISON WITH THE TAYLOR RULE</w:t>
      </w:r>
    </w:p>
    <w:p w14:paraId="3B0E2799" w14:textId="34D10D95" w:rsidR="00181F76" w:rsidRDefault="00000000">
      <w:pPr>
        <w:jc w:val="center"/>
      </w:pPr>
      <w:r>
        <w:rPr>
          <w:i/>
        </w:rPr>
        <w:t>Economics and Computational Policy Analysis</w:t>
      </w:r>
    </w:p>
    <w:p w14:paraId="2911E456" w14:textId="11043074" w:rsidR="00181F76" w:rsidRDefault="00F56781">
      <w:pPr>
        <w:jc w:val="center"/>
      </w:pPr>
      <w:r>
        <w:t>Zakareya Chehime</w:t>
      </w:r>
    </w:p>
    <w:p w14:paraId="2E718339" w14:textId="77777777" w:rsidR="00181F76" w:rsidRDefault="00000000">
      <w:pPr>
        <w:pStyle w:val="Heading1"/>
      </w:pPr>
      <w:r>
        <w:t>Abstract</w:t>
      </w:r>
    </w:p>
    <w:p w14:paraId="53C3DC3A" w14:textId="77777777" w:rsidR="00181F76" w:rsidRDefault="00000000">
      <w:r>
        <w:t>This paper develops a computational framework for comparing an interest-rate policy chosen by constrained optimization with a conventional Taylor-rule policy. The model combines a forward-looking Phillips curve, a forward-looking IS relationship, persistent cost-push disturbances, and bounds on the nominal policy rate. The policymaker’s objective penalizes deviations of inflation from a 2 percent target, output-gap fluctuations, and changes in the policy rate. The framework is implemented in Julia using JuMP and the Ipopt nonlinear optimizer. The experiments progress from a deterministic cost-push shock to Monte Carlo simulations with stochastic disturbances and a second shock later in the horizon. In each simulation, the two policy specifications face the same disturbance realization and are evaluated using a common loss function. The design provides a transparent way to study the trade-off between stabilizing inflation and economic activity while limiting abrupt interest-rate adjustments. Numerical findings are intentionally not reported in this draft because the source material contains the code and reporting statements, but not the executed output. The final empirical-results section should be completed with the model’s actual output before this paper is used as a formal sample.</w:t>
      </w:r>
    </w:p>
    <w:p w14:paraId="1BE47198" w14:textId="77777777" w:rsidR="00181F76" w:rsidRDefault="00000000">
      <w:pPr>
        <w:pStyle w:val="Heading1"/>
      </w:pPr>
      <w:r>
        <w:t>1. Introduction</w:t>
      </w:r>
    </w:p>
    <w:p w14:paraId="25E68380" w14:textId="77777777" w:rsidR="00181F76" w:rsidRDefault="00000000">
      <w:r>
        <w:t>Central banks must make policy decisions in an environment where inflation and real activity can move in conflicting directions. A cost-push shock, for example, can raise inflation while weakening output. An aggressive response to inflation may help return inflation to target but can deepen the output contraction; a more gradual response may reduce the immediate cost to activity while allowing inflation to remain above target for longer. Monetary policy therefore involves a dynamic trade-off rather than a single-period choice.</w:t>
      </w:r>
    </w:p>
    <w:p w14:paraId="174F9095" w14:textId="77777777" w:rsidR="00181F76" w:rsidRDefault="00000000">
      <w:r>
        <w:t>A Taylor rule offers a transparent benchmark by linking the nominal interest rate to inflation and the output gap. An optimization-based policy instead chooses a sequence of interest rates to minimize a specified loss function, subject to the model’s structural equations and policy constraints. The latter approach can account explicitly for the persistence of shocks, the forward-looking behavior of inflation and output, and the cost of changing rates over time.</w:t>
      </w:r>
    </w:p>
    <w:p w14:paraId="626A57C1" w14:textId="77777777" w:rsidR="00181F76" w:rsidRDefault="00000000">
      <w:r>
        <w:t>This project implements both approaches in a common computational environment. Its central question is: how does a policy path selected by constrained optimization compare with a Taylor-rule path when both respond to the same cost-push disturbances? The analysis is a controlled model experiment, not an estimate of the Federal Reserve’s actual policy function. Its value is to make the assumptions, constraints, and evaluation criterion explicit and reproducible.</w:t>
      </w:r>
    </w:p>
    <w:p w14:paraId="24B566B9" w14:textId="77777777" w:rsidR="00181F76" w:rsidRDefault="00000000">
      <w:pPr>
        <w:pStyle w:val="Heading1"/>
      </w:pPr>
      <w:r>
        <w:lastRenderedPageBreak/>
        <w:t>2. Model</w:t>
      </w:r>
    </w:p>
    <w:p w14:paraId="5E32985A" w14:textId="77777777" w:rsidR="00181F76" w:rsidRDefault="00000000">
      <w:pPr>
        <w:pStyle w:val="Heading2"/>
      </w:pPr>
      <w:r>
        <w:t>2.1. Policy objective</w:t>
      </w:r>
    </w:p>
    <w:p w14:paraId="560BAA08" w14:textId="77777777" w:rsidR="00181F76" w:rsidRDefault="00000000">
      <w:r>
        <w:t>The optimization-based policy minimizes a discounted loss over a finite horizon. In each period, the loss penalizes the squared deviation of inflation from its target, the squared output gap, and changes in the nominal interest rate. The implemented objective can be written as</w:t>
      </w:r>
    </w:p>
    <w:p w14:paraId="1886DFFB" w14:textId="77777777" w:rsidR="00181F76" w:rsidRDefault="00000000">
      <w:pPr>
        <w:jc w:val="center"/>
      </w:pPr>
      <w:r>
        <w:rPr>
          <w:i/>
        </w:rPr>
        <w:t>L = Σₜ₌₁ᵀ β⁽ᵗ⁻¹⁾ [(πₜ − π*)² + ωxₜ² + λ(iₜ − iₜ₋₁)²].</w:t>
      </w:r>
    </w:p>
    <w:p w14:paraId="094B6951" w14:textId="77777777" w:rsidR="00181F76" w:rsidRDefault="00000000">
      <w:r>
        <w:t>Here πₜ is inflation, π* is the inflation target, xₜ is the output gap, iₜ is the nominal policy rate, β is the discount factor, ω controls the relative weight on output stabilization, and λ penalizes interest-rate changes. The code sets π* = 2, β = 0.99, ω = 0.5, and λ = 0.1. The initial nominal rate is 4 percent, corresponding to a 2 percent natural real rate plus the 2 percent inflation target. The loss function gives the optimizer an explicit reason to avoid both macroeconomic instability and unnecessarily abrupt policy-rate movements.</w:t>
      </w:r>
    </w:p>
    <w:p w14:paraId="2D1406B1" w14:textId="77777777" w:rsidR="00181F76" w:rsidRDefault="00000000">
      <w:r>
        <w:t>The objective is a modeling choice rather than a complete measure of social welfare. Its conclusions depend on the relative weights and on the variables included in the loss function. In particular, the model does not directly represent financial stability, distributional effects, or uncertainty about the structural parameters.</w:t>
      </w:r>
    </w:p>
    <w:p w14:paraId="74518BF7" w14:textId="77777777" w:rsidR="00181F76" w:rsidRDefault="00000000">
      <w:pPr>
        <w:pStyle w:val="Heading2"/>
      </w:pPr>
      <w:r>
        <w:t>2.2. Aggregate-supply relationship</w:t>
      </w:r>
    </w:p>
    <w:p w14:paraId="7773707F" w14:textId="77777777" w:rsidR="00181F76" w:rsidRDefault="00000000">
      <w:r>
        <w:t>Inflation follows a forward-looking Phillips curve with a cost-push disturbance:</w:t>
      </w:r>
    </w:p>
    <w:p w14:paraId="22AFBC63" w14:textId="77777777" w:rsidR="00181F76" w:rsidRDefault="00000000">
      <w:pPr>
        <w:jc w:val="center"/>
      </w:pPr>
      <w:r>
        <w:t>πₜ = γxₜ + βπₜ₊₁ + uₜ.</w:t>
      </w:r>
    </w:p>
    <w:p w14:paraId="4ADAEC5E" w14:textId="77777777" w:rsidR="00181F76" w:rsidRDefault="00000000">
      <w:r>
        <w:t>The output gap affects current inflation through γ, expected future inflation enters through β, and uₜ captures a cost-push shock. The baseline calibration sets γ = −0.08. In the stochastic experiments, the code uses β_inf = 0.96 as the coefficient on future inflation, while the discount factor in the loss function remains β = 0.99. Keeping these parameters distinct is important: one governs the inflation equation and the other discounts future losses.</w:t>
      </w:r>
    </w:p>
    <w:p w14:paraId="4BAABA26" w14:textId="77777777" w:rsidR="00181F76" w:rsidRDefault="00000000">
      <w:pPr>
        <w:pStyle w:val="Heading2"/>
      </w:pPr>
      <w:r>
        <w:t>2.3. Aggregate-demand relationship</w:t>
      </w:r>
    </w:p>
    <w:p w14:paraId="6FB42223" w14:textId="77777777" w:rsidR="00181F76" w:rsidRDefault="00000000">
      <w:r>
        <w:t>The forward-looking IS relationship is specified as</w:t>
      </w:r>
    </w:p>
    <w:p w14:paraId="6C8E8CDA" w14:textId="77777777" w:rsidR="00181F76" w:rsidRDefault="00000000">
      <w:pPr>
        <w:jc w:val="center"/>
      </w:pPr>
      <w:r>
        <w:t>xₜ = xₜ₊₁ − (1/σ)[iₜ − πₜ₊₁ − r̄].</w:t>
      </w:r>
    </w:p>
    <w:p w14:paraId="33BE7604" w14:textId="77777777" w:rsidR="00181F76" w:rsidRDefault="00000000">
      <w:r>
        <w:t>The output gap depends on the expected next-period output gap and the difference between the nominal interest rate, expected inflation, and the natural real interest rate r̄. The parameter σ is set to 1 and the natural real rate is set to 2 percent. Together, the Phillips curve and IS equation link the policy rate to the paths of inflation and real activity.</w:t>
      </w:r>
    </w:p>
    <w:p w14:paraId="2CC243CE" w14:textId="77777777" w:rsidR="00181F76" w:rsidRDefault="00000000">
      <w:pPr>
        <w:pStyle w:val="Heading2"/>
      </w:pPr>
      <w:r>
        <w:t>2.4. Disturbance process and boundary conditions</w:t>
      </w:r>
    </w:p>
    <w:p w14:paraId="33B01333" w14:textId="77777777" w:rsidR="00181F76" w:rsidRDefault="00000000">
      <w:r>
        <w:t>In the deterministic experiment, the initial cost-push shock is set to 1 and then decays according to an AR(1) process, uₜ = ρᵤuₜ₋₁, with persistence ρᵤ = 0.8. In the stochastic experiments, an innovation εₜ is added each period: uₜ = ρᵤuₜ₋₁ + εₜ. The innovations are drawn from a normal distribution with standard deviation 0.79. The simulation uses 100 trials and fixes the random seed at 1234 to support reproducibility.</w:t>
      </w:r>
    </w:p>
    <w:p w14:paraId="04DD4B72" w14:textId="77777777" w:rsidR="00181F76" w:rsidRDefault="00000000">
      <w:r>
        <w:t>The model imposes terminal conditions that return inflation to its target and the output gap to zero at the end of the horizon. The nominal interest rate is constrained to remain between 0 and 10 percent. The initial state for the crisis-comparison model is shared across policy specifications: inflation begins at 2 percent, the output gap at zero, and the nominal interest rate at 4 percent.</w:t>
      </w:r>
    </w:p>
    <w:p w14:paraId="38A40591" w14:textId="77777777" w:rsidR="00181F76" w:rsidRDefault="00000000">
      <w:pPr>
        <w:pStyle w:val="Heading1"/>
      </w:pPr>
      <w:r>
        <w:lastRenderedPageBreak/>
        <w:t>3. Policy Experiments</w:t>
      </w:r>
    </w:p>
    <w:p w14:paraId="07766B83" w14:textId="77777777" w:rsidR="00181F76" w:rsidRDefault="00000000">
      <w:pPr>
        <w:pStyle w:val="Heading2"/>
      </w:pPr>
      <w:r>
        <w:t>3.1. Optimization-based policy</w:t>
      </w:r>
    </w:p>
    <w:p w14:paraId="65074047" w14:textId="77777777" w:rsidR="00181F76" w:rsidRDefault="00000000">
      <w:r>
        <w:t>Under the optimization-based specification, the solver selects the full sequence of nominal interest rates that minimizes the common loss function while satisfying the model equations, terminal conditions, and rate bounds. Because the model is solved over the full horizon with the disturbance sequence supplied to it, the resulting path is a model-based benchmark conditional on that sequence. It should not be interpreted as a directly implementable real-time policy rule: the optimization has access to the future shocks in each simulated path.</w:t>
      </w:r>
    </w:p>
    <w:p w14:paraId="6239CCC4" w14:textId="77777777" w:rsidR="00181F76" w:rsidRDefault="00000000">
      <w:pPr>
        <w:pStyle w:val="Heading2"/>
      </w:pPr>
      <w:r>
        <w:t>3.2. Taylor-rule benchmark</w:t>
      </w:r>
    </w:p>
    <w:p w14:paraId="5E716766" w14:textId="77777777" w:rsidR="00181F76" w:rsidRDefault="00000000">
      <w:r>
        <w:t>The benchmark sets the nominal interest rate according to a Taylor-style rule:</w:t>
      </w:r>
    </w:p>
    <w:p w14:paraId="3F9898FC" w14:textId="77777777" w:rsidR="00181F76" w:rsidRDefault="00000000">
      <w:pPr>
        <w:jc w:val="center"/>
      </w:pPr>
      <w:r>
        <w:t>iₜ = r̄ + πₜ + φπ(πₜ − π*) + φx xₜ.</w:t>
      </w:r>
    </w:p>
    <w:p w14:paraId="5C31C8B9" w14:textId="77777777" w:rsidR="00181F76" w:rsidRDefault="00000000">
      <w:r>
        <w:t>The response coefficients are φπ = 1.5 and φx = 0.5. The rule raises the nominal rate in response to inflation above target and to a positive output gap. The code solves the same structural equations under this restriction and evaluates the resulting path with the same loss function used for the optimization-based policy. This common metric makes the comparison internally consistent within the model.</w:t>
      </w:r>
    </w:p>
    <w:p w14:paraId="7CEE3E7D" w14:textId="77777777" w:rsidR="00181F76" w:rsidRDefault="00000000">
      <w:pPr>
        <w:pStyle w:val="Heading2"/>
      </w:pPr>
      <w:r>
        <w:t>3.3. Deterministic and stochastic designs</w:t>
      </w:r>
    </w:p>
    <w:p w14:paraId="5AE04715" w14:textId="77777777" w:rsidR="00181F76" w:rsidRDefault="00000000">
      <w:r>
        <w:t>The first experiment studies a single persistent cost-push shock over 48 quarters. It provides a transparent baseline for comparing the two policy paths under identical initial conditions and a known disturbance process. The second experiment introduces random innovations to the shock process and repeats the comparison over 100 Monte Carlo trials. The same innovation sequence is supplied to both policy specifications within each trial, so differences in outcomes can be attributed to the policy restriction within the model rather than to different shock draws.</w:t>
      </w:r>
    </w:p>
    <w:p w14:paraId="6913CC44" w14:textId="77777777" w:rsidR="00181F76" w:rsidRDefault="00000000">
      <w:r>
        <w:t>A further experiment extends the horizon to 60 quarters and introduces a second cost-push shock at quarter 32. The second shock is negative in the deterministic component, while random innovations continue throughout the horizon. This design examines how the policies respond when the economy experiences a later disturbance before the effects of the earlier shock have necessarily disappeared. For each experiment, the code computes policy losses and plots the paths of inflation, the output gap, the interest rate, and the cost-push shock. In the stochastic cases, the code also computes mean paths and fifth-to-ninety-fifth percentile bands across simulations.</w:t>
      </w:r>
    </w:p>
    <w:p w14:paraId="37902C2A" w14:textId="77777777" w:rsidR="00181F76" w:rsidRDefault="00000000">
      <w:pPr>
        <w:pStyle w:val="Heading1"/>
      </w:pPr>
      <w:r>
        <w:t>4. Computational Implementation</w:t>
      </w:r>
    </w:p>
    <w:p w14:paraId="30FB0A78" w14:textId="77777777" w:rsidR="00181F76" w:rsidRDefault="00000000">
      <w:r>
        <w:t>The model is implemented in Julia. JuMP defines the optimization problem, and Ipopt solves the resulting constrained nonlinear program. The code constructs separate models for the optimization-based and Taylor-rule policies, solves them independently, and extracts the implied paths and objective values. In the Monte Carlo experiments, a new vector of random innovations is generated for each trial and reused across the two policy specifications. Summary statistics include average loss, the standard deviation of loss, average paths, and percentile bands.</w:t>
      </w:r>
    </w:p>
    <w:p w14:paraId="29CD74D0" w14:textId="77777777" w:rsidR="00181F76" w:rsidRDefault="00000000">
      <w:r>
        <w:t>This workflow combines structural macroeconomic equations with numerical optimization and simulation. It also separates the policy rule from the evaluation criterion: both approaches are assessed using the same inflation, output-gap, and interest-rate-smoothing penalties. That distinction is necessary for a meaningful comparison.</w:t>
      </w:r>
    </w:p>
    <w:p w14:paraId="4A071386" w14:textId="77777777" w:rsidR="00181F76" w:rsidRDefault="00000000">
      <w:pPr>
        <w:pStyle w:val="Heading1"/>
      </w:pPr>
      <w:r>
        <w:lastRenderedPageBreak/>
        <w:t>5. Results and Reporting</w:t>
      </w:r>
    </w:p>
    <w:p w14:paraId="0C84CBDB" w14:textId="77777777" w:rsidR="00181F76" w:rsidRDefault="00000000">
      <w:r>
        <w:t>The supplied source file contains code that calculates the objective values, percentage loss reduction, initial-period responses, and simulation summaries. However, it does not include the printed numerical output from an executed run. For that reason, this draft does not assert that one policy achieves a particular numerical improvement or that any specific path dominates. Those claims should be added only after running the final version of the code and checking the solver status and output.</w:t>
      </w:r>
    </w:p>
    <w:p w14:paraId="5D8D51AB" w14:textId="77777777" w:rsidR="00181F76" w:rsidRDefault="00000000">
      <w:r>
        <w:t>The main quantitative comparison should report the mean loss under each policy and the relative reduction in loss, calculated as 100 × (mean Taylor-rule loss − mean optimized-policy loss) / mean Taylor-rule loss. The stochastic results should also report the standard deviation of loss across trials. Plots of inflation, the output gap, and the nominal interest rate should be interpreted together: a lower value of the combined loss can arise from different trade-offs between inflation stabilization, output stabilization, and rate smoothing.</w:t>
      </w:r>
    </w:p>
    <w:p w14:paraId="11830768" w14:textId="77777777" w:rsidR="00181F76" w:rsidRDefault="00000000">
      <w:r>
        <w:t>Before submission, the final results table should include the number of simulations, average loss for each policy, relative loss reduction, and standard deviation of each policy’s loss. The deterministic experiment should report the same-policy comparisons for its realized paths. Figures should have clear units, labeled axes, and captions identifying the shock design and the policy specifications.</w:t>
      </w:r>
    </w:p>
    <w:p w14:paraId="6ABFE50A" w14:textId="77777777" w:rsidR="00181F76" w:rsidRDefault="00000000">
      <w:pPr>
        <w:pStyle w:val="Heading1"/>
      </w:pPr>
      <w:r>
        <w:t>6. Interpretation and Limitations</w:t>
      </w:r>
    </w:p>
    <w:p w14:paraId="5EC29CAE" w14:textId="77777777" w:rsidR="00181F76" w:rsidRDefault="00000000">
      <w:r>
        <w:t>The framework is designed to show how an explicit objective and a set of structural constraints can be used to compare monetary-policy strategies. Unlike a fixed Taylor rule, the optimizer chooses the interest-rate path jointly across the horizon, balancing current stabilization against future consequences and the penalty on rate changes. The common loss function provides a disciplined basis for comparing the resulting paths, but it does not establish that the optimized policy is superior in real-world practice.</w:t>
      </w:r>
    </w:p>
    <w:p w14:paraId="6B019633" w14:textId="77777777" w:rsidR="00181F76" w:rsidRDefault="00000000">
      <w:r>
        <w:t>Several limitations matter for interpretation. First, the model is stylized and depends on calibrated parameters rather than a full econometric estimation. Second, the terminal conditions influence the paths near the end of the horizon. Third, the optimizer’s access to the full disturbance sequence gives it a perfect-foresight advantage in the stochastic experiments. A more realistic policy comparison would distinguish between a policy optimized under uncertainty and a policy that can react only to information available at the time decisions are made. Fourth, the results may be sensitive to the loss weights, shock persistence, innovation variance, and interest-rate bounds. Sensitivity analysis would help establish whether any observed differences are robust to alternative calibrations.</w:t>
      </w:r>
    </w:p>
    <w:p w14:paraId="36EC1E4F" w14:textId="77777777" w:rsidR="00181F76" w:rsidRDefault="00000000">
      <w:r>
        <w:t>There is also an implementation distinction worth preserving. The initial model description includes a restriction on quarter-to-quarter interest-rate changes, but the later crisis and Monte Carlo code shown in the source implements rate smoothing as a penalty in the objective and imposes the 0-to-10 percent level bounds; it does not impose the separate ±0.5 percentage-point change constraint. The paper describes the implemented versions rather than treating that additional change constraint as active.</w:t>
      </w:r>
    </w:p>
    <w:p w14:paraId="1B53993D" w14:textId="77777777" w:rsidR="00181F76" w:rsidRDefault="00000000">
      <w:pPr>
        <w:pStyle w:val="Heading1"/>
      </w:pPr>
      <w:r>
        <w:t>7. Conclusion</w:t>
      </w:r>
    </w:p>
    <w:p w14:paraId="712A7925" w14:textId="77777777" w:rsidR="00181F76" w:rsidRDefault="00000000">
      <w:r>
        <w:t>This project builds a computational comparison between an optimization-based monetary-policy path and a Taylor-rule benchmark in a forward-looking macroeconomic model. It incorporates a Phillips curve, an IS relationship, persistent cost-push shocks, interest-rate bounds, and an objective that penalizes inflation deviations, output-gap fluctuations, and rate changes. Deterministic, stochastic, and two-shock experiments provide complementary ways to examine policy responses under controlled disturbances.</w:t>
      </w:r>
    </w:p>
    <w:p w14:paraId="0576854B" w14:textId="77777777" w:rsidR="00181F76" w:rsidRDefault="00000000">
      <w:r>
        <w:lastRenderedPageBreak/>
        <w:t>The main contribution of the project is methodological: it creates a reproducible environment in which alternative policy specifications can be compared under common assumptions and a common loss criterion. The strength of any substantive conclusion depends on the executed numerical results and on the model’s assumptions. Once the output is inserted and robustness checks are completed, the framework can serve as a compact research exercise in computational macroeconomics and monetary-policy design.</w:t>
      </w:r>
    </w:p>
    <w:p w14:paraId="2EE443AC" w14:textId="77777777" w:rsidR="00181F76" w:rsidRDefault="00000000">
      <w:pPr>
        <w:pStyle w:val="Heading1"/>
      </w:pPr>
      <w:r>
        <w:t>Appendix A. Baseline Calibration</w:t>
      </w:r>
    </w:p>
    <w:tbl>
      <w:tblPr>
        <w:tblStyle w:val="LightShading-Accent1"/>
        <w:tblW w:w="0" w:type="auto"/>
        <w:tblLook w:val="04A0" w:firstRow="1" w:lastRow="0" w:firstColumn="1" w:lastColumn="0" w:noHBand="0" w:noVBand="1"/>
      </w:tblPr>
      <w:tblGrid>
        <w:gridCol w:w="3216"/>
        <w:gridCol w:w="3216"/>
        <w:gridCol w:w="3216"/>
      </w:tblGrid>
      <w:tr w:rsidR="00181F76" w14:paraId="57154553" w14:textId="77777777" w:rsidTr="00181F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604E485" w14:textId="77777777" w:rsidR="00181F76" w:rsidRDefault="00000000">
            <w:r>
              <w:t>Parameter</w:t>
            </w:r>
          </w:p>
        </w:tc>
        <w:tc>
          <w:tcPr>
            <w:tcW w:w="3216" w:type="dxa"/>
          </w:tcPr>
          <w:p w14:paraId="04BF7D4A" w14:textId="77777777" w:rsidR="00181F76" w:rsidRDefault="00000000">
            <w:pPr>
              <w:cnfStyle w:val="100000000000" w:firstRow="1" w:lastRow="0" w:firstColumn="0" w:lastColumn="0" w:oddVBand="0" w:evenVBand="0" w:oddHBand="0" w:evenHBand="0" w:firstRowFirstColumn="0" w:firstRowLastColumn="0" w:lastRowFirstColumn="0" w:lastRowLastColumn="0"/>
            </w:pPr>
            <w:r>
              <w:t>Value</w:t>
            </w:r>
          </w:p>
        </w:tc>
        <w:tc>
          <w:tcPr>
            <w:tcW w:w="3216" w:type="dxa"/>
          </w:tcPr>
          <w:p w14:paraId="4136317C" w14:textId="77777777" w:rsidR="00181F76" w:rsidRDefault="00000000">
            <w:pPr>
              <w:cnfStyle w:val="100000000000" w:firstRow="1" w:lastRow="0" w:firstColumn="0" w:lastColumn="0" w:oddVBand="0" w:evenVBand="0" w:oddHBand="0" w:evenHBand="0" w:firstRowFirstColumn="0" w:firstRowLastColumn="0" w:lastRowFirstColumn="0" w:lastRowLastColumn="0"/>
            </w:pPr>
            <w:r>
              <w:t>Role</w:t>
            </w:r>
          </w:p>
        </w:tc>
      </w:tr>
      <w:tr w:rsidR="00181F76" w14:paraId="3CCC8884" w14:textId="77777777" w:rsidTr="0018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61174D7" w14:textId="77777777" w:rsidR="00181F76" w:rsidRDefault="00000000">
            <w:r>
              <w:t>T</w:t>
            </w:r>
          </w:p>
        </w:tc>
        <w:tc>
          <w:tcPr>
            <w:tcW w:w="3216" w:type="dxa"/>
          </w:tcPr>
          <w:p w14:paraId="46BC4754" w14:textId="77777777" w:rsidR="00181F76" w:rsidRDefault="00000000">
            <w:pPr>
              <w:cnfStyle w:val="000000100000" w:firstRow="0" w:lastRow="0" w:firstColumn="0" w:lastColumn="0" w:oddVBand="0" w:evenVBand="0" w:oddHBand="1" w:evenHBand="0" w:firstRowFirstColumn="0" w:firstRowLastColumn="0" w:lastRowFirstColumn="0" w:lastRowLastColumn="0"/>
            </w:pPr>
            <w:r>
              <w:t>48 quarters (baseline); 60 (two-shock)</w:t>
            </w:r>
          </w:p>
        </w:tc>
        <w:tc>
          <w:tcPr>
            <w:tcW w:w="3216" w:type="dxa"/>
          </w:tcPr>
          <w:p w14:paraId="40093895" w14:textId="77777777" w:rsidR="00181F76" w:rsidRDefault="00000000">
            <w:pPr>
              <w:cnfStyle w:val="000000100000" w:firstRow="0" w:lastRow="0" w:firstColumn="0" w:lastColumn="0" w:oddVBand="0" w:evenVBand="0" w:oddHBand="1" w:evenHBand="0" w:firstRowFirstColumn="0" w:firstRowLastColumn="0" w:lastRowFirstColumn="0" w:lastRowLastColumn="0"/>
            </w:pPr>
            <w:r>
              <w:t>Finite horizon</w:t>
            </w:r>
          </w:p>
        </w:tc>
      </w:tr>
      <w:tr w:rsidR="00181F76" w14:paraId="699110B6" w14:textId="77777777" w:rsidTr="00181F76">
        <w:tc>
          <w:tcPr>
            <w:cnfStyle w:val="001000000000" w:firstRow="0" w:lastRow="0" w:firstColumn="1" w:lastColumn="0" w:oddVBand="0" w:evenVBand="0" w:oddHBand="0" w:evenHBand="0" w:firstRowFirstColumn="0" w:firstRowLastColumn="0" w:lastRowFirstColumn="0" w:lastRowLastColumn="0"/>
            <w:tcW w:w="3216" w:type="dxa"/>
          </w:tcPr>
          <w:p w14:paraId="0D9E085F" w14:textId="77777777" w:rsidR="00181F76" w:rsidRDefault="00000000">
            <w:r>
              <w:t>π*</w:t>
            </w:r>
          </w:p>
        </w:tc>
        <w:tc>
          <w:tcPr>
            <w:tcW w:w="3216" w:type="dxa"/>
          </w:tcPr>
          <w:p w14:paraId="02B3E4E1" w14:textId="77777777" w:rsidR="00181F76" w:rsidRDefault="00000000">
            <w:pPr>
              <w:cnfStyle w:val="000000000000" w:firstRow="0" w:lastRow="0" w:firstColumn="0" w:lastColumn="0" w:oddVBand="0" w:evenVBand="0" w:oddHBand="0" w:evenHBand="0" w:firstRowFirstColumn="0" w:firstRowLastColumn="0" w:lastRowFirstColumn="0" w:lastRowLastColumn="0"/>
            </w:pPr>
            <w:r>
              <w:t>2.0</w:t>
            </w:r>
          </w:p>
        </w:tc>
        <w:tc>
          <w:tcPr>
            <w:tcW w:w="3216" w:type="dxa"/>
          </w:tcPr>
          <w:p w14:paraId="4A604056" w14:textId="77777777" w:rsidR="00181F76" w:rsidRDefault="00000000">
            <w:pPr>
              <w:cnfStyle w:val="000000000000" w:firstRow="0" w:lastRow="0" w:firstColumn="0" w:lastColumn="0" w:oddVBand="0" w:evenVBand="0" w:oddHBand="0" w:evenHBand="0" w:firstRowFirstColumn="0" w:firstRowLastColumn="0" w:lastRowFirstColumn="0" w:lastRowLastColumn="0"/>
            </w:pPr>
            <w:r>
              <w:t>Inflation target, percent</w:t>
            </w:r>
          </w:p>
        </w:tc>
      </w:tr>
      <w:tr w:rsidR="00181F76" w14:paraId="07CCB883" w14:textId="77777777" w:rsidTr="0018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D3B156B" w14:textId="77777777" w:rsidR="00181F76" w:rsidRDefault="00000000">
            <w:r>
              <w:t>r̄</w:t>
            </w:r>
          </w:p>
        </w:tc>
        <w:tc>
          <w:tcPr>
            <w:tcW w:w="3216" w:type="dxa"/>
          </w:tcPr>
          <w:p w14:paraId="5EB19B03" w14:textId="77777777" w:rsidR="00181F76" w:rsidRDefault="00000000">
            <w:pPr>
              <w:cnfStyle w:val="000000100000" w:firstRow="0" w:lastRow="0" w:firstColumn="0" w:lastColumn="0" w:oddVBand="0" w:evenVBand="0" w:oddHBand="1" w:evenHBand="0" w:firstRowFirstColumn="0" w:firstRowLastColumn="0" w:lastRowFirstColumn="0" w:lastRowLastColumn="0"/>
            </w:pPr>
            <w:r>
              <w:t>2.0</w:t>
            </w:r>
          </w:p>
        </w:tc>
        <w:tc>
          <w:tcPr>
            <w:tcW w:w="3216" w:type="dxa"/>
          </w:tcPr>
          <w:p w14:paraId="5E94A6B8" w14:textId="77777777" w:rsidR="00181F76" w:rsidRDefault="00000000">
            <w:pPr>
              <w:cnfStyle w:val="000000100000" w:firstRow="0" w:lastRow="0" w:firstColumn="0" w:lastColumn="0" w:oddVBand="0" w:evenVBand="0" w:oddHBand="1" w:evenHBand="0" w:firstRowFirstColumn="0" w:firstRowLastColumn="0" w:lastRowFirstColumn="0" w:lastRowLastColumn="0"/>
            </w:pPr>
            <w:r>
              <w:t>Natural real interest rate, percent</w:t>
            </w:r>
          </w:p>
        </w:tc>
      </w:tr>
      <w:tr w:rsidR="00181F76" w14:paraId="32BCBADF" w14:textId="77777777" w:rsidTr="00181F76">
        <w:tc>
          <w:tcPr>
            <w:cnfStyle w:val="001000000000" w:firstRow="0" w:lastRow="0" w:firstColumn="1" w:lastColumn="0" w:oddVBand="0" w:evenVBand="0" w:oddHBand="0" w:evenHBand="0" w:firstRowFirstColumn="0" w:firstRowLastColumn="0" w:lastRowFirstColumn="0" w:lastRowLastColumn="0"/>
            <w:tcW w:w="3216" w:type="dxa"/>
          </w:tcPr>
          <w:p w14:paraId="53CF40FF" w14:textId="77777777" w:rsidR="00181F76" w:rsidRDefault="00000000">
            <w:r>
              <w:t>i₀</w:t>
            </w:r>
          </w:p>
        </w:tc>
        <w:tc>
          <w:tcPr>
            <w:tcW w:w="3216" w:type="dxa"/>
          </w:tcPr>
          <w:p w14:paraId="50FD5472" w14:textId="77777777" w:rsidR="00181F76" w:rsidRDefault="00000000">
            <w:pPr>
              <w:cnfStyle w:val="000000000000" w:firstRow="0" w:lastRow="0" w:firstColumn="0" w:lastColumn="0" w:oddVBand="0" w:evenVBand="0" w:oddHBand="0" w:evenHBand="0" w:firstRowFirstColumn="0" w:firstRowLastColumn="0" w:lastRowFirstColumn="0" w:lastRowLastColumn="0"/>
            </w:pPr>
            <w:r>
              <w:t>4.0</w:t>
            </w:r>
          </w:p>
        </w:tc>
        <w:tc>
          <w:tcPr>
            <w:tcW w:w="3216" w:type="dxa"/>
          </w:tcPr>
          <w:p w14:paraId="219D8324" w14:textId="77777777" w:rsidR="00181F76" w:rsidRDefault="00000000">
            <w:pPr>
              <w:cnfStyle w:val="000000000000" w:firstRow="0" w:lastRow="0" w:firstColumn="0" w:lastColumn="0" w:oddVBand="0" w:evenVBand="0" w:oddHBand="0" w:evenHBand="0" w:firstRowFirstColumn="0" w:firstRowLastColumn="0" w:lastRowFirstColumn="0" w:lastRowLastColumn="0"/>
            </w:pPr>
            <w:r>
              <w:t>Initial nominal rate, percent</w:t>
            </w:r>
          </w:p>
        </w:tc>
      </w:tr>
      <w:tr w:rsidR="00181F76" w14:paraId="68A0CC58" w14:textId="77777777" w:rsidTr="0018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D59B8BC" w14:textId="77777777" w:rsidR="00181F76" w:rsidRDefault="00000000">
            <w:r>
              <w:t>β</w:t>
            </w:r>
          </w:p>
        </w:tc>
        <w:tc>
          <w:tcPr>
            <w:tcW w:w="3216" w:type="dxa"/>
          </w:tcPr>
          <w:p w14:paraId="4610AEDB" w14:textId="77777777" w:rsidR="00181F76" w:rsidRDefault="00000000">
            <w:pPr>
              <w:cnfStyle w:val="000000100000" w:firstRow="0" w:lastRow="0" w:firstColumn="0" w:lastColumn="0" w:oddVBand="0" w:evenVBand="0" w:oddHBand="1" w:evenHBand="0" w:firstRowFirstColumn="0" w:firstRowLastColumn="0" w:lastRowFirstColumn="0" w:lastRowLastColumn="0"/>
            </w:pPr>
            <w:r>
              <w:t>0.99</w:t>
            </w:r>
          </w:p>
        </w:tc>
        <w:tc>
          <w:tcPr>
            <w:tcW w:w="3216" w:type="dxa"/>
          </w:tcPr>
          <w:p w14:paraId="0910E7FF" w14:textId="77777777" w:rsidR="00181F76" w:rsidRDefault="00000000">
            <w:pPr>
              <w:cnfStyle w:val="000000100000" w:firstRow="0" w:lastRow="0" w:firstColumn="0" w:lastColumn="0" w:oddVBand="0" w:evenVBand="0" w:oddHBand="1" w:evenHBand="0" w:firstRowFirstColumn="0" w:firstRowLastColumn="0" w:lastRowFirstColumn="0" w:lastRowLastColumn="0"/>
            </w:pPr>
            <w:r>
              <w:t>Discount factor in objective</w:t>
            </w:r>
          </w:p>
        </w:tc>
      </w:tr>
      <w:tr w:rsidR="00181F76" w14:paraId="23FE8834" w14:textId="77777777" w:rsidTr="00181F76">
        <w:tc>
          <w:tcPr>
            <w:cnfStyle w:val="001000000000" w:firstRow="0" w:lastRow="0" w:firstColumn="1" w:lastColumn="0" w:oddVBand="0" w:evenVBand="0" w:oddHBand="0" w:evenHBand="0" w:firstRowFirstColumn="0" w:firstRowLastColumn="0" w:lastRowFirstColumn="0" w:lastRowLastColumn="0"/>
            <w:tcW w:w="3216" w:type="dxa"/>
          </w:tcPr>
          <w:p w14:paraId="7BCC3A56" w14:textId="77777777" w:rsidR="00181F76" w:rsidRDefault="00000000">
            <w:r>
              <w:t>β_inf</w:t>
            </w:r>
          </w:p>
        </w:tc>
        <w:tc>
          <w:tcPr>
            <w:tcW w:w="3216" w:type="dxa"/>
          </w:tcPr>
          <w:p w14:paraId="64E6E46F" w14:textId="77777777" w:rsidR="00181F76" w:rsidRDefault="00000000">
            <w:pPr>
              <w:cnfStyle w:val="000000000000" w:firstRow="0" w:lastRow="0" w:firstColumn="0" w:lastColumn="0" w:oddVBand="0" w:evenVBand="0" w:oddHBand="0" w:evenHBand="0" w:firstRowFirstColumn="0" w:firstRowLastColumn="0" w:lastRowFirstColumn="0" w:lastRowLastColumn="0"/>
            </w:pPr>
            <w:r>
              <w:t>0.96 in stochastic versions</w:t>
            </w:r>
          </w:p>
        </w:tc>
        <w:tc>
          <w:tcPr>
            <w:tcW w:w="3216" w:type="dxa"/>
          </w:tcPr>
          <w:p w14:paraId="08D66572" w14:textId="77777777" w:rsidR="00181F76" w:rsidRDefault="00000000">
            <w:pPr>
              <w:cnfStyle w:val="000000000000" w:firstRow="0" w:lastRow="0" w:firstColumn="0" w:lastColumn="0" w:oddVBand="0" w:evenVBand="0" w:oddHBand="0" w:evenHBand="0" w:firstRowFirstColumn="0" w:firstRowLastColumn="0" w:lastRowFirstColumn="0" w:lastRowLastColumn="0"/>
            </w:pPr>
            <w:r>
              <w:t>Forward-looking inflation coefficient</w:t>
            </w:r>
          </w:p>
        </w:tc>
      </w:tr>
      <w:tr w:rsidR="00181F76" w14:paraId="66A13D51" w14:textId="77777777" w:rsidTr="0018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76BBF8CC" w14:textId="77777777" w:rsidR="00181F76" w:rsidRDefault="00000000">
            <w:r>
              <w:t>γ</w:t>
            </w:r>
          </w:p>
        </w:tc>
        <w:tc>
          <w:tcPr>
            <w:tcW w:w="3216" w:type="dxa"/>
          </w:tcPr>
          <w:p w14:paraId="24449602" w14:textId="77777777" w:rsidR="00181F76" w:rsidRDefault="00000000">
            <w:pPr>
              <w:cnfStyle w:val="000000100000" w:firstRow="0" w:lastRow="0" w:firstColumn="0" w:lastColumn="0" w:oddVBand="0" w:evenVBand="0" w:oddHBand="1" w:evenHBand="0" w:firstRowFirstColumn="0" w:firstRowLastColumn="0" w:lastRowFirstColumn="0" w:lastRowLastColumn="0"/>
            </w:pPr>
            <w:r>
              <w:t>−0.08 (−0.0822 in one version)</w:t>
            </w:r>
          </w:p>
        </w:tc>
        <w:tc>
          <w:tcPr>
            <w:tcW w:w="3216" w:type="dxa"/>
          </w:tcPr>
          <w:p w14:paraId="763B93C7" w14:textId="77777777" w:rsidR="00181F76" w:rsidRDefault="00000000">
            <w:pPr>
              <w:cnfStyle w:val="000000100000" w:firstRow="0" w:lastRow="0" w:firstColumn="0" w:lastColumn="0" w:oddVBand="0" w:evenVBand="0" w:oddHBand="1" w:evenHBand="0" w:firstRowFirstColumn="0" w:firstRowLastColumn="0" w:lastRowFirstColumn="0" w:lastRowLastColumn="0"/>
            </w:pPr>
            <w:r>
              <w:t>Phillips-curve output-gap coefficient</w:t>
            </w:r>
          </w:p>
        </w:tc>
      </w:tr>
      <w:tr w:rsidR="00181F76" w14:paraId="7819E09A" w14:textId="77777777" w:rsidTr="00181F76">
        <w:tc>
          <w:tcPr>
            <w:cnfStyle w:val="001000000000" w:firstRow="0" w:lastRow="0" w:firstColumn="1" w:lastColumn="0" w:oddVBand="0" w:evenVBand="0" w:oddHBand="0" w:evenHBand="0" w:firstRowFirstColumn="0" w:firstRowLastColumn="0" w:lastRowFirstColumn="0" w:lastRowLastColumn="0"/>
            <w:tcW w:w="3216" w:type="dxa"/>
          </w:tcPr>
          <w:p w14:paraId="52BA285D" w14:textId="77777777" w:rsidR="00181F76" w:rsidRDefault="00000000">
            <w:r>
              <w:t>σ</w:t>
            </w:r>
          </w:p>
        </w:tc>
        <w:tc>
          <w:tcPr>
            <w:tcW w:w="3216" w:type="dxa"/>
          </w:tcPr>
          <w:p w14:paraId="4AAB4CC1" w14:textId="77777777" w:rsidR="00181F76" w:rsidRDefault="00000000">
            <w:pPr>
              <w:cnfStyle w:val="000000000000" w:firstRow="0" w:lastRow="0" w:firstColumn="0" w:lastColumn="0" w:oddVBand="0" w:evenVBand="0" w:oddHBand="0" w:evenHBand="0" w:firstRowFirstColumn="0" w:firstRowLastColumn="0" w:lastRowFirstColumn="0" w:lastRowLastColumn="0"/>
            </w:pPr>
            <w:r>
              <w:t>1.0</w:t>
            </w:r>
          </w:p>
        </w:tc>
        <w:tc>
          <w:tcPr>
            <w:tcW w:w="3216" w:type="dxa"/>
          </w:tcPr>
          <w:p w14:paraId="28AC6134" w14:textId="77777777" w:rsidR="00181F76" w:rsidRDefault="00000000">
            <w:pPr>
              <w:cnfStyle w:val="000000000000" w:firstRow="0" w:lastRow="0" w:firstColumn="0" w:lastColumn="0" w:oddVBand="0" w:evenVBand="0" w:oddHBand="0" w:evenHBand="0" w:firstRowFirstColumn="0" w:firstRowLastColumn="0" w:lastRowFirstColumn="0" w:lastRowLastColumn="0"/>
            </w:pPr>
            <w:r>
              <w:t>IS-curve scale parameter</w:t>
            </w:r>
          </w:p>
        </w:tc>
      </w:tr>
      <w:tr w:rsidR="00181F76" w14:paraId="3F01A0B9" w14:textId="77777777" w:rsidTr="0018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13CA768C" w14:textId="77777777" w:rsidR="00181F76" w:rsidRDefault="00000000">
            <w:r>
              <w:t>ω</w:t>
            </w:r>
          </w:p>
        </w:tc>
        <w:tc>
          <w:tcPr>
            <w:tcW w:w="3216" w:type="dxa"/>
          </w:tcPr>
          <w:p w14:paraId="5932A369" w14:textId="77777777" w:rsidR="00181F76" w:rsidRDefault="00000000">
            <w:pPr>
              <w:cnfStyle w:val="000000100000" w:firstRow="0" w:lastRow="0" w:firstColumn="0" w:lastColumn="0" w:oddVBand="0" w:evenVBand="0" w:oddHBand="1" w:evenHBand="0" w:firstRowFirstColumn="0" w:firstRowLastColumn="0" w:lastRowFirstColumn="0" w:lastRowLastColumn="0"/>
            </w:pPr>
            <w:r>
              <w:t>0.5</w:t>
            </w:r>
          </w:p>
        </w:tc>
        <w:tc>
          <w:tcPr>
            <w:tcW w:w="3216" w:type="dxa"/>
          </w:tcPr>
          <w:p w14:paraId="06B3E916" w14:textId="77777777" w:rsidR="00181F76" w:rsidRDefault="00000000">
            <w:pPr>
              <w:cnfStyle w:val="000000100000" w:firstRow="0" w:lastRow="0" w:firstColumn="0" w:lastColumn="0" w:oddVBand="0" w:evenVBand="0" w:oddHBand="1" w:evenHBand="0" w:firstRowFirstColumn="0" w:firstRowLastColumn="0" w:lastRowFirstColumn="0" w:lastRowLastColumn="0"/>
            </w:pPr>
            <w:r>
              <w:t>Output-gap loss weight</w:t>
            </w:r>
          </w:p>
        </w:tc>
      </w:tr>
      <w:tr w:rsidR="00181F76" w14:paraId="796DCC37" w14:textId="77777777" w:rsidTr="00181F76">
        <w:tc>
          <w:tcPr>
            <w:cnfStyle w:val="001000000000" w:firstRow="0" w:lastRow="0" w:firstColumn="1" w:lastColumn="0" w:oddVBand="0" w:evenVBand="0" w:oddHBand="0" w:evenHBand="0" w:firstRowFirstColumn="0" w:firstRowLastColumn="0" w:lastRowFirstColumn="0" w:lastRowLastColumn="0"/>
            <w:tcW w:w="3216" w:type="dxa"/>
          </w:tcPr>
          <w:p w14:paraId="3C7FA7BC" w14:textId="77777777" w:rsidR="00181F76" w:rsidRDefault="00000000">
            <w:r>
              <w:t>λ</w:t>
            </w:r>
          </w:p>
        </w:tc>
        <w:tc>
          <w:tcPr>
            <w:tcW w:w="3216" w:type="dxa"/>
          </w:tcPr>
          <w:p w14:paraId="08529890" w14:textId="77777777" w:rsidR="00181F76" w:rsidRDefault="00000000">
            <w:pPr>
              <w:cnfStyle w:val="000000000000" w:firstRow="0" w:lastRow="0" w:firstColumn="0" w:lastColumn="0" w:oddVBand="0" w:evenVBand="0" w:oddHBand="0" w:evenHBand="0" w:firstRowFirstColumn="0" w:firstRowLastColumn="0" w:lastRowFirstColumn="0" w:lastRowLastColumn="0"/>
            </w:pPr>
            <w:r>
              <w:t>0.1</w:t>
            </w:r>
          </w:p>
        </w:tc>
        <w:tc>
          <w:tcPr>
            <w:tcW w:w="3216" w:type="dxa"/>
          </w:tcPr>
          <w:p w14:paraId="63B387CE" w14:textId="77777777" w:rsidR="00181F76" w:rsidRDefault="00000000">
            <w:pPr>
              <w:cnfStyle w:val="000000000000" w:firstRow="0" w:lastRow="0" w:firstColumn="0" w:lastColumn="0" w:oddVBand="0" w:evenVBand="0" w:oddHBand="0" w:evenHBand="0" w:firstRowFirstColumn="0" w:firstRowLastColumn="0" w:lastRowFirstColumn="0" w:lastRowLastColumn="0"/>
            </w:pPr>
            <w:r>
              <w:t>Interest-rate-change penalty</w:t>
            </w:r>
          </w:p>
        </w:tc>
      </w:tr>
      <w:tr w:rsidR="00181F76" w14:paraId="646B9200" w14:textId="77777777" w:rsidTr="0018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044046C8" w14:textId="77777777" w:rsidR="00181F76" w:rsidRDefault="00000000">
            <w:r>
              <w:t>ρᵤ</w:t>
            </w:r>
          </w:p>
        </w:tc>
        <w:tc>
          <w:tcPr>
            <w:tcW w:w="3216" w:type="dxa"/>
          </w:tcPr>
          <w:p w14:paraId="30E8103E" w14:textId="77777777" w:rsidR="00181F76" w:rsidRDefault="00000000">
            <w:pPr>
              <w:cnfStyle w:val="000000100000" w:firstRow="0" w:lastRow="0" w:firstColumn="0" w:lastColumn="0" w:oddVBand="0" w:evenVBand="0" w:oddHBand="1" w:evenHBand="0" w:firstRowFirstColumn="0" w:firstRowLastColumn="0" w:lastRowFirstColumn="0" w:lastRowLastColumn="0"/>
            </w:pPr>
            <w:r>
              <w:t>0.8</w:t>
            </w:r>
          </w:p>
        </w:tc>
        <w:tc>
          <w:tcPr>
            <w:tcW w:w="3216" w:type="dxa"/>
          </w:tcPr>
          <w:p w14:paraId="51C3ED18" w14:textId="77777777" w:rsidR="00181F76" w:rsidRDefault="00000000">
            <w:pPr>
              <w:cnfStyle w:val="000000100000" w:firstRow="0" w:lastRow="0" w:firstColumn="0" w:lastColumn="0" w:oddVBand="0" w:evenVBand="0" w:oddHBand="1" w:evenHBand="0" w:firstRowFirstColumn="0" w:firstRowLastColumn="0" w:lastRowFirstColumn="0" w:lastRowLastColumn="0"/>
            </w:pPr>
            <w:r>
              <w:t>Shock persistence</w:t>
            </w:r>
          </w:p>
        </w:tc>
      </w:tr>
      <w:tr w:rsidR="00181F76" w14:paraId="3CB0212E" w14:textId="77777777" w:rsidTr="00181F76">
        <w:tc>
          <w:tcPr>
            <w:cnfStyle w:val="001000000000" w:firstRow="0" w:lastRow="0" w:firstColumn="1" w:lastColumn="0" w:oddVBand="0" w:evenVBand="0" w:oddHBand="0" w:evenHBand="0" w:firstRowFirstColumn="0" w:firstRowLastColumn="0" w:lastRowFirstColumn="0" w:lastRowLastColumn="0"/>
            <w:tcW w:w="3216" w:type="dxa"/>
          </w:tcPr>
          <w:p w14:paraId="0DCCF381" w14:textId="77777777" w:rsidR="00181F76" w:rsidRDefault="00000000">
            <w:r>
              <w:t>φπ, φx</w:t>
            </w:r>
          </w:p>
        </w:tc>
        <w:tc>
          <w:tcPr>
            <w:tcW w:w="3216" w:type="dxa"/>
          </w:tcPr>
          <w:p w14:paraId="0AA645C0" w14:textId="77777777" w:rsidR="00181F76" w:rsidRDefault="00000000">
            <w:pPr>
              <w:cnfStyle w:val="000000000000" w:firstRow="0" w:lastRow="0" w:firstColumn="0" w:lastColumn="0" w:oddVBand="0" w:evenVBand="0" w:oddHBand="0" w:evenHBand="0" w:firstRowFirstColumn="0" w:firstRowLastColumn="0" w:lastRowFirstColumn="0" w:lastRowLastColumn="0"/>
            </w:pPr>
            <w:r>
              <w:t>1.5, 0.5</w:t>
            </w:r>
          </w:p>
        </w:tc>
        <w:tc>
          <w:tcPr>
            <w:tcW w:w="3216" w:type="dxa"/>
          </w:tcPr>
          <w:p w14:paraId="27CE9ED5" w14:textId="77777777" w:rsidR="00181F76" w:rsidRDefault="00000000">
            <w:pPr>
              <w:cnfStyle w:val="000000000000" w:firstRow="0" w:lastRow="0" w:firstColumn="0" w:lastColumn="0" w:oddVBand="0" w:evenVBand="0" w:oddHBand="0" w:evenHBand="0" w:firstRowFirstColumn="0" w:firstRowLastColumn="0" w:lastRowFirstColumn="0" w:lastRowLastColumn="0"/>
            </w:pPr>
            <w:r>
              <w:t>Taylor-rule response coefficients</w:t>
            </w:r>
          </w:p>
        </w:tc>
      </w:tr>
      <w:tr w:rsidR="00181F76" w14:paraId="585A63F8" w14:textId="77777777" w:rsidTr="0018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4BF5A658" w14:textId="77777777" w:rsidR="00181F76" w:rsidRDefault="00000000">
            <w:r>
              <w:t>i bounds</w:t>
            </w:r>
          </w:p>
        </w:tc>
        <w:tc>
          <w:tcPr>
            <w:tcW w:w="3216" w:type="dxa"/>
          </w:tcPr>
          <w:p w14:paraId="29FB667F" w14:textId="77777777" w:rsidR="00181F76" w:rsidRDefault="00000000">
            <w:pPr>
              <w:cnfStyle w:val="000000100000" w:firstRow="0" w:lastRow="0" w:firstColumn="0" w:lastColumn="0" w:oddVBand="0" w:evenVBand="0" w:oddHBand="1" w:evenHBand="0" w:firstRowFirstColumn="0" w:firstRowLastColumn="0" w:lastRowFirstColumn="0" w:lastRowLastColumn="0"/>
            </w:pPr>
            <w:r>
              <w:t>0 to 10 percent</w:t>
            </w:r>
          </w:p>
        </w:tc>
        <w:tc>
          <w:tcPr>
            <w:tcW w:w="3216" w:type="dxa"/>
          </w:tcPr>
          <w:p w14:paraId="2C97D886" w14:textId="77777777" w:rsidR="00181F76" w:rsidRDefault="00000000">
            <w:pPr>
              <w:cnfStyle w:val="000000100000" w:firstRow="0" w:lastRow="0" w:firstColumn="0" w:lastColumn="0" w:oddVBand="0" w:evenVBand="0" w:oddHBand="1" w:evenHBand="0" w:firstRowFirstColumn="0" w:firstRowLastColumn="0" w:lastRowFirstColumn="0" w:lastRowLastColumn="0"/>
            </w:pPr>
            <w:r>
              <w:t>Nominal interest-rate bounds</w:t>
            </w:r>
          </w:p>
        </w:tc>
      </w:tr>
      <w:tr w:rsidR="00181F76" w14:paraId="4B24E9BC" w14:textId="77777777" w:rsidTr="00181F76">
        <w:tc>
          <w:tcPr>
            <w:cnfStyle w:val="001000000000" w:firstRow="0" w:lastRow="0" w:firstColumn="1" w:lastColumn="0" w:oddVBand="0" w:evenVBand="0" w:oddHBand="0" w:evenHBand="0" w:firstRowFirstColumn="0" w:firstRowLastColumn="0" w:lastRowFirstColumn="0" w:lastRowLastColumn="0"/>
            <w:tcW w:w="3216" w:type="dxa"/>
          </w:tcPr>
          <w:p w14:paraId="1EBA1263" w14:textId="77777777" w:rsidR="00181F76" w:rsidRDefault="00000000">
            <w:r>
              <w:t>N</w:t>
            </w:r>
          </w:p>
        </w:tc>
        <w:tc>
          <w:tcPr>
            <w:tcW w:w="3216" w:type="dxa"/>
          </w:tcPr>
          <w:p w14:paraId="63602C04" w14:textId="77777777" w:rsidR="00181F76" w:rsidRDefault="00000000">
            <w:pPr>
              <w:cnfStyle w:val="000000000000" w:firstRow="0" w:lastRow="0" w:firstColumn="0" w:lastColumn="0" w:oddVBand="0" w:evenVBand="0" w:oddHBand="0" w:evenHBand="0" w:firstRowFirstColumn="0" w:firstRowLastColumn="0" w:lastRowFirstColumn="0" w:lastRowLastColumn="0"/>
            </w:pPr>
            <w:r>
              <w:t>100</w:t>
            </w:r>
          </w:p>
        </w:tc>
        <w:tc>
          <w:tcPr>
            <w:tcW w:w="3216" w:type="dxa"/>
          </w:tcPr>
          <w:p w14:paraId="7B857D4D" w14:textId="77777777" w:rsidR="00181F76" w:rsidRDefault="00000000">
            <w:pPr>
              <w:cnfStyle w:val="000000000000" w:firstRow="0" w:lastRow="0" w:firstColumn="0" w:lastColumn="0" w:oddVBand="0" w:evenVBand="0" w:oddHBand="0" w:evenHBand="0" w:firstRowFirstColumn="0" w:firstRowLastColumn="0" w:lastRowFirstColumn="0" w:lastRowLastColumn="0"/>
            </w:pPr>
            <w:r>
              <w:t>Monte Carlo trials</w:t>
            </w:r>
          </w:p>
        </w:tc>
      </w:tr>
      <w:tr w:rsidR="00181F76" w14:paraId="4B984125" w14:textId="77777777" w:rsidTr="00181F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6" w:type="dxa"/>
          </w:tcPr>
          <w:p w14:paraId="6227A763" w14:textId="77777777" w:rsidR="00181F76" w:rsidRDefault="00000000">
            <w:r>
              <w:t>Innovation SD</w:t>
            </w:r>
          </w:p>
        </w:tc>
        <w:tc>
          <w:tcPr>
            <w:tcW w:w="3216" w:type="dxa"/>
          </w:tcPr>
          <w:p w14:paraId="264D75DB" w14:textId="77777777" w:rsidR="00181F76" w:rsidRDefault="00000000">
            <w:pPr>
              <w:cnfStyle w:val="000000100000" w:firstRow="0" w:lastRow="0" w:firstColumn="0" w:lastColumn="0" w:oddVBand="0" w:evenVBand="0" w:oddHBand="1" w:evenHBand="0" w:firstRowFirstColumn="0" w:firstRowLastColumn="0" w:lastRowFirstColumn="0" w:lastRowLastColumn="0"/>
            </w:pPr>
            <w:r>
              <w:t>0.79</w:t>
            </w:r>
          </w:p>
        </w:tc>
        <w:tc>
          <w:tcPr>
            <w:tcW w:w="3216" w:type="dxa"/>
          </w:tcPr>
          <w:p w14:paraId="04AF13D3" w14:textId="77777777" w:rsidR="00181F76" w:rsidRDefault="00000000">
            <w:pPr>
              <w:cnfStyle w:val="000000100000" w:firstRow="0" w:lastRow="0" w:firstColumn="0" w:lastColumn="0" w:oddVBand="0" w:evenVBand="0" w:oddHBand="1" w:evenHBand="0" w:firstRowFirstColumn="0" w:firstRowLastColumn="0" w:lastRowFirstColumn="0" w:lastRowLastColumn="0"/>
            </w:pPr>
            <w:r>
              <w:t>Standard deviation of random shocks</w:t>
            </w:r>
          </w:p>
        </w:tc>
      </w:tr>
    </w:tbl>
    <w:p w14:paraId="2B080AD3" w14:textId="77777777" w:rsidR="00181F76" w:rsidRDefault="00000000">
      <w:pPr>
        <w:pStyle w:val="Heading1"/>
      </w:pPr>
      <w:r>
        <w:t>Appendix B. Reproducibility and Finalization Checklist</w:t>
      </w:r>
    </w:p>
    <w:p w14:paraId="6E940715" w14:textId="77777777" w:rsidR="00181F76" w:rsidRDefault="00000000">
      <w:pPr>
        <w:pStyle w:val="ListBullet"/>
      </w:pPr>
      <w:r>
        <w:t>Run the final deterministic, one-shock Monte Carlo, and two-shock Monte Carlo scripts.</w:t>
      </w:r>
    </w:p>
    <w:p w14:paraId="3FE0A6F1" w14:textId="77777777" w:rsidR="00181F76" w:rsidRDefault="00000000">
      <w:pPr>
        <w:pStyle w:val="ListBullet"/>
      </w:pPr>
      <w:r>
        <w:t>Record solver termination statuses and confirm that all trials produce valid solutions.</w:t>
      </w:r>
    </w:p>
    <w:p w14:paraId="28713E33" w14:textId="77777777" w:rsidR="00181F76" w:rsidRDefault="00000000">
      <w:pPr>
        <w:pStyle w:val="ListBullet"/>
      </w:pPr>
      <w:r>
        <w:t>Insert actual loss values, loss-reduction percentages, and standard deviations in the Results section.</w:t>
      </w:r>
    </w:p>
    <w:p w14:paraId="1B6BEB6B" w14:textId="77777777" w:rsidR="00181F76" w:rsidRDefault="00000000">
      <w:pPr>
        <w:pStyle w:val="ListBullet"/>
      </w:pPr>
      <w:r>
        <w:t>Export and insert the figures from the same final code version used to generate the reported statistics.</w:t>
      </w:r>
    </w:p>
    <w:p w14:paraId="163326E3" w14:textId="77777777" w:rsidR="00181F76" w:rsidRDefault="00000000">
      <w:pPr>
        <w:pStyle w:val="ListBullet"/>
      </w:pPr>
      <w:r>
        <w:t>Check parameter consistency across model versions and state clearly which calibration produced each result.</w:t>
      </w:r>
    </w:p>
    <w:p w14:paraId="4367A316" w14:textId="77777777" w:rsidR="00181F76" w:rsidRDefault="00000000">
      <w:pPr>
        <w:pStyle w:val="ListBullet"/>
      </w:pPr>
      <w:r>
        <w:t>Add relevant academic references and any required application-specific formatting.</w:t>
      </w:r>
    </w:p>
    <w:sectPr w:rsidR="00181F76" w:rsidSect="00034616">
      <w:footerReference w:type="default" r:id="rId8"/>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CCFB6" w14:textId="77777777" w:rsidR="00CD715B" w:rsidRDefault="00CD715B">
      <w:pPr>
        <w:spacing w:after="0" w:line="240" w:lineRule="auto"/>
      </w:pPr>
      <w:r>
        <w:separator/>
      </w:r>
    </w:p>
  </w:endnote>
  <w:endnote w:type="continuationSeparator" w:id="0">
    <w:p w14:paraId="626A8CC8" w14:textId="77777777" w:rsidR="00CD715B" w:rsidRDefault="00CD71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AA26B" w14:textId="77777777" w:rsidR="00181F76" w:rsidRDefault="00000000">
    <w:pPr>
      <w:pStyle w:val="Footer"/>
      <w:jc w:val="center"/>
    </w:pPr>
    <w:r>
      <w:t xml:space="preserve">Optimal Monetary Policy | </w:t>
    </w:r>
    <w:r>
      <w:fldChar w:fldCharType="begin"/>
    </w:r>
    <w:r>
      <w:instrText>PAGE</w:instrText>
    </w:r>
    <w:r>
      <w:fldChar w:fldCharType="separate"/>
    </w:r>
    <w:r w:rsidR="00F567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3CC70" w14:textId="77777777" w:rsidR="00CD715B" w:rsidRDefault="00CD715B">
      <w:pPr>
        <w:spacing w:after="0" w:line="240" w:lineRule="auto"/>
      </w:pPr>
      <w:r>
        <w:separator/>
      </w:r>
    </w:p>
  </w:footnote>
  <w:footnote w:type="continuationSeparator" w:id="0">
    <w:p w14:paraId="60086E0F" w14:textId="77777777" w:rsidR="00CD715B" w:rsidRDefault="00CD71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5156827">
    <w:abstractNumId w:val="8"/>
  </w:num>
  <w:num w:numId="2" w16cid:durableId="1529566645">
    <w:abstractNumId w:val="6"/>
  </w:num>
  <w:num w:numId="3" w16cid:durableId="1821581923">
    <w:abstractNumId w:val="5"/>
  </w:num>
  <w:num w:numId="4" w16cid:durableId="1263535767">
    <w:abstractNumId w:val="4"/>
  </w:num>
  <w:num w:numId="5" w16cid:durableId="482359728">
    <w:abstractNumId w:val="7"/>
  </w:num>
  <w:num w:numId="6" w16cid:durableId="862207213">
    <w:abstractNumId w:val="3"/>
  </w:num>
  <w:num w:numId="7" w16cid:durableId="363485783">
    <w:abstractNumId w:val="2"/>
  </w:num>
  <w:num w:numId="8" w16cid:durableId="2099713237">
    <w:abstractNumId w:val="1"/>
  </w:num>
  <w:num w:numId="9" w16cid:durableId="493958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1F76"/>
    <w:rsid w:val="0029639D"/>
    <w:rsid w:val="00326F90"/>
    <w:rsid w:val="00AA1D8D"/>
    <w:rsid w:val="00B47730"/>
    <w:rsid w:val="00CB0664"/>
    <w:rsid w:val="00CD715B"/>
    <w:rsid w:val="00D870A8"/>
    <w:rsid w:val="00F567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5740A"/>
  <w14:defaultImageDpi w14:val="300"/>
  <w15:docId w15:val="{FD38ED07-B2CD-4F4D-A8F0-582C09953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2266</Words>
  <Characters>12918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Zakareya Chehime</cp:lastModifiedBy>
  <cp:revision>2</cp:revision>
  <cp:lastPrinted>2026-10-25T20:00:00Z</cp:lastPrinted>
  <dcterms:created xsi:type="dcterms:W3CDTF">2013-12-23T23:15:00Z</dcterms:created>
  <dcterms:modified xsi:type="dcterms:W3CDTF">2026-10-25T20:00:00Z</dcterms:modified>
  <cp:category/>
</cp:coreProperties>
</file>