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b/>
          <w:bCs/>
          <w:color w:val="1F3A5F"/>
          <w:sz w:val="30"/>
          <w:szCs w:val="30"/>
        </w:rPr>
        <w:t xml:space="preserve">Uddom Public School</w:t>
      </w:r>
    </w:p>
    <w:p>
      <w:pPr>
        <w:spacing w:after="200"/>
        <w:jc w:val="center"/>
      </w:pPr>
      <w:r>
        <w:rPr>
          <w:b/>
          <w:bCs/>
          <w:color w:val="1F3A5F"/>
          <w:sz w:val="56"/>
          <w:szCs w:val="56"/>
        </w:rPr>
        <w:t xml:space="preserve">Public Website Feature Inventory</w:t>
      </w:r>
    </w:p>
    <w:p>
      <w:pPr>
        <w:spacing w:after="600"/>
        <w:jc w:val="center"/>
      </w:pPr>
      <w:r>
        <w:rPr>
          <w:color w:val="666666"/>
          <w:sz w:val="28"/>
          <w:szCs w:val="28"/>
        </w:rPr>
        <w:t xml:space="preserve">UI/UX Redesign Reference Document</w:t>
      </w:r>
    </w:p>
    <w:p>
      <w:pPr>
        <w:spacing w:after="100"/>
        <w:jc w:val="center"/>
      </w:pPr>
      <w:r>
        <w:rPr>
          <w:sz w:val="22"/>
          <w:szCs w:val="22"/>
        </w:rPr>
        <w:t xml:space="preserve">Education_Institution / Uddom_Public_School — the public-facing school website</w:t>
      </w:r>
    </w:p>
    <w:p>
      <w:pPr>
        <w:spacing w:after="2400"/>
        <w:jc w:val="center"/>
      </w:pPr>
      <w:r>
        <w:rPr>
          <w:color w:val="666666"/>
          <w:sz w:val="20"/>
          <w:szCs w:val="20"/>
        </w:rPr>
        <w:t xml:space="preserve">Prepared July 2026</w:t>
      </w:r>
    </w:p>
    <w:p>
      <w:pPr>
        <w:pageBreakBefore/>
      </w:pPr>
      <w:r>
        <w:t xml:space="preserve"/>
      </w:r>
    </w:p>
    <w:p>
      <w:pPr>
        <w:pStyle w:val="Heading1"/>
        <w:spacing w:after="200" w:before="400"/>
      </w:pPr>
      <w:r>
        <w:t xml:space="preserve">1. Purpose of This Document</w:t>
      </w:r>
    </w:p>
    <w:p>
      <w:pPr>
        <w:spacing w:after="160"/>
      </w:pPr>
      <w:r>
        <w:t xml:space="preserve">This is a complete, code-verified inventory of every page and content section on the school's public website, prepared as a briefing reference for an experienced UI/UX designer leading its redesign.</w:t>
      </w:r>
    </w:p>
    <w:p>
      <w:pPr>
        <w:spacing w:after="160"/>
      </w:pPr>
      <w:r>
        <w:t xml:space="preserve">The site is the public-facing companion to a separate CMS/Dashboard application documented previously: every piece of content here (notices, events, staff, galleries, settings, and more) is authored there and simply rendered here. That relationship matters for the redesign — this site has no forms, accounts, or admin controls of its own; its entire job is to present CMS content clearly, reliably, and (per the site's own regulatory content) in compliance with DSHE (Bangladesh's Directorate of Secondary and Higher Education) public-disclosure requirements.</w:t>
      </w:r>
    </w:p>
    <w:p>
      <w:pPr>
        <w:pStyle w:val="Heading1"/>
        <w:spacing w:after="200" w:before="400"/>
      </w:pPr>
      <w:r>
        <w:t xml:space="preserve">2. Tech Stack Snapshot</w:t>
      </w:r>
    </w:p>
    <w:p>
      <w:pPr>
        <w:pStyle w:val="ListParagraph"/>
        <w:numPr>
          <w:ilvl w:val="0"/>
          <w:numId w:val="1"/>
        </w:numPr>
        <w:spacing w:after="80"/>
      </w:pPr>
      <w:r>
        <w:t xml:space="preserve">Framework: Next.js 16 (App Router) + React 19.2, TypeScript, server components throughout (every page is an async server component that fetches its own data — no client-side data fetching).</w:t>
      </w:r>
    </w:p>
    <w:p>
      <w:pPr>
        <w:pStyle w:val="ListParagraph"/>
        <w:numPr>
          <w:ilvl w:val="0"/>
          <w:numId w:val="1"/>
        </w:numPr>
        <w:spacing w:after="80"/>
      </w:pPr>
      <w:r>
        <w:t xml:space="preserve">Styling: Tailwind CSS 4, fully token-driven — a custom type scale (H1/H2/H3/Text components wrapping text-h1/text-h2/text-body tokens) and a 4-token brand palette (--brand, --brand-foreground, --brand-hover, --brand-subtle) rather than ad-hoc utility sizes/colors.</w:t>
      </w:r>
    </w:p>
    <w:p>
      <w:pPr>
        <w:pStyle w:val="ListParagraph"/>
        <w:numPr>
          <w:ilvl w:val="0"/>
          <w:numId w:val="1"/>
        </w:numPr>
        <w:spacing w:after="80"/>
      </w:pPr>
      <w:r>
        <w:t xml:space="preserve">Component primitives: @base-ui/react + shadcn (button, card, badge, separator, skeleton).</w:t>
      </w:r>
    </w:p>
    <w:p>
      <w:pPr>
        <w:pStyle w:val="ListParagraph"/>
        <w:numPr>
          <w:ilvl w:val="0"/>
          <w:numId w:val="1"/>
        </w:numPr>
        <w:spacing w:after="80"/>
      </w:pPr>
      <w:r>
        <w:t xml:space="preserve">Data source: no direct database access — every page reads through a single lib/api.ts module that calls the Dashboard app's REST API (/api/banners, /api/notices, etc.) over HTTP.</w:t>
      </w:r>
    </w:p>
    <w:p>
      <w:pPr>
        <w:pStyle w:val="ListParagraph"/>
        <w:numPr>
          <w:ilvl w:val="0"/>
          <w:numId w:val="1"/>
        </w:numPr>
        <w:spacing w:after="80"/>
      </w:pPr>
      <w:r>
        <w:t xml:space="preserve">No client-side state library — the only client component in the app is the header (for the mobile menu and dropdown open state); everything else renders on the server.</w:t>
      </w:r>
    </w:p>
    <w:p>
      <w:pPr>
        <w:pStyle w:val="Heading1"/>
        <w:spacing w:after="200" w:before="400"/>
      </w:pPr>
      <w:r>
        <w:t xml:space="preserve">3. Content &amp; Resilience Architecture</w:t>
      </w:r>
    </w:p>
    <w:p>
      <w:pPr>
        <w:spacing w:after="160"/>
      </w:pPr>
      <w:r>
        <w:t xml:space="preserve">Two things about how this site gets its content are important context for design decisions:</w:t>
      </w:r>
    </w:p>
    <w:p>
      <w:pPr>
        <w:pStyle w:val="Heading2"/>
        <w:spacing w:after="140" w:before="280"/>
      </w:pPr>
      <w:r>
        <w:t xml:space="preserve">3.1 Everything is CMS-driven</w:t>
      </w:r>
    </w:p>
    <w:p>
      <w:pPr>
        <w:spacing w:after="160"/>
      </w:pPr>
      <w:r>
        <w:t xml:space="preserve">There is no hardcoded copy for anything content-like — school name, notices, staff, galleries, mission/vision, contact details, even the brand accent colour all come from the Dashboard CMS at request time. A redesign should assume every text block, image, and list on every page is variable-length, sometimes-empty content, not fixed copy to design around.</w:t>
      </w:r>
    </w:p>
    <w:p>
      <w:pPr>
        <w:pStyle w:val="Heading2"/>
        <w:spacing w:after="140" w:before="280"/>
      </w:pPr>
      <w:r>
        <w:t xml:space="preserve">3.2 The site never shows a broken page</w:t>
      </w:r>
    </w:p>
    <w:p>
      <w:pPr>
        <w:spacing w:after="160"/>
      </w:pPr>
      <w:r>
        <w:t xml:space="preserve">Every read goes through a wrapper that gives the CMS API 5 seconds to respond; if it's down, slow, errors, or a content type simply has nothing published yet, the page silently renders bundled placeholder/sample content instead of an empty section or an error. This is deliberate and used everywhere — but the API layer's own "this is fallback content" flag (isFallback) is never surfaced anywhere in the UI, so today a visitor cannot tell real content from placeholder content. Worth a deliberate design decision either way (Section 8).</w:t>
      </w:r>
    </w:p>
    <w:p>
      <w:pPr>
        <w:pStyle w:val="Heading1"/>
        <w:spacing w:after="200" w:before="400"/>
      </w:pPr>
      <w:r>
        <w:t xml:space="preserve">4. Global Layout &amp; Navigation</w:t>
      </w:r>
    </w:p>
    <w:p>
      <w:pPr>
        <w:pStyle w:val="Heading2"/>
        <w:spacing w:after="140" w:before="280"/>
      </w:pPr>
      <w:r>
        <w:t xml:space="preserve">4.1 Header</w:t>
      </w:r>
    </w:p>
    <w:p>
      <w:pPr>
        <w:pStyle w:val="ListParagraph"/>
        <w:numPr>
          <w:ilvl w:val="0"/>
          <w:numId w:val="1"/>
        </w:numPr>
        <w:spacing w:after="80"/>
      </w:pPr>
      <w:r>
        <w:t xml:space="preserve">Sticky, blurred-background header with the school's logo/initials badge (or uploaded logo), site name, and tagline — all CMS-driven.</w:t>
      </w:r>
    </w:p>
    <w:p>
      <w:pPr>
        <w:pStyle w:val="ListParagraph"/>
        <w:numPr>
          <w:ilvl w:val="0"/>
          <w:numId w:val="1"/>
        </w:numPr>
        <w:spacing w:after="80"/>
      </w:pPr>
      <w:r>
        <w:t xml:space="preserve">Desktop nav: 7 top-level items. Four are direct links (Home, Notices, Events, Contact); three are hover/click dropdowns grouping related pages — "Institution" (About, Administration, Institution Info), "Academics" (Routine &amp; Syllabus, School Dress), "People" (Teachers &amp; Staff, Alumni), "Media" (Photo Gallery, Video Gallery).</w:t>
      </w:r>
    </w:p>
    <w:p>
      <w:pPr>
        <w:pStyle w:val="ListParagraph"/>
        <w:numPr>
          <w:ilvl w:val="0"/>
          <w:numId w:val="1"/>
        </w:numPr>
        <w:spacing w:after="80"/>
      </w:pPr>
      <w:r>
        <w:t xml:space="preserve">Dropdowns close on outside click, Escape, or route change; active route/group is highlighted.</w:t>
      </w:r>
    </w:p>
    <w:p>
      <w:pPr>
        <w:pStyle w:val="ListParagraph"/>
        <w:numPr>
          <w:ilvl w:val="0"/>
          <w:numId w:val="1"/>
        </w:numPr>
        <w:spacing w:after="80"/>
      </w:pPr>
      <w:r>
        <w:t xml:space="preserve">Mobile: hamburger toggle reveals a full-width stacked menu with the same grouping, group labels rendered as section headings rather than dropdowns.</w:t>
      </w:r>
    </w:p>
    <w:p>
      <w:pPr>
        <w:pStyle w:val="Heading2"/>
        <w:spacing w:after="140" w:before="280"/>
      </w:pPr>
      <w:r>
        <w:t xml:space="preserve">4.2 Footer</w:t>
      </w:r>
    </w:p>
    <w:p>
      <w:pPr>
        <w:pStyle w:val="ListParagraph"/>
        <w:numPr>
          <w:ilvl w:val="0"/>
          <w:numId w:val="1"/>
        </w:numPr>
        <w:spacing w:after="80"/>
      </w:pPr>
      <w:r>
        <w:t xml:space="preserve">Four columns: school identity + established year; quick links (6 curated internal pages); CMS-managed "Useful links" (government/board/service links, hidden entirely if none are published); contact block (address, phone, email, office hours) plus social icons (Facebook/YouTube/LinkedIn/Instagram, each hidden individually if not set).</w:t>
      </w:r>
    </w:p>
    <w:p>
      <w:pPr>
        <w:pStyle w:val="ListParagraph"/>
        <w:numPr>
          <w:ilvl w:val="0"/>
          <w:numId w:val="1"/>
        </w:numPr>
        <w:spacing w:after="80"/>
      </w:pPr>
      <w:r>
        <w:t xml:space="preserve">Copyright line with auto-updating year.</w:t>
      </w:r>
    </w:p>
    <w:p>
      <w:pPr>
        <w:pStyle w:val="Heading2"/>
        <w:spacing w:after="140" w:before="280"/>
      </w:pPr>
      <w:r>
        <w:t xml:space="preserve">4.3 Design System Foundations</w:t>
      </w:r>
    </w:p>
    <w:p>
      <w:pPr>
        <w:pStyle w:val="ListParagraph"/>
        <w:numPr>
          <w:ilvl w:val="0"/>
          <w:numId w:val="1"/>
        </w:numPr>
        <w:spacing w:after="80"/>
      </w:pPr>
      <w:r>
        <w:t xml:space="preserve">Typography goes through shared H1/H2/H3/Text components backed by CSS type-scale tokens — pages never hand-pick font sizes.</w:t>
      </w:r>
    </w:p>
    <w:p>
      <w:pPr>
        <w:pStyle w:val="ListParagraph"/>
        <w:numPr>
          <w:ilvl w:val="0"/>
          <w:numId w:val="1"/>
        </w:numPr>
        <w:spacing w:after="80"/>
      </w:pPr>
      <w:r>
        <w:t xml:space="preserve">A single brand accent (4 CSS variables: brand, brand-foreground, brand-hover, brand-subtle) drives every accent use — buttons, active nav, link hovers, badges, empty-photo placeholders — and is set live from the Dashboard's theme picker, so the whole site reskins without a deploy.</w:t>
      </w:r>
    </w:p>
    <w:p>
      <w:pPr>
        <w:pStyle w:val="ListParagraph"/>
        <w:numPr>
          <w:ilvl w:val="0"/>
          <w:numId w:val="1"/>
        </w:numPr>
        <w:spacing w:after="80"/>
      </w:pPr>
      <w:r>
        <w:t xml:space="preserve">Shared building blocks reused on nearly every page: PageHeader (title + description banner), Section (title/description/action + content wrapper), Photo (image that degrades gracefully to an initials/label placeholder when no image is set — never a broken-image icon), EmptyState (dashed-border "nothing published yet" panel), formatDate (long-form date formatting).</w:t>
      </w:r>
    </w:p>
    <w:p>
      <w:pPr>
        <w:pStyle w:val="Heading1"/>
        <w:spacing w:after="200" w:before="400"/>
      </w:pPr>
      <w:r>
        <w:t xml:space="preserve">5. Pages (13 routes)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A5F" w:val="clear"/>
            <w:tcMar>
              <w:top w:type="dxa" w:w="70"/>
              <w:left w:type="dxa" w:w="90"/>
              <w:bottom w:type="dxa" w:w="70"/>
              <w:right w:type="dxa" w:w="90"/>
            </w:tcMar>
          </w:tcPr>
          <w:p>
            <w:r>
              <w:rPr>
                <w:b/>
                <w:bCs/>
                <w:color w:val="FFFFFF"/>
              </w:rPr>
              <w:t xml:space="preserve">Route</w:t>
            </w:r>
          </w:p>
        </w:tc>
        <w:tc>
          <w:tcPr>
            <w:tcW w:type="dxa" w:w="7661"/>
            <w:shd w:fill="1F3A5F" w:val="clear"/>
            <w:tcMar>
              <w:top w:type="dxa" w:w="70"/>
              <w:left w:type="dxa" w:w="90"/>
              <w:bottom w:type="dxa" w:w="70"/>
              <w:right w:type="dxa" w:w="90"/>
            </w:tcMar>
          </w:tcPr>
          <w:p>
            <w:r>
              <w:rPr>
                <w:b/>
                <w:bCs/>
                <w:color w:val="FFFFFF"/>
              </w:rPr>
              <w:t xml:space="preserve">Purpose</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w:t>
            </w:r>
          </w:p>
        </w:tc>
        <w:tc>
          <w:tcPr>
            <w:tcW w:type="dxa" w:w="7661"/>
            <w:shd w:fill="FFFFFF" w:val="clear"/>
            <w:tcMar>
              <w:top w:type="dxa" w:w="50"/>
              <w:left w:type="dxa" w:w="90"/>
              <w:bottom w:type="dxa" w:w="50"/>
              <w:right w:type="dxa" w:w="90"/>
            </w:tcMar>
          </w:tcPr>
          <w:p>
            <w:r>
              <w:rPr>
                <w:sz w:val="20"/>
                <w:szCs w:val="20"/>
              </w:rPr>
              <w:t xml:space="preserve">Home — hero banner, at-a-glance stats, latest notices, upcoming events, campus photo strip.</w:t>
            </w:r>
          </w:p>
        </w:tc>
      </w:tr>
      <w:tr>
        <w:tc>
          <w:tcPr>
            <w:tcW w:type="dxa" w:w="2419"/>
            <w:shd w:fill="F2F5F8" w:val="clear"/>
            <w:tcMar>
              <w:top w:type="dxa" w:w="50"/>
              <w:left w:type="dxa" w:w="90"/>
              <w:bottom w:type="dxa" w:w="50"/>
              <w:right w:type="dxa" w:w="90"/>
            </w:tcMar>
          </w:tcPr>
          <w:p>
            <w:r>
              <w:rPr>
                <w:rFonts w:ascii="Consolas" w:cs="Consolas" w:eastAsia="Consolas" w:hAnsi="Consolas"/>
                <w:sz w:val="19"/>
                <w:szCs w:val="19"/>
              </w:rPr>
              <w:t xml:space="preserve">/about</w:t>
            </w:r>
          </w:p>
        </w:tc>
        <w:tc>
          <w:tcPr>
            <w:tcW w:type="dxa" w:w="7661"/>
            <w:shd w:fill="F2F5F8" w:val="clear"/>
            <w:tcMar>
              <w:top w:type="dxa" w:w="50"/>
              <w:left w:type="dxa" w:w="90"/>
              <w:bottom w:type="dxa" w:w="50"/>
              <w:right w:type="dxa" w:w="90"/>
            </w:tcMar>
          </w:tcPr>
          <w:p>
            <w:r>
              <w:rPr>
                <w:sz w:val="20"/>
                <w:szCs w:val="20"/>
              </w:rPr>
              <w:t xml:space="preserve">School narrative — about text, mission/vision, founder profiles, managing committee.</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/administration</w:t>
            </w:r>
          </w:p>
        </w:tc>
        <w:tc>
          <w:tcPr>
            <w:tcW w:type="dxa" w:w="7661"/>
            <w:shd w:fill="FFFFFF" w:val="clear"/>
            <w:tcMar>
              <w:top w:type="dxa" w:w="50"/>
              <w:left w:type="dxa" w:w="90"/>
              <w:bottom w:type="dxa" w:w="50"/>
              <w:right w:type="dxa" w:w="90"/>
            </w:tcMar>
          </w:tcPr>
          <w:p>
            <w:r>
              <w:rPr>
                <w:sz w:val="20"/>
                <w:szCs w:val="20"/>
              </w:rPr>
              <w:t xml:space="preserve">Leadership — chairman/head-teacher messages, administrative info &amp; office hours, managing committee.</w:t>
            </w:r>
          </w:p>
        </w:tc>
      </w:tr>
      <w:tr>
        <w:tc>
          <w:tcPr>
            <w:tcW w:type="dxa" w:w="2419"/>
            <w:shd w:fill="F2F5F8" w:val="clear"/>
            <w:tcMar>
              <w:top w:type="dxa" w:w="50"/>
              <w:left w:type="dxa" w:w="90"/>
              <w:bottom w:type="dxa" w:w="50"/>
              <w:right w:type="dxa" w:w="90"/>
            </w:tcMar>
          </w:tcPr>
          <w:p>
            <w:r>
              <w:rPr>
                <w:rFonts w:ascii="Consolas" w:cs="Consolas" w:eastAsia="Consolas" w:hAnsi="Consolas"/>
                <w:sz w:val="19"/>
                <w:szCs w:val="19"/>
              </w:rPr>
              <w:t xml:space="preserve">/institution-info</w:t>
            </w:r>
          </w:p>
        </w:tc>
        <w:tc>
          <w:tcPr>
            <w:tcW w:type="dxa" w:w="7661"/>
            <w:shd w:fill="F2F5F8" w:val="clear"/>
            <w:tcMar>
              <w:top w:type="dxa" w:w="50"/>
              <w:left w:type="dxa" w:w="90"/>
              <w:bottom w:type="dxa" w:w="50"/>
              <w:right w:type="dxa" w:w="90"/>
            </w:tcMar>
          </w:tcPr>
          <w:p>
            <w:r>
              <w:rPr>
                <w:sz w:val="20"/>
                <w:szCs w:val="20"/>
              </w:rPr>
              <w:t xml:space="preserve">DSHE compliance — registration IDs, permission &amp; recognition documents, class/section/enrolment table, committee.</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/academics</w:t>
            </w:r>
          </w:p>
        </w:tc>
        <w:tc>
          <w:tcPr>
            <w:tcW w:type="dxa" w:w="7661"/>
            <w:shd w:fill="FFFFFF" w:val="clear"/>
            <w:tcMar>
              <w:top w:type="dxa" w:w="50"/>
              <w:left w:type="dxa" w:w="90"/>
              <w:bottom w:type="dxa" w:w="50"/>
              <w:right w:type="dxa" w:w="90"/>
            </w:tcMar>
          </w:tcPr>
          <w:p>
            <w:r>
              <w:rPr>
                <w:sz w:val="20"/>
                <w:szCs w:val="20"/>
              </w:rPr>
              <w:t xml:space="preserve">Teaching info + shift/version summary, downloadable routines/syllabus/exam-routines/book lists by category.</w:t>
            </w:r>
          </w:p>
        </w:tc>
      </w:tr>
      <w:tr>
        <w:tc>
          <w:tcPr>
            <w:tcW w:type="dxa" w:w="2419"/>
            <w:shd w:fill="F2F5F8" w:val="clear"/>
            <w:tcMar>
              <w:top w:type="dxa" w:w="50"/>
              <w:left w:type="dxa" w:w="90"/>
              <w:bottom w:type="dxa" w:w="50"/>
              <w:right w:type="dxa" w:w="90"/>
            </w:tcMar>
          </w:tcPr>
          <w:p>
            <w:r>
              <w:rPr>
                <w:rFonts w:ascii="Consolas" w:cs="Consolas" w:eastAsia="Consolas" w:hAnsi="Consolas"/>
                <w:sz w:val="19"/>
                <w:szCs w:val="19"/>
              </w:rPr>
              <w:t xml:space="preserve">/uniform</w:t>
            </w:r>
          </w:p>
        </w:tc>
        <w:tc>
          <w:tcPr>
            <w:tcW w:type="dxa" w:w="7661"/>
            <w:shd w:fill="F2F5F8" w:val="clear"/>
            <w:tcMar>
              <w:top w:type="dxa" w:w="50"/>
              <w:left w:type="dxa" w:w="90"/>
              <w:bottom w:type="dxa" w:w="50"/>
              <w:right w:type="dxa" w:w="90"/>
            </w:tcMar>
          </w:tcPr>
          <w:p>
            <w:r>
              <w:rPr>
                <w:sz w:val="20"/>
                <w:szCs w:val="20"/>
              </w:rPr>
              <w:t xml:space="preserve">School Dress — uniform items by audience (boys/girls/all/sports/winter).</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/notices, /notices/[id]</w:t>
            </w:r>
          </w:p>
        </w:tc>
        <w:tc>
          <w:tcPr>
            <w:tcW w:type="dxa" w:w="7661"/>
            <w:shd w:fill="FFFFFF" w:val="clear"/>
            <w:tcMar>
              <w:top w:type="dxa" w:w="50"/>
              <w:left w:type="dxa" w:w="90"/>
              <w:bottom w:type="dxa" w:w="50"/>
              <w:right w:type="dxa" w:w="90"/>
            </w:tcMar>
          </w:tcPr>
          <w:p>
            <w:r>
              <w:rPr>
                <w:sz w:val="20"/>
                <w:szCs w:val="20"/>
              </w:rPr>
              <w:t xml:space="preserve">Notice list and detail — category, pinned flag, publish date, optional attachment download.</w:t>
            </w:r>
          </w:p>
        </w:tc>
      </w:tr>
      <w:tr>
        <w:tc>
          <w:tcPr>
            <w:tcW w:type="dxa" w:w="2419"/>
            <w:shd w:fill="F2F5F8" w:val="clear"/>
            <w:tcMar>
              <w:top w:type="dxa" w:w="50"/>
              <w:left w:type="dxa" w:w="90"/>
              <w:bottom w:type="dxa" w:w="50"/>
              <w:right w:type="dxa" w:w="90"/>
            </w:tcMar>
          </w:tcPr>
          <w:p>
            <w:r>
              <w:rPr>
                <w:rFonts w:ascii="Consolas" w:cs="Consolas" w:eastAsia="Consolas" w:hAnsi="Consolas"/>
                <w:sz w:val="19"/>
                <w:szCs w:val="19"/>
              </w:rPr>
              <w:t xml:space="preserve">/events, /events/[id]</w:t>
            </w:r>
          </w:p>
        </w:tc>
        <w:tc>
          <w:tcPr>
            <w:tcW w:type="dxa" w:w="7661"/>
            <w:shd w:fill="F2F5F8" w:val="clear"/>
            <w:tcMar>
              <w:top w:type="dxa" w:w="50"/>
              <w:left w:type="dxa" w:w="90"/>
              <w:bottom w:type="dxa" w:w="50"/>
              <w:right w:type="dxa" w:w="90"/>
            </w:tcMar>
          </w:tcPr>
          <w:p>
            <w:r>
              <w:rPr>
                <w:sz w:val="20"/>
                <w:szCs w:val="20"/>
              </w:rPr>
              <w:t xml:space="preserve">Event list and detail — category, featured flag, date range, venue, description.</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/teachers</w:t>
            </w:r>
          </w:p>
        </w:tc>
        <w:tc>
          <w:tcPr>
            <w:tcW w:type="dxa" w:w="7661"/>
            <w:shd w:fill="FFFFFF" w:val="clear"/>
            <w:tcMar>
              <w:top w:type="dxa" w:w="50"/>
              <w:left w:type="dxa" w:w="90"/>
              <w:bottom w:type="dxa" w:w="50"/>
              <w:right w:type="dxa" w:w="90"/>
            </w:tcMar>
          </w:tcPr>
          <w:p>
            <w:r>
              <w:rPr>
                <w:sz w:val="20"/>
                <w:szCs w:val="20"/>
              </w:rPr>
              <w:t xml:space="preserve">Teacher profile cards (photo, designation, subject, qualification) + a plain staff directory table.</w:t>
            </w:r>
          </w:p>
        </w:tc>
      </w:tr>
      <w:tr>
        <w:tc>
          <w:tcPr>
            <w:tcW w:type="dxa" w:w="2419"/>
            <w:shd w:fill="F2F5F8" w:val="clear"/>
            <w:tcMar>
              <w:top w:type="dxa" w:w="50"/>
              <w:left w:type="dxa" w:w="90"/>
              <w:bottom w:type="dxa" w:w="50"/>
              <w:right w:type="dxa" w:w="90"/>
            </w:tcMar>
          </w:tcPr>
          <w:p>
            <w:r>
              <w:rPr>
                <w:rFonts w:ascii="Consolas" w:cs="Consolas" w:eastAsia="Consolas" w:hAnsi="Consolas"/>
                <w:sz w:val="19"/>
                <w:szCs w:val="19"/>
              </w:rPr>
              <w:t xml:space="preserve">/alumni</w:t>
            </w:r>
          </w:p>
        </w:tc>
        <w:tc>
          <w:tcPr>
            <w:tcW w:type="dxa" w:w="7661"/>
            <w:shd w:fill="F2F5F8" w:val="clear"/>
            <w:tcMar>
              <w:top w:type="dxa" w:w="50"/>
              <w:left w:type="dxa" w:w="90"/>
              <w:bottom w:type="dxa" w:w="50"/>
              <w:right w:type="dxa" w:w="90"/>
            </w:tcMar>
          </w:tcPr>
          <w:p>
            <w:r>
              <w:rPr>
                <w:sz w:val="20"/>
                <w:szCs w:val="20"/>
              </w:rPr>
              <w:t xml:space="preserve">Alumni cards — photo, passing year, occupation, testimonial quote.</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/gallery</w:t>
            </w:r>
          </w:p>
        </w:tc>
        <w:tc>
          <w:tcPr>
            <w:tcW w:type="dxa" w:w="7661"/>
            <w:shd w:fill="FFFFFF" w:val="clear"/>
            <w:tcMar>
              <w:top w:type="dxa" w:w="50"/>
              <w:left w:type="dxa" w:w="90"/>
              <w:bottom w:type="dxa" w:w="50"/>
              <w:right w:type="dxa" w:w="90"/>
            </w:tcMar>
          </w:tcPr>
          <w:p>
            <w:r>
              <w:rPr>
                <w:sz w:val="20"/>
                <w:szCs w:val="20"/>
              </w:rPr>
              <w:t xml:space="preserve">Photo grid with category badges — no lightbox or full-size view.</w:t>
            </w:r>
          </w:p>
        </w:tc>
      </w:tr>
      <w:tr>
        <w:tc>
          <w:tcPr>
            <w:tcW w:type="dxa" w:w="2419"/>
            <w:shd w:fill="F2F5F8" w:val="clear"/>
            <w:tcMar>
              <w:top w:type="dxa" w:w="50"/>
              <w:left w:type="dxa" w:w="90"/>
              <w:bottom w:type="dxa" w:w="50"/>
              <w:right w:type="dxa" w:w="90"/>
            </w:tcMar>
          </w:tcPr>
          <w:p>
            <w:r>
              <w:rPr>
                <w:rFonts w:ascii="Consolas" w:cs="Consolas" w:eastAsia="Consolas" w:hAnsi="Consolas"/>
                <w:sz w:val="19"/>
                <w:szCs w:val="19"/>
              </w:rPr>
              <w:t xml:space="preserve">/videos</w:t>
            </w:r>
          </w:p>
        </w:tc>
        <w:tc>
          <w:tcPr>
            <w:tcW w:type="dxa" w:w="7661"/>
            <w:shd w:fill="F2F5F8" w:val="clear"/>
            <w:tcMar>
              <w:top w:type="dxa" w:w="50"/>
              <w:left w:type="dxa" w:w="90"/>
              <w:bottom w:type="dxa" w:w="50"/>
              <w:right w:type="dxa" w:w="90"/>
            </w:tcMar>
          </w:tcPr>
          <w:p>
            <w:r>
              <w:rPr>
                <w:sz w:val="20"/>
                <w:szCs w:val="20"/>
              </w:rPr>
              <w:t xml:space="preserve">Video card grid with auto-derived YouTube thumbnails and a play-icon overlay; "Watch video" opens the source link in a new tab — no embedded/lightbox player.</w:t>
            </w:r>
          </w:p>
        </w:tc>
      </w:tr>
      <w:tr>
        <w:tc>
          <w:tcPr>
            <w:tcW w:type="dxa" w:w="2419"/>
            <w:shd w:fill="FFFFFF" w:val="clear"/>
            <w:tcMar>
              <w:top w:type="dxa" w:w="50"/>
              <w:left w:type="dxa" w:w="90"/>
              <w:bottom w:type="dxa" w:w="50"/>
              <w:right w:type="dxa" w:w="90"/>
            </w:tcMar>
          </w:tcPr>
          <w:p>
            <w:r>
              <w:rPr>
                <w:rFonts w:ascii="Consolas" w:cs="Consolas" w:eastAsia="Consolas" w:hAnsi="Consolas"/>
                <w:sz w:val="19"/>
                <w:szCs w:val="19"/>
              </w:rPr>
              <w:t xml:space="preserve">/contact</w:t>
            </w:r>
          </w:p>
        </w:tc>
        <w:tc>
          <w:tcPr>
            <w:tcW w:type="dxa" w:w="7661"/>
            <w:shd w:fill="FFFFFF" w:val="clear"/>
            <w:tcMar>
              <w:top w:type="dxa" w:w="50"/>
              <w:left w:type="dxa" w:w="90"/>
              <w:bottom w:type="dxa" w:w="50"/>
              <w:right w:type="dxa" w:w="90"/>
            </w:tcMar>
          </w:tcPr>
          <w:p>
            <w:r>
              <w:rPr>
                <w:sz w:val="20"/>
                <w:szCs w:val="20"/>
              </w:rPr>
              <w:t xml:space="preserve">Static contact details, DSHE-required Information Centre and Grievance Officer blocks, embedded Google Map (or a placeholder if unset) — no contact form.</w:t>
            </w:r>
          </w:p>
        </w:tc>
      </w:tr>
    </w:tbl>
    <w:p>
      <w:pPr>
        <w:pStyle w:val="Heading2"/>
        <w:spacing w:after="140" w:before="280"/>
      </w:pPr>
      <w:r>
        <w:t xml:space="preserve">5.1 Home (/)</w:t>
      </w:r>
    </w:p>
    <w:p>
      <w:pPr>
        <w:pStyle w:val="ListParagraph"/>
        <w:numPr>
          <w:ilvl w:val="0"/>
          <w:numId w:val="1"/>
        </w:numPr>
        <w:spacing w:after="80"/>
      </w:pPr>
      <w:r>
        <w:t xml:space="preserve">Hero: badge (established year or tagline), headline and subtitle from the first banner (falls back to site name/about), two CTAs (banner's own CTA or "Latest notices", plus "About the school"), hero photo.</w:t>
      </w:r>
    </w:p>
    <w:p>
      <w:pPr>
        <w:pStyle w:val="ListParagraph"/>
        <w:numPr>
          <w:ilvl w:val="0"/>
          <w:numId w:val="1"/>
        </w:numPr>
        <w:spacing w:after="80"/>
      </w:pPr>
      <w:r>
        <w:t xml:space="preserve">At-a-glance: 3 stat cards — Founded year, published-notices count, upcoming-events count.</w:t>
      </w:r>
    </w:p>
    <w:p>
      <w:pPr>
        <w:pStyle w:val="ListParagraph"/>
        <w:numPr>
          <w:ilvl w:val="0"/>
          <w:numId w:val="1"/>
        </w:numPr>
        <w:spacing w:after="80"/>
      </w:pPr>
      <w:r>
        <w:t xml:space="preserve">Latest notices: up to 5, pinned/category badges, links to detail, "View all" link.</w:t>
      </w:r>
    </w:p>
    <w:p>
      <w:pPr>
        <w:pStyle w:val="ListParagraph"/>
        <w:numPr>
          <w:ilvl w:val="0"/>
          <w:numId w:val="1"/>
        </w:numPr>
        <w:spacing w:after="80"/>
      </w:pPr>
      <w:r>
        <w:t xml:space="preserve">Upcoming events: up to 3 cards with photo, category, title, excerpt, date + venue, "View all" link.</w:t>
      </w:r>
    </w:p>
    <w:p>
      <w:pPr>
        <w:pStyle w:val="ListParagraph"/>
        <w:numPr>
          <w:ilvl w:val="0"/>
          <w:numId w:val="1"/>
        </w:numPr>
        <w:spacing w:after="80"/>
      </w:pPr>
      <w:r>
        <w:t xml:space="preserve">Campus life: up to 6 square photos from the gallery, "Full gallery" link.</w:t>
      </w:r>
    </w:p>
    <w:p>
      <w:pPr>
        <w:pStyle w:val="Heading2"/>
        <w:spacing w:after="140" w:before="280"/>
      </w:pPr>
      <w:r>
        <w:t xml:space="preserve">5.2 About (/about)</w:t>
      </w:r>
    </w:p>
    <w:p>
      <w:pPr>
        <w:pStyle w:val="ListParagraph"/>
        <w:numPr>
          <w:ilvl w:val="0"/>
          <w:numId w:val="1"/>
        </w:numPr>
        <w:spacing w:after="80"/>
      </w:pPr>
      <w:r>
        <w:t xml:space="preserve">Free-text About paragraph; Mission and Vision as two side-by-side cards (each hidden if empty).</w:t>
      </w:r>
    </w:p>
    <w:p>
      <w:pPr>
        <w:pStyle w:val="ListParagraph"/>
        <w:numPr>
          <w:ilvl w:val="0"/>
          <w:numId w:val="1"/>
        </w:numPr>
        <w:spacing w:after="80"/>
      </w:pPr>
      <w:r>
        <w:t xml:space="preserve">Founder cards (photo, name, designation + education, italicized message quote) — section hidden entirely if no founders are published.</w:t>
      </w:r>
    </w:p>
    <w:p>
      <w:pPr>
        <w:pStyle w:val="ListParagraph"/>
        <w:numPr>
          <w:ilvl w:val="0"/>
          <w:numId w:val="1"/>
        </w:numPr>
        <w:spacing w:after="80"/>
      </w:pPr>
      <w:r>
        <w:t xml:space="preserve">Managing Committee cards (photo, name, designation, education) — same conditional hiding.</w:t>
      </w:r>
    </w:p>
    <w:p>
      <w:pPr>
        <w:pStyle w:val="Heading2"/>
        <w:spacing w:after="140" w:before="280"/>
      </w:pPr>
      <w:r>
        <w:t xml:space="preserve">5.3 Administration (/administration)</w:t>
      </w:r>
    </w:p>
    <w:p>
      <w:pPr>
        <w:pStyle w:val="ListParagraph"/>
        <w:numPr>
          <w:ilvl w:val="0"/>
          <w:numId w:val="1"/>
        </w:numPr>
        <w:spacing w:after="80"/>
      </w:pPr>
      <w:r>
        <w:t xml:space="preserve">Leadership messages: chairman/head-teacher/assistant-head-teacher cards with photo, role badge, and a blockquote-style message; explicit empty state if none published.</w:t>
      </w:r>
    </w:p>
    <w:p>
      <w:pPr>
        <w:pStyle w:val="ListParagraph"/>
        <w:numPr>
          <w:ilvl w:val="0"/>
          <w:numId w:val="1"/>
        </w:numPr>
        <w:spacing w:after="80"/>
      </w:pPr>
      <w:r>
        <w:t xml:space="preserve">Administrative information: free-text block plus office hours, shown only if set.</w:t>
      </w:r>
    </w:p>
    <w:p>
      <w:pPr>
        <w:pStyle w:val="ListParagraph"/>
        <w:numPr>
          <w:ilvl w:val="0"/>
          <w:numId w:val="1"/>
        </w:numPr>
        <w:spacing w:after="80"/>
      </w:pPr>
      <w:r>
        <w:t xml:space="preserve">Managing Committee grid (same component as About).</w:t>
      </w:r>
    </w:p>
    <w:p>
      <w:pPr>
        <w:pStyle w:val="Heading2"/>
        <w:spacing w:after="140" w:before="280"/>
      </w:pPr>
      <w:r>
        <w:t xml:space="preserve">5.4 Institution Info (/institution-info)</w:t>
      </w:r>
    </w:p>
    <w:p>
      <w:pPr>
        <w:pStyle w:val="ListParagraph"/>
        <w:numPr>
          <w:ilvl w:val="0"/>
          <w:numId w:val="1"/>
        </w:numPr>
        <w:spacing w:after="80"/>
      </w:pPr>
      <w:r>
        <w:t xml:space="preserve">Registration identifiers: EIIN, MPO code, institution code/type, established year — shown as a definition-list grid, only for whichever fields are filled.</w:t>
      </w:r>
    </w:p>
    <w:p>
      <w:pPr>
        <w:pStyle w:val="ListParagraph"/>
        <w:numPr>
          <w:ilvl w:val="0"/>
          <w:numId w:val="1"/>
        </w:numPr>
        <w:spacing w:after="80"/>
      </w:pPr>
      <w:r>
        <w:t xml:space="preserve">Permission &amp; Recognition: cards per document — category/level badges, issuer, memo number, issue/expiry dates, "View document" link if a scan is attached; explicit empty state.</w:t>
      </w:r>
    </w:p>
    <w:p>
      <w:pPr>
        <w:pStyle w:val="ListParagraph"/>
        <w:numPr>
          <w:ilvl w:val="0"/>
          <w:numId w:val="1"/>
        </w:numPr>
        <w:spacing w:after="80"/>
      </w:pPr>
      <w:r>
        <w:t xml:space="preserve">Classes, Sections &amp; Students: a full data table (class, shift, version, approved sections, boys, girls, computed row+column totals) — the only real data table on the public site besides Teachers &amp; Staff.</w:t>
      </w:r>
    </w:p>
    <w:p>
      <w:pPr>
        <w:pStyle w:val="ListParagraph"/>
        <w:numPr>
          <w:ilvl w:val="0"/>
          <w:numId w:val="1"/>
        </w:numPr>
        <w:spacing w:after="80"/>
      </w:pPr>
      <w:r>
        <w:t xml:space="preserve">Managing Committee grid.</w:t>
      </w:r>
    </w:p>
    <w:p>
      <w:pPr>
        <w:pStyle w:val="Heading2"/>
        <w:spacing w:after="140" w:before="280"/>
      </w:pPr>
      <w:r>
        <w:t xml:space="preserve">5.5 Academics (/academics)</w:t>
      </w:r>
    </w:p>
    <w:p>
      <w:pPr>
        <w:pStyle w:val="ListParagraph"/>
        <w:numPr>
          <w:ilvl w:val="0"/>
          <w:numId w:val="1"/>
        </w:numPr>
        <w:spacing w:after="80"/>
      </w:pPr>
      <w:r>
        <w:t xml:space="preserve">Teaching information free-text block, plus a derived summary strip (class range, shift(s), version(s) — computed from the Classes data, not entered separately).</w:t>
      </w:r>
    </w:p>
    <w:p>
      <w:pPr>
        <w:pStyle w:val="ListParagraph"/>
        <w:numPr>
          <w:ilvl w:val="0"/>
          <w:numId w:val="1"/>
        </w:numPr>
        <w:spacing w:after="80"/>
      </w:pPr>
      <w:r>
        <w:t xml:space="preserve">Routine &amp; Syllabus documents grouped into 5 categories (Class routines, Syllabus, Examination routines, Book lists, Other), each item showing class/year/publish date and either a Download button or an "Available at the school office" badge when no file is attached.</w:t>
      </w:r>
    </w:p>
    <w:p>
      <w:pPr>
        <w:pStyle w:val="Heading2"/>
        <w:spacing w:after="140" w:before="280"/>
      </w:pPr>
      <w:r>
        <w:t xml:space="preserve">5.6 School Dress (/uniform)</w:t>
      </w:r>
    </w:p>
    <w:p>
      <w:pPr>
        <w:pStyle w:val="ListParagraph"/>
        <w:numPr>
          <w:ilvl w:val="0"/>
          <w:numId w:val="1"/>
        </w:numPr>
        <w:spacing w:after="80"/>
      </w:pPr>
      <w:r>
        <w:t xml:space="preserve">Card grid: photo (or audience-labelled placeholder), audience badge, optional class-label badge, title, description.</w:t>
      </w:r>
    </w:p>
    <w:p>
      <w:pPr>
        <w:pStyle w:val="Heading2"/>
        <w:spacing w:after="140" w:before="280"/>
      </w:pPr>
      <w:r>
        <w:t xml:space="preserve">5.7 Notices (/notices, /notices/[id])</w:t>
      </w:r>
    </w:p>
    <w:p>
      <w:pPr>
        <w:pStyle w:val="ListParagraph"/>
        <w:numPr>
          <w:ilvl w:val="0"/>
          <w:numId w:val="1"/>
        </w:numPr>
        <w:spacing w:after="80"/>
      </w:pPr>
      <w:r>
        <w:t xml:space="preserve">List: divided rows, pinned badge, category badge, publish date, title + one-line excerpt, links to detail.</w:t>
      </w:r>
    </w:p>
    <w:p>
      <w:pPr>
        <w:pStyle w:val="ListParagraph"/>
        <w:numPr>
          <w:ilvl w:val="0"/>
          <w:numId w:val="1"/>
        </w:numPr>
        <w:spacing w:after="80"/>
      </w:pPr>
      <w:r>
        <w:t xml:space="preserve">Detail: back link, pinned/category/date, full title, full description (preserves line breaks), optional "Download attachment" button.</w:t>
      </w:r>
    </w:p>
    <w:p>
      <w:pPr>
        <w:pStyle w:val="Heading2"/>
        <w:spacing w:after="140" w:before="280"/>
      </w:pPr>
      <w:r>
        <w:t xml:space="preserve">5.8 Events (/events, /events/[id])</w:t>
      </w:r>
    </w:p>
    <w:p>
      <w:pPr>
        <w:pStyle w:val="ListParagraph"/>
        <w:numPr>
          <w:ilvl w:val="0"/>
          <w:numId w:val="1"/>
        </w:numPr>
        <w:spacing w:after="80"/>
      </w:pPr>
      <w:r>
        <w:t xml:space="preserve">List: card grid, photo, category badge, featured badge, title, 3-line excerpt, date + venue.</w:t>
      </w:r>
    </w:p>
    <w:p>
      <w:pPr>
        <w:pStyle w:val="ListParagraph"/>
        <w:numPr>
          <w:ilvl w:val="0"/>
          <w:numId w:val="1"/>
        </w:numPr>
        <w:spacing w:after="80"/>
      </w:pPr>
      <w:r>
        <w:t xml:space="preserve">Detail: back link, large photo, category/featured badges, title, date range, venue, full description.</w:t>
      </w:r>
    </w:p>
    <w:p>
      <w:pPr>
        <w:pStyle w:val="Heading2"/>
        <w:spacing w:after="140" w:before="280"/>
      </w:pPr>
      <w:r>
        <w:t xml:space="preserve">5.9 Teachers &amp; Staff (/teachers)</w:t>
      </w:r>
    </w:p>
    <w:p>
      <w:pPr>
        <w:pStyle w:val="ListParagraph"/>
        <w:numPr>
          <w:ilvl w:val="0"/>
          <w:numId w:val="1"/>
        </w:numPr>
        <w:spacing w:after="80"/>
      </w:pPr>
      <w:r>
        <w:t xml:space="preserve">Teachers: photo cards (square photo, name, designation in brand colour, subject, qualification).</w:t>
      </w:r>
    </w:p>
    <w:p>
      <w:pPr>
        <w:pStyle w:val="ListParagraph"/>
        <w:numPr>
          <w:ilvl w:val="0"/>
          <w:numId w:val="1"/>
        </w:numPr>
        <w:spacing w:after="80"/>
      </w:pPr>
      <w:r>
        <w:t xml:space="preserve">Staff: a plain 3-column table (name, designation, department) — deliberately simpler than the teacher cards since DSHE requires listing both groups but staff have less to show.</w:t>
      </w:r>
    </w:p>
    <w:p>
      <w:pPr>
        <w:pStyle w:val="Heading2"/>
        <w:spacing w:after="140" w:before="280"/>
      </w:pPr>
      <w:r>
        <w:t xml:space="preserve">5.10 Alumni (/alumni)</w:t>
      </w:r>
    </w:p>
    <w:p>
      <w:pPr>
        <w:pStyle w:val="ListParagraph"/>
        <w:numPr>
          <w:ilvl w:val="0"/>
          <w:numId w:val="1"/>
        </w:numPr>
        <w:spacing w:after="80"/>
      </w:pPr>
      <w:r>
        <w:t xml:space="preserve">Card grid: round photo, name, occupation, "Class of {year}" badge, italicized testimonial quote.</w:t>
      </w:r>
    </w:p>
    <w:p>
      <w:pPr>
        <w:pStyle w:val="Heading2"/>
        <w:spacing w:after="140" w:before="280"/>
      </w:pPr>
      <w:r>
        <w:t xml:space="preserve">5.11 Gallery (/gallery)</w:t>
      </w:r>
    </w:p>
    <w:p>
      <w:pPr>
        <w:pStyle w:val="ListParagraph"/>
        <w:numPr>
          <w:ilvl w:val="0"/>
          <w:numId w:val="1"/>
        </w:numPr>
        <w:spacing w:after="80"/>
      </w:pPr>
      <w:r>
        <w:t xml:space="preserve">Responsive photo grid with a caption bar (title + category badge) under each image. No click-to-enlarge/lightbox interaction today — clicking a photo does nothing.</w:t>
      </w:r>
    </w:p>
    <w:p>
      <w:pPr>
        <w:pStyle w:val="Heading2"/>
        <w:spacing w:after="140" w:before="280"/>
      </w:pPr>
      <w:r>
        <w:t xml:space="preserve">5.12 Video Gallery (/videos)</w:t>
      </w:r>
    </w:p>
    <w:p>
      <w:pPr>
        <w:pStyle w:val="ListParagraph"/>
        <w:numPr>
          <w:ilvl w:val="0"/>
          <w:numId w:val="1"/>
        </w:numPr>
        <w:spacing w:after="80"/>
      </w:pPr>
      <w:r>
        <w:t xml:space="preserve">Card grid: thumbnail (uploaded, or auto-derived from a YouTube URL) with a play-icon overlay, category badge, title, excerpt, publish date, and a "Watch video" button that opens the source URL in a new tab — there is no embedded/in-page video player.</w:t>
      </w:r>
    </w:p>
    <w:p>
      <w:pPr>
        <w:pStyle w:val="Heading2"/>
        <w:spacing w:after="140" w:before="280"/>
      </w:pPr>
      <w:r>
        <w:t xml:space="preserve">5.13 Contact (/contact)</w:t>
      </w:r>
    </w:p>
    <w:p>
      <w:pPr>
        <w:pStyle w:val="ListParagraph"/>
        <w:numPr>
          <w:ilvl w:val="0"/>
          <w:numId w:val="1"/>
        </w:numPr>
        <w:spacing w:after="80"/>
      </w:pPr>
      <w:r>
        <w:t xml:space="preserve">Read-only contact card (address, phone/email as tel:/mailto: links, office hours, EIIN).</w:t>
      </w:r>
    </w:p>
    <w:p>
      <w:pPr>
        <w:pStyle w:val="ListParagraph"/>
        <w:numPr>
          <w:ilvl w:val="0"/>
          <w:numId w:val="1"/>
        </w:numPr>
        <w:spacing w:after="80"/>
      </w:pPr>
      <w:r>
        <w:t xml:space="preserve">Two DSHE-required blocks: Information Service Centre and Grievance Redress Officer, each shown only if populated.</w:t>
      </w:r>
    </w:p>
    <w:p>
      <w:pPr>
        <w:pStyle w:val="ListParagraph"/>
        <w:numPr>
          <w:ilvl w:val="0"/>
          <w:numId w:val="1"/>
        </w:numPr>
        <w:spacing w:after="80"/>
      </w:pPr>
      <w:r>
        <w:t xml:space="preserve">Embedded Google Map from a CMS-provided URL, or a "Map not configured" placeholder panel.</w:t>
      </w:r>
    </w:p>
    <w:p>
      <w:pPr>
        <w:pStyle w:val="ListParagraph"/>
        <w:numPr>
          <w:ilvl w:val="0"/>
          <w:numId w:val="1"/>
        </w:numPr>
        <w:spacing w:after="80"/>
      </w:pPr>
      <w:r>
        <w:t xml:space="preserve">No contact form or any other way for a visitor to message the school directly through the site.</w:t>
      </w:r>
    </w:p>
    <w:p>
      <w:pPr>
        <w:pStyle w:val="Heading1"/>
        <w:spacing w:after="200" w:before="400"/>
      </w:pPr>
      <w:r>
        <w:t xml:space="preserve">6. Known Issues &amp; Notes for the Redesign Team</w:t>
      </w:r>
    </w:p>
    <w:p>
      <w:pPr>
        <w:spacing w:after="160"/>
      </w:pPr>
      <w:r>
        <w:t xml:space="preserve">Findings worth confirming with engineering before final designs are locked in — checked against the repo's own stated conventions (Education_Institution/CLAUDE.md) and the actual code:</w:t>
      </w:r>
    </w:p>
    <w:p>
      <w:pPr>
        <w:pStyle w:val="ListParagraph"/>
        <w:numPr>
          <w:ilvl w:val="0"/>
          <w:numId w:val="1"/>
        </w:numPr>
        <w:spacing w:after="80"/>
      </w:pPr>
      <w:r>
        <w:t xml:space="preserve">Every image on the site is a raw &lt;img&gt; tag — next/image is never used anywhere in the codebase. For a photo-heavy school site (banners, gallery, teacher/staff/alumni photos, event photos), that means no automatic responsive sizing, no lazy-loading control, and no blur-up placeholder — a real performance and perceived-polish consideration for the redesign.</w:t>
      </w:r>
    </w:p>
    <w:p>
      <w:pPr>
        <w:pStyle w:val="ListParagraph"/>
        <w:numPr>
          <w:ilvl w:val="0"/>
          <w:numId w:val="1"/>
        </w:numPr>
        <w:spacing w:after="80"/>
      </w:pPr>
      <w:r>
        <w:t xml:space="preserve">Dark mode CSS variables are fully defined in globals.css (a complete .dark block) but nothing in the app ever applies the .dark class — no theme toggle, no next-themes, no system-preference detection. It's effectively dead code today; decide whether the redesign activates it or removes it.</w:t>
      </w:r>
    </w:p>
    <w:p>
      <w:pPr>
        <w:pStyle w:val="ListParagraph"/>
        <w:numPr>
          <w:ilvl w:val="0"/>
          <w:numId w:val="1"/>
        </w:numPr>
        <w:spacing w:after="80"/>
      </w:pPr>
      <w:r>
        <w:t xml:space="preserve">A Skeleton loading component exists in the codebase but is never used on any page. Since every page is a server component awaiting a CMS fetch with a 5-second timeout, a slow API response currently means the browser tab simply sits blank/loading rather than showing any skeleton or progress state.</w:t>
      </w:r>
    </w:p>
    <w:p>
      <w:pPr>
        <w:pStyle w:val="ListParagraph"/>
        <w:numPr>
          <w:ilvl w:val="0"/>
          <w:numId w:val="1"/>
        </w:numPr>
        <w:spacing w:after="80"/>
      </w:pPr>
      <w:r>
        <w:t xml:space="preserve">There is no custom not-found.tsx or error.tsx anywhere in the app. A bad notice/event ID (which explicitly calls notFound()) or any uncaught rendering error falls through to Next.js's default, unbranded error pages — breaking visual continuity right at a moment a visitor is already confused.</w:t>
      </w:r>
    </w:p>
    <w:p>
      <w:pPr>
        <w:pStyle w:val="ListParagraph"/>
        <w:numPr>
          <w:ilvl w:val="0"/>
          <w:numId w:val="1"/>
        </w:numPr>
        <w:spacing w:after="80"/>
      </w:pPr>
      <w:r>
        <w:t xml:space="preserve">The resilience fallback system (Section 3.2) is invisible: the API layer already computes an isFallback flag for every content fetch, but no page reads or displays it. A visitor currently cannot tell whether they're looking at live school content or bundled sample content — worth a deliberate design treatment (or a conscious decision to keep it invisible).</w:t>
      </w:r>
    </w:p>
    <w:p>
      <w:pPr>
        <w:pStyle w:val="ListParagraph"/>
        <w:numPr>
          <w:ilvl w:val="0"/>
          <w:numId w:val="1"/>
        </w:numPr>
        <w:spacing w:after="80"/>
      </w:pPr>
      <w:r>
        <w:t xml:space="preserve">No lightbox on the Photo Gallery (photos don't enlarge on click) and no embedded video player on the Video Gallery ("Watch video" always leaves the site) — both common expectations for a school's media pages.</w:t>
      </w:r>
    </w:p>
    <w:p>
      <w:pPr>
        <w:pStyle w:val="ListParagraph"/>
        <w:numPr>
          <w:ilvl w:val="0"/>
          <w:numId w:val="1"/>
        </w:numPr>
        <w:spacing w:after="80"/>
      </w:pPr>
      <w:r>
        <w:t xml:space="preserve">No contact form anywhere on the site — Contact is read-only. If the school wants inbound messages, that's currently a gap, not a hidden feature.</w:t>
      </w:r>
    </w:p>
    <w:p>
      <w:pPr>
        <w:pStyle w:val="ListParagraph"/>
        <w:numPr>
          <w:ilvl w:val="0"/>
          <w:numId w:val="1"/>
        </w:numPr>
        <w:spacing w:after="80"/>
      </w:pPr>
      <w:r>
        <w:t xml:space="preserve">CLAUDE.md for this repo mandates "all user-facing text must go through the i18n layer with EN + BN values and a localized fallback." No i18n layer exists — every string is hardcoded English, with the sole exception of two Bangla labels hardcoded into the Dashboard's Settings screen (which this site consumes but doesn't itself localize). This mirrors the same gap found in the Dashboard app and is worth resolving before the redesign assumes bilingual support is already in place.</w:t>
      </w:r>
    </w:p>
    <w:p>
      <w:pPr>
        <w:pStyle w:val="ListParagraph"/>
        <w:numPr>
          <w:ilvl w:val="0"/>
          <w:numId w:val="1"/>
        </w:numPr>
        <w:spacing w:after="80"/>
      </w:pPr>
      <w:r>
        <w:t xml:space="preserve">The header's dropdown-heavy IA (3 of 7 top-level items are 2–3-item flyouts, largely organized around DSHE compliance categories — Institution/Academics/People/Media) may not match how a parent or prospective student actually thinks about the site; worth validating the grouping and labels with real users rather than assuming the current compliance-driven structure is the right visitor-facing 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2026-07-27T19:24:27.576Z</dcterms:created>
  <dcterms:modified xsi:type="dcterms:W3CDTF">2026-07-27T19:24:27.583Z</dcterms:modified>
</cp:coreProperties>
</file>

<file path=docProps/custom.xml><?xml version="1.0" encoding="utf-8"?>
<Properties xmlns="http://schemas.openxmlformats.org/officeDocument/2006/custom-properties" xmlns:vt="http://schemas.openxmlformats.org/officeDocument/2006/docPropsVTypes"/>
</file>