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595959"/>
                <w:sz w:val="28"/>
                <w:szCs w:val="28"/>
                <w:highlight w:val="lightGray"/>
                <w:rtl w:val="0"/>
              </w:rPr>
              <w:t xml:space="preserve">Cliquez ici pour entrer l’intitulé du titre professionnel visé.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6838" w:w="11906" w:orient="portrait"/>
          <w:pgMar w:bottom="1418" w:top="1418" w:left="1418" w:right="1418" w:header="567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lineRule="auto"/>
              <w:ind w:left="709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4" w:right="176" w:hanging="357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14" w:right="17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3F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4F">
            <w:pPr>
              <w:ind w:right="-108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34"/>
                <w:tab w:val="right" w:leader="none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34"/>
                <w:tab w:val="left" w:leader="none" w:pos="3522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B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1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2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C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B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E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4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3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8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3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4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55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8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B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6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6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0">
            <w:pPr>
              <w:keepNext w:val="1"/>
              <w:spacing w:after="60" w:before="6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5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8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8B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8D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9D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F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C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8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E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C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7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0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3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7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9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C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F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A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2F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40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49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A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4F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51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5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61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73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9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8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C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A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A8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A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0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C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D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7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DB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D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E0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E3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9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E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F3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E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04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1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leader="none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jc w:val="center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3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4">
      <w:pPr>
        <w:tabs>
          <w:tab w:val="right" w:leader="none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346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37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16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8">
      <w:pPr>
        <w:tabs>
          <w:tab w:val="right" w:leader="none" w:pos="5529"/>
          <w:tab w:val="right" w:leader="none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49">
      <w:pPr>
        <w:tabs>
          <w:tab w:val="right" w:leader="none" w:pos="4395"/>
          <w:tab w:val="right" w:leader="none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34A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34C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5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52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3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tabs>
                <w:tab w:val="left" w:leader="none" w:pos="850"/>
              </w:tabs>
              <w:ind w:right="175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6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1418" w:top="1418" w:left="1134" w:right="1134" w:header="73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6223"/>
        <w:tab w:val="right" w:leader="none" w:pos="9356"/>
        <w:tab w:val="right" w:leader="none" w:pos="9781"/>
      </w:tabs>
      <w:spacing w:after="0" w:before="0" w:line="240" w:lineRule="auto"/>
      <w:ind w:left="-426" w:right="67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Traitement de texte – Version du 11/09/2017 </w:t>
      <w:tab/>
      <w:tab/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567"/>
        <w:tab w:val="right" w:leader="none" w:pos="10065"/>
      </w:tabs>
      <w:spacing w:after="0" w:before="0" w:line="240" w:lineRule="auto"/>
      <w:ind w:left="-142" w:right="-171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67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8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6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7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4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376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4"/>
      <w:gridCol w:w="2538"/>
      <w:gridCol w:w="4677"/>
      <w:tblGridChange w:id="0">
        <w:tblGrid>
          <w:gridCol w:w="3134"/>
          <w:gridCol w:w="2538"/>
          <w:gridCol w:w="467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80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8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6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4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84"/>
      <w:gridCol w:w="2538"/>
      <w:gridCol w:w="4927"/>
      <w:tblGridChange w:id="0">
        <w:tblGrid>
          <w:gridCol w:w="2884"/>
          <w:gridCol w:w="2538"/>
          <w:gridCol w:w="492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C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8F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92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5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8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