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A65AA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Business Recommendations</w:t>
      </w:r>
    </w:p>
    <w:p w14:paraId="520AE86C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1. Strengthen appointment reminder coverage</w:t>
      </w:r>
    </w:p>
    <w:p w14:paraId="078363E2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The dashboard shows that approximately </w:t>
      </w:r>
      <w:r w:rsidRPr="00AF761E">
        <w:rPr>
          <w:rFonts w:eastAsia="Times New Roman" w:cstheme="minorHAnsi"/>
          <w:b/>
          <w:bCs/>
          <w:lang w:eastAsia="en-ZA"/>
        </w:rPr>
        <w:t>72.68% of appointments had a reminder recorded</w:t>
      </w:r>
      <w:r w:rsidRPr="00AF761E">
        <w:rPr>
          <w:rFonts w:eastAsia="Times New Roman" w:cstheme="minorHAnsi"/>
          <w:lang w:eastAsia="en-ZA"/>
        </w:rPr>
        <w:t xml:space="preserve">, while the no-show rate was approximately </w:t>
      </w:r>
      <w:r w:rsidRPr="00AF761E">
        <w:rPr>
          <w:rFonts w:eastAsia="Times New Roman" w:cstheme="minorHAnsi"/>
          <w:b/>
          <w:bCs/>
          <w:lang w:eastAsia="en-ZA"/>
        </w:rPr>
        <w:t>51.39% for appointments without a reminder compared with 47.36% for appointments with a reminder</w:t>
      </w:r>
      <w:r w:rsidRPr="00AF761E">
        <w:rPr>
          <w:rFonts w:eastAsia="Times New Roman" w:cstheme="minorHAnsi"/>
          <w:lang w:eastAsia="en-ZA"/>
        </w:rPr>
        <w:t>.</w:t>
      </w:r>
    </w:p>
    <w:p w14:paraId="569B971D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This indicates an association between reminder status and attendance and suggests that </w:t>
      </w:r>
      <w:proofErr w:type="spellStart"/>
      <w:r w:rsidRPr="00AF761E">
        <w:rPr>
          <w:rFonts w:eastAsia="Times New Roman" w:cstheme="minorHAnsi"/>
          <w:lang w:eastAsia="en-ZA"/>
        </w:rPr>
        <w:t>HealthConnect</w:t>
      </w:r>
      <w:proofErr w:type="spellEnd"/>
      <w:r w:rsidRPr="00AF761E">
        <w:rPr>
          <w:rFonts w:eastAsia="Times New Roman" w:cstheme="minorHAnsi"/>
          <w:lang w:eastAsia="en-ZA"/>
        </w:rPr>
        <w:t xml:space="preserve"> should investigate increasing reminder coverage.</w:t>
      </w:r>
    </w:p>
    <w:p w14:paraId="2A010E5A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Recommended action:</w:t>
      </w:r>
      <w:r w:rsidRPr="00AF761E">
        <w:rPr>
          <w:rFonts w:eastAsia="Times New Roman" w:cstheme="minorHAnsi"/>
          <w:lang w:eastAsia="en-ZA"/>
        </w:rPr>
        <w:br/>
        <w:t>Increase reminder coverage and evaluate whether different reminder channels or timing strategies produce better attendance outcomes.</w:t>
      </w:r>
    </w:p>
    <w:p w14:paraId="05904BDF" w14:textId="77777777" w:rsidR="00AF761E" w:rsidRPr="00AF761E" w:rsidRDefault="00AF761E" w:rsidP="00AF761E">
      <w:pPr>
        <w:spacing w:after="0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pict w14:anchorId="2F424DD5">
          <v:rect id="_x0000_i1025" style="width:0;height:1.5pt" o:hralign="center" o:hrstd="t" o:hr="t" fillcolor="#a0a0a0" stroked="f"/>
        </w:pict>
      </w:r>
    </w:p>
    <w:p w14:paraId="0BBB4DD5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2. Prioritise patients with previous no-show behaviour</w:t>
      </w:r>
    </w:p>
    <w:p w14:paraId="2BA5911D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>Previous appointment behaviour should be considered when identifying patients who may be at higher risk of missing future appointments.</w:t>
      </w:r>
    </w:p>
    <w:p w14:paraId="09BCC9E0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Recommended action:</w:t>
      </w:r>
      <w:r w:rsidRPr="00AF761E">
        <w:rPr>
          <w:rFonts w:eastAsia="Times New Roman" w:cstheme="minorHAnsi"/>
          <w:lang w:eastAsia="en-ZA"/>
        </w:rPr>
        <w:br/>
        <w:t>Introduce additional confirmation or reminder interventions for patients with a history of previous no-shows.</w:t>
      </w:r>
    </w:p>
    <w:p w14:paraId="2A993CAA" w14:textId="77777777" w:rsidR="00AF761E" w:rsidRPr="00AF761E" w:rsidRDefault="00AF761E" w:rsidP="00AF761E">
      <w:pPr>
        <w:spacing w:after="0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pict w14:anchorId="1DB0A7AB">
          <v:rect id="_x0000_i1026" style="width:0;height:1.5pt" o:hralign="center" o:hrstd="t" o:hr="t" fillcolor="#a0a0a0" stroked="f"/>
        </w:pict>
      </w:r>
    </w:p>
    <w:p w14:paraId="53B918A1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3. Investigate accessibility barriers for long-distance patients</w:t>
      </w:r>
    </w:p>
    <w:p w14:paraId="7EF2AE47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The dashboard shows the </w:t>
      </w:r>
      <w:r w:rsidRPr="00AF761E">
        <w:rPr>
          <w:rFonts w:eastAsia="Times New Roman" w:cstheme="minorHAnsi"/>
          <w:b/>
          <w:bCs/>
          <w:lang w:eastAsia="en-ZA"/>
        </w:rPr>
        <w:t>20+ km group with the highest observed no-show rate at approximately 57%</w:t>
      </w:r>
      <w:r w:rsidRPr="00AF761E">
        <w:rPr>
          <w:rFonts w:eastAsia="Times New Roman" w:cstheme="minorHAnsi"/>
          <w:lang w:eastAsia="en-ZA"/>
        </w:rPr>
        <w:t>, compared with lower-distance groups.</w:t>
      </w:r>
    </w:p>
    <w:p w14:paraId="3F14D92C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Recommended action:</w:t>
      </w:r>
      <w:r w:rsidRPr="00AF761E">
        <w:rPr>
          <w:rFonts w:eastAsia="Times New Roman" w:cstheme="minorHAnsi"/>
          <w:lang w:eastAsia="en-ZA"/>
        </w:rPr>
        <w:br/>
        <w:t>Investigate whether transportation, travel time, appointment scheduling or clinic accessibility contribute to non-attendance among patients travelling longer distances.</w:t>
      </w:r>
    </w:p>
    <w:p w14:paraId="1DDC3EBC" w14:textId="77777777" w:rsidR="00AF761E" w:rsidRPr="00AF761E" w:rsidRDefault="00AF761E" w:rsidP="00AF761E">
      <w:pPr>
        <w:spacing w:after="0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pict w14:anchorId="1D1D02F2">
          <v:rect id="_x0000_i1027" style="width:0;height:1.5pt" o:hralign="center" o:hrstd="t" o:hr="t" fillcolor="#a0a0a0" stroked="f"/>
        </w:pict>
      </w:r>
    </w:p>
    <w:p w14:paraId="255F6C4B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4. Improve waiting-time data quality</w:t>
      </w:r>
    </w:p>
    <w:p w14:paraId="58CA4359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The </w:t>
      </w:r>
      <w:r w:rsidRPr="00AF761E">
        <w:rPr>
          <w:rFonts w:eastAsia="Times New Roman" w:cstheme="minorHAnsi"/>
          <w:b/>
          <w:bCs/>
          <w:lang w:eastAsia="en-ZA"/>
        </w:rPr>
        <w:t>Unknown waiting-time category has the highest observed no-show rate at approximately 62%</w:t>
      </w:r>
      <w:r w:rsidRPr="00AF761E">
        <w:rPr>
          <w:rFonts w:eastAsia="Times New Roman" w:cstheme="minorHAnsi"/>
          <w:lang w:eastAsia="en-ZA"/>
        </w:rPr>
        <w:t>.</w:t>
      </w:r>
    </w:p>
    <w:p w14:paraId="62869FD2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However, this should </w:t>
      </w:r>
      <w:r w:rsidRPr="00AF761E">
        <w:rPr>
          <w:rFonts w:eastAsia="Times New Roman" w:cstheme="minorHAnsi"/>
          <w:b/>
          <w:bCs/>
          <w:lang w:eastAsia="en-ZA"/>
        </w:rPr>
        <w:t>not</w:t>
      </w:r>
      <w:r w:rsidRPr="00AF761E">
        <w:rPr>
          <w:rFonts w:eastAsia="Times New Roman" w:cstheme="minorHAnsi"/>
          <w:lang w:eastAsia="en-ZA"/>
        </w:rPr>
        <w:t xml:space="preserve"> be interpreted as evidence that unknown waiting time causes no-shows. The category represents missing information.</w:t>
      </w:r>
    </w:p>
    <w:p w14:paraId="61AE2A1B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Recommended action:</w:t>
      </w:r>
      <w:r w:rsidRPr="00AF761E">
        <w:rPr>
          <w:rFonts w:eastAsia="Times New Roman" w:cstheme="minorHAnsi"/>
          <w:lang w:eastAsia="en-ZA"/>
        </w:rPr>
        <w:br/>
        <w:t>Improve the collection and recording of waiting-time information so that the relationship between waiting time and attendance can be assessed more reliably.</w:t>
      </w:r>
    </w:p>
    <w:p w14:paraId="71924072" w14:textId="77777777" w:rsidR="00AF761E" w:rsidRPr="00AF761E" w:rsidRDefault="00AF761E" w:rsidP="00AF761E">
      <w:pPr>
        <w:spacing w:after="0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lastRenderedPageBreak/>
        <w:pict w14:anchorId="7D06BDC0">
          <v:rect id="_x0000_i1028" style="width:0;height:1.5pt" o:hralign="center" o:hrstd="t" o:hr="t" fillcolor="#a0a0a0" stroked="f"/>
        </w:pict>
      </w:r>
    </w:p>
    <w:p w14:paraId="12BF522C" w14:textId="77777777" w:rsidR="00AF761E" w:rsidRPr="00AF761E" w:rsidRDefault="00AF761E" w:rsidP="00AF76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ZA"/>
        </w:rPr>
      </w:pPr>
      <w:r w:rsidRPr="00AF761E">
        <w:rPr>
          <w:rFonts w:eastAsia="Times New Roman" w:cstheme="minorHAnsi"/>
          <w:b/>
          <w:bCs/>
          <w:lang w:eastAsia="en-ZA"/>
        </w:rPr>
        <w:t>5. Develop a future no-show risk model</w:t>
      </w:r>
    </w:p>
    <w:p w14:paraId="50C02618" w14:textId="77777777" w:rsidR="00AF761E" w:rsidRPr="00AF761E" w:rsidRDefault="00AF761E" w:rsidP="00AF761E">
      <w:p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>The Week 6 analysis identified several variables that could potentially support future predictive modelling:</w:t>
      </w:r>
    </w:p>
    <w:p w14:paraId="768244D3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Previous no-shows </w:t>
      </w:r>
    </w:p>
    <w:p w14:paraId="7E97583F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Previous appointments </w:t>
      </w:r>
    </w:p>
    <w:p w14:paraId="0F2163FF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Reminder status </w:t>
      </w:r>
    </w:p>
    <w:p w14:paraId="0F05F1E6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Reminder channel </w:t>
      </w:r>
    </w:p>
    <w:p w14:paraId="721DCA3C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Distance to clinic </w:t>
      </w:r>
    </w:p>
    <w:p w14:paraId="7BE45D26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Waiting time </w:t>
      </w:r>
    </w:p>
    <w:p w14:paraId="02D676AA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Appointment type </w:t>
      </w:r>
    </w:p>
    <w:p w14:paraId="789314F9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Age group </w:t>
      </w:r>
    </w:p>
    <w:p w14:paraId="3D987DA9" w14:textId="77777777" w:rsidR="00AF761E" w:rsidRPr="00AF761E" w:rsidRDefault="00AF761E" w:rsidP="00AF7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ZA"/>
        </w:rPr>
      </w:pPr>
      <w:r w:rsidRPr="00AF761E">
        <w:rPr>
          <w:rFonts w:eastAsia="Times New Roman" w:cstheme="minorHAnsi"/>
          <w:lang w:eastAsia="en-ZA"/>
        </w:rPr>
        <w:t xml:space="preserve">Booking lead time </w:t>
      </w:r>
    </w:p>
    <w:p w14:paraId="4C2A01A4" w14:textId="77777777" w:rsidR="00E12FDE" w:rsidRPr="00AF761E" w:rsidRDefault="00E12FDE">
      <w:pPr>
        <w:rPr>
          <w:rFonts w:cstheme="minorHAnsi"/>
        </w:rPr>
      </w:pPr>
    </w:p>
    <w:sectPr w:rsidR="00E12FDE" w:rsidRPr="00AF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E4540A"/>
    <w:multiLevelType w:val="multilevel"/>
    <w:tmpl w:val="7E0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1E"/>
    <w:rsid w:val="00AF761E"/>
    <w:rsid w:val="00E1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ABA04"/>
  <w15:chartTrackingRefBased/>
  <w15:docId w15:val="{0698BE89-4280-46A6-9073-3D1F4F71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7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F7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761E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F761E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AF7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F76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Seluleko Mathonsi</dc:creator>
  <cp:keywords/>
  <dc:description/>
  <cp:lastModifiedBy>Seluleko Mathonsi</cp:lastModifiedBy>
  <cp:revision>1</cp:revision>
  <dcterms:created xsi:type="dcterms:W3CDTF">2026-09-12T16:52:00Z</dcterms:created>
  <dcterms:modified xsi:type="dcterms:W3CDTF">2026-09-12T16:56:00Z</dcterms:modified>
</cp:coreProperties>
</file>