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72471" w14:textId="71F62AFE" w:rsidR="00E66C9E" w:rsidRPr="00E66C9E" w:rsidRDefault="00E66C9E" w:rsidP="00E66C9E">
      <w:pPr>
        <w:spacing w:before="100" w:beforeAutospacing="1" w:after="100" w:afterAutospacing="1" w:line="240" w:lineRule="auto"/>
        <w:outlineLvl w:val="0"/>
        <w:rPr>
          <w:rFonts w:eastAsia="Times New Roman" w:cstheme="minorHAnsi"/>
          <w:b/>
          <w:bCs/>
          <w:kern w:val="36"/>
          <w:sz w:val="48"/>
          <w:szCs w:val="48"/>
          <w:lang w:eastAsia="en-ZA"/>
        </w:rPr>
      </w:pPr>
      <w:r w:rsidRPr="00E66C9E">
        <w:rPr>
          <w:rFonts w:eastAsia="Times New Roman" w:cstheme="minorHAnsi"/>
          <w:b/>
          <w:bCs/>
          <w:kern w:val="36"/>
          <w:sz w:val="48"/>
          <w:szCs w:val="48"/>
          <w:lang w:eastAsia="en-ZA"/>
        </w:rPr>
        <w:t>1. Important Week 5 Findings</w:t>
      </w:r>
    </w:p>
    <w:p w14:paraId="48FDECC6" w14:textId="77777777" w:rsidR="00E66C9E" w:rsidRPr="00E66C9E" w:rsidRDefault="00E66C9E" w:rsidP="00E66C9E">
      <w:pPr>
        <w:spacing w:before="100" w:beforeAutospacing="1" w:after="100" w:afterAutospacing="1" w:line="240" w:lineRule="auto"/>
        <w:rPr>
          <w:rFonts w:eastAsia="Times New Roman" w:cstheme="minorHAnsi"/>
          <w:sz w:val="24"/>
          <w:szCs w:val="24"/>
          <w:lang w:eastAsia="en-ZA"/>
        </w:rPr>
      </w:pPr>
      <w:r w:rsidRPr="00E66C9E">
        <w:rPr>
          <w:rFonts w:eastAsia="Times New Roman" w:cstheme="minorHAnsi"/>
          <w:sz w:val="24"/>
          <w:szCs w:val="24"/>
          <w:lang w:eastAsia="en-ZA"/>
        </w:rPr>
        <w:t>The Week 5 analysis identified a number of patterns related to appointment attendance. For Week 6, the analysis was narrowed to the findings most relevant to improving appointment attendance and supporting operational decision-making.</w:t>
      </w:r>
    </w:p>
    <w:p w14:paraId="117DCDFC" w14:textId="77777777" w:rsidR="00E66C9E" w:rsidRPr="00E20AED" w:rsidRDefault="00E66C9E" w:rsidP="00E66C9E">
      <w:pPr>
        <w:pStyle w:val="pdq2pgselectionanchorcontainer"/>
        <w:rPr>
          <w:rFonts w:asciiTheme="minorHAnsi" w:hAnsiTheme="minorHAnsi" w:cstheme="minorHAnsi"/>
        </w:rPr>
      </w:pPr>
      <w:r w:rsidRPr="00E20AED">
        <w:rPr>
          <w:rFonts w:asciiTheme="minorHAnsi" w:hAnsiTheme="minorHAnsi" w:cstheme="minorHAnsi"/>
        </w:rPr>
        <w:t>The key findings selected for further investigation were:</w:t>
      </w:r>
    </w:p>
    <w:p w14:paraId="2253FF03" w14:textId="77777777" w:rsidR="00E66C9E" w:rsidRPr="00E20AED" w:rsidRDefault="00E66C9E" w:rsidP="00E66C9E">
      <w:pPr>
        <w:pStyle w:val="Heading3"/>
        <w:rPr>
          <w:rFonts w:asciiTheme="minorHAnsi" w:hAnsiTheme="minorHAnsi" w:cstheme="minorHAnsi"/>
        </w:rPr>
      </w:pPr>
      <w:r w:rsidRPr="00E20AED">
        <w:rPr>
          <w:rFonts w:asciiTheme="minorHAnsi" w:hAnsiTheme="minorHAnsi" w:cstheme="minorHAnsi"/>
        </w:rPr>
        <w:t>1. High overall no-show rate</w:t>
      </w:r>
    </w:p>
    <w:p w14:paraId="0B6ACDFD"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The overall no-show rate was </w:t>
      </w:r>
      <w:r w:rsidRPr="00E20AED">
        <w:rPr>
          <w:rStyle w:val="Strong"/>
          <w:rFonts w:asciiTheme="minorHAnsi" w:hAnsiTheme="minorHAnsi" w:cstheme="minorHAnsi"/>
        </w:rPr>
        <w:t>48.46%</w:t>
      </w:r>
      <w:r w:rsidRPr="00E20AED">
        <w:rPr>
          <w:rFonts w:asciiTheme="minorHAnsi" w:hAnsiTheme="minorHAnsi" w:cstheme="minorHAnsi"/>
        </w:rPr>
        <w:t>, meaning almost half of scheduled appointments were not attended.</w:t>
      </w:r>
    </w:p>
    <w:p w14:paraId="1B6D29B8" w14:textId="77777777" w:rsidR="00E66C9E" w:rsidRPr="00E20AED" w:rsidRDefault="00E66C9E" w:rsidP="00E66C9E">
      <w:pPr>
        <w:pStyle w:val="Heading3"/>
        <w:rPr>
          <w:rFonts w:asciiTheme="minorHAnsi" w:hAnsiTheme="minorHAnsi" w:cstheme="minorHAnsi"/>
        </w:rPr>
      </w:pPr>
      <w:r w:rsidRPr="00E20AED">
        <w:rPr>
          <w:rFonts w:asciiTheme="minorHAnsi" w:hAnsiTheme="minorHAnsi" w:cstheme="minorHAnsi"/>
        </w:rPr>
        <w:t>2. Distance from the clinic</w:t>
      </w:r>
    </w:p>
    <w:p w14:paraId="45E64445"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Patients in the </w:t>
      </w:r>
      <w:r w:rsidRPr="00E20AED">
        <w:rPr>
          <w:rStyle w:val="Strong"/>
          <w:rFonts w:asciiTheme="minorHAnsi" w:hAnsiTheme="minorHAnsi" w:cstheme="minorHAnsi"/>
        </w:rPr>
        <w:t>20+ km</w:t>
      </w:r>
      <w:r w:rsidRPr="00E20AED">
        <w:rPr>
          <w:rFonts w:asciiTheme="minorHAnsi" w:hAnsiTheme="minorHAnsi" w:cstheme="minorHAnsi"/>
        </w:rPr>
        <w:t xml:space="preserve"> distance category showed a relatively high no-show rate. This suggested that travel distance may be associated with appointment attendance.</w:t>
      </w:r>
    </w:p>
    <w:p w14:paraId="2DD5EF66" w14:textId="77777777" w:rsidR="00E66C9E" w:rsidRPr="00E20AED" w:rsidRDefault="00E66C9E" w:rsidP="00E66C9E">
      <w:pPr>
        <w:pStyle w:val="Heading3"/>
        <w:rPr>
          <w:rFonts w:asciiTheme="minorHAnsi" w:hAnsiTheme="minorHAnsi" w:cstheme="minorHAnsi"/>
        </w:rPr>
      </w:pPr>
      <w:r w:rsidRPr="00E20AED">
        <w:rPr>
          <w:rFonts w:asciiTheme="minorHAnsi" w:hAnsiTheme="minorHAnsi" w:cstheme="minorHAnsi"/>
        </w:rPr>
        <w:t>3. Waiting time</w:t>
      </w:r>
    </w:p>
    <w:p w14:paraId="034DD7DA"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Differences were observed in no-show rates across waiting-time categories. However, the presence of missing waiting-time values meant that this relationship required cautious interpretation.</w:t>
      </w:r>
    </w:p>
    <w:p w14:paraId="5C5E77B9" w14:textId="77777777" w:rsidR="00E66C9E" w:rsidRPr="00E20AED" w:rsidRDefault="00E66C9E" w:rsidP="00E66C9E">
      <w:pPr>
        <w:pStyle w:val="Heading3"/>
        <w:rPr>
          <w:rFonts w:asciiTheme="minorHAnsi" w:hAnsiTheme="minorHAnsi" w:cstheme="minorHAnsi"/>
        </w:rPr>
      </w:pPr>
      <w:r w:rsidRPr="00E20AED">
        <w:rPr>
          <w:rFonts w:asciiTheme="minorHAnsi" w:hAnsiTheme="minorHAnsi" w:cstheme="minorHAnsi"/>
        </w:rPr>
        <w:t>4. Appointment reminders</w:t>
      </w:r>
    </w:p>
    <w:p w14:paraId="2F23D086"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Approximately </w:t>
      </w:r>
      <w:r w:rsidRPr="00E20AED">
        <w:rPr>
          <w:rStyle w:val="Strong"/>
          <w:rFonts w:asciiTheme="minorHAnsi" w:hAnsiTheme="minorHAnsi" w:cstheme="minorHAnsi"/>
        </w:rPr>
        <w:t>72.68% of appointments had a reminder sent</w:t>
      </w:r>
      <w:r w:rsidRPr="00E20AED">
        <w:rPr>
          <w:rFonts w:asciiTheme="minorHAnsi" w:hAnsiTheme="minorHAnsi" w:cstheme="minorHAnsi"/>
        </w:rPr>
        <w:t>, creating an opportunity to investigate whether reminder status is associated with appointment attendance.</w:t>
      </w:r>
    </w:p>
    <w:p w14:paraId="0C0366C5"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These findings were selected because they represent potential explanations for missed appointments and include factors that </w:t>
      </w:r>
      <w:proofErr w:type="spellStart"/>
      <w:r w:rsidRPr="00E20AED">
        <w:rPr>
          <w:rFonts w:asciiTheme="minorHAnsi" w:hAnsiTheme="minorHAnsi" w:cstheme="minorHAnsi"/>
        </w:rPr>
        <w:t>HealthConnect</w:t>
      </w:r>
      <w:proofErr w:type="spellEnd"/>
      <w:r w:rsidRPr="00E20AED">
        <w:rPr>
          <w:rFonts w:asciiTheme="minorHAnsi" w:hAnsiTheme="minorHAnsi" w:cstheme="minorHAnsi"/>
        </w:rPr>
        <w:t xml:space="preserve"> may be able to influence through operational interventions.</w:t>
      </w:r>
    </w:p>
    <w:p w14:paraId="6870D781" w14:textId="50B8C201" w:rsidR="001F4E4C" w:rsidRPr="00E20AED" w:rsidRDefault="001F4E4C">
      <w:pPr>
        <w:rPr>
          <w:rFonts w:cstheme="minorHAnsi"/>
        </w:rPr>
      </w:pPr>
    </w:p>
    <w:p w14:paraId="6BF870E6" w14:textId="77777777" w:rsidR="00E66C9E" w:rsidRPr="00E20AED" w:rsidRDefault="00E66C9E" w:rsidP="00E66C9E">
      <w:pPr>
        <w:pStyle w:val="Heading1"/>
        <w:rPr>
          <w:rFonts w:asciiTheme="minorHAnsi" w:hAnsiTheme="minorHAnsi" w:cstheme="minorHAnsi"/>
        </w:rPr>
      </w:pPr>
      <w:r w:rsidRPr="00E20AED">
        <w:rPr>
          <w:rFonts w:asciiTheme="minorHAnsi" w:hAnsiTheme="minorHAnsi" w:cstheme="minorHAnsi"/>
        </w:rPr>
        <w:t>2. Additional Analysis</w:t>
      </w:r>
    </w:p>
    <w:p w14:paraId="3510225D"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The Week 6 analysis extended the Week 5 work by examining the selected factors in greater detail rather than simply reproducing the original dashboard.</w:t>
      </w:r>
    </w:p>
    <w:p w14:paraId="7DD620A7" w14:textId="77777777" w:rsidR="00E66C9E" w:rsidRPr="00E20AED" w:rsidRDefault="00E66C9E" w:rsidP="00E66C9E">
      <w:pPr>
        <w:pStyle w:val="Heading3"/>
        <w:rPr>
          <w:rFonts w:asciiTheme="minorHAnsi" w:hAnsiTheme="minorHAnsi" w:cstheme="minorHAnsi"/>
        </w:rPr>
      </w:pPr>
      <w:r w:rsidRPr="00E20AED">
        <w:rPr>
          <w:rFonts w:asciiTheme="minorHAnsi" w:hAnsiTheme="minorHAnsi" w:cstheme="minorHAnsi"/>
        </w:rPr>
        <w:t>Distance</w:t>
      </w:r>
    </w:p>
    <w:p w14:paraId="1AAFA599"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The distance analysis showed that the </w:t>
      </w:r>
      <w:r w:rsidRPr="00E20AED">
        <w:rPr>
          <w:rStyle w:val="Strong"/>
          <w:rFonts w:asciiTheme="minorHAnsi" w:hAnsiTheme="minorHAnsi" w:cstheme="minorHAnsi"/>
        </w:rPr>
        <w:t>20+ km group had a relatively high no-show rate</w:t>
      </w:r>
      <w:r w:rsidRPr="00E20AED">
        <w:rPr>
          <w:rFonts w:asciiTheme="minorHAnsi" w:hAnsiTheme="minorHAnsi" w:cstheme="minorHAnsi"/>
        </w:rPr>
        <w:t xml:space="preserve"> compared with shorter-distance groups.</w:t>
      </w:r>
    </w:p>
    <w:p w14:paraId="5F70AD08"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lastRenderedPageBreak/>
        <w:t>This suggests that accessibility and travel requirements may be relevant factors in appointment attendance.</w:t>
      </w:r>
    </w:p>
    <w:p w14:paraId="00AAEC91"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However, records with missing distance information were treated separately rather than being interpreted as a genuine distance category.</w:t>
      </w:r>
    </w:p>
    <w:p w14:paraId="3842364A" w14:textId="77777777" w:rsidR="00E66C9E" w:rsidRPr="00E20AED" w:rsidRDefault="00E66C9E" w:rsidP="00E66C9E">
      <w:pPr>
        <w:pStyle w:val="Heading3"/>
        <w:rPr>
          <w:rFonts w:asciiTheme="minorHAnsi" w:hAnsiTheme="minorHAnsi" w:cstheme="minorHAnsi"/>
        </w:rPr>
      </w:pPr>
      <w:r w:rsidRPr="00E20AED">
        <w:rPr>
          <w:rFonts w:asciiTheme="minorHAnsi" w:hAnsiTheme="minorHAnsi" w:cstheme="minorHAnsi"/>
        </w:rPr>
        <w:t>Waiting Time</w:t>
      </w:r>
    </w:p>
    <w:p w14:paraId="5F2996E3"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Waiting-time categories showed variation in no-show rates. The analysis also identified a relatively high no-show rate among records </w:t>
      </w:r>
      <w:proofErr w:type="spellStart"/>
      <w:r w:rsidRPr="00E20AED">
        <w:rPr>
          <w:rFonts w:asciiTheme="minorHAnsi" w:hAnsiTheme="minorHAnsi" w:cstheme="minorHAnsi"/>
        </w:rPr>
        <w:t>where</w:t>
      </w:r>
      <w:proofErr w:type="spellEnd"/>
      <w:r w:rsidRPr="00E20AED">
        <w:rPr>
          <w:rFonts w:asciiTheme="minorHAnsi" w:hAnsiTheme="minorHAnsi" w:cstheme="minorHAnsi"/>
        </w:rPr>
        <w:t xml:space="preserve"> waiting-time information was unavailable.</w:t>
      </w:r>
    </w:p>
    <w:p w14:paraId="598E7E3F"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Because missing waiting-time records do not represent an actual waiting-time category, this result should be treated as a </w:t>
      </w:r>
      <w:r w:rsidRPr="00E20AED">
        <w:rPr>
          <w:rStyle w:val="Strong"/>
          <w:rFonts w:asciiTheme="minorHAnsi" w:hAnsiTheme="minorHAnsi" w:cstheme="minorHAnsi"/>
        </w:rPr>
        <w:t>data-quality signal rather than evidence that an unknown waiting time causes no-shows</w:t>
      </w:r>
      <w:r w:rsidRPr="00E20AED">
        <w:rPr>
          <w:rFonts w:asciiTheme="minorHAnsi" w:hAnsiTheme="minorHAnsi" w:cstheme="minorHAnsi"/>
        </w:rPr>
        <w:t>.</w:t>
      </w:r>
    </w:p>
    <w:p w14:paraId="4A8E136C" w14:textId="77777777" w:rsidR="00E66C9E" w:rsidRPr="00E20AED" w:rsidRDefault="00E66C9E" w:rsidP="00E66C9E">
      <w:pPr>
        <w:pStyle w:val="Heading3"/>
        <w:rPr>
          <w:rFonts w:asciiTheme="minorHAnsi" w:hAnsiTheme="minorHAnsi" w:cstheme="minorHAnsi"/>
        </w:rPr>
      </w:pPr>
      <w:r w:rsidRPr="00E20AED">
        <w:rPr>
          <w:rFonts w:asciiTheme="minorHAnsi" w:hAnsiTheme="minorHAnsi" w:cstheme="minorHAnsi"/>
        </w:rPr>
        <w:t>Reminder Status</w:t>
      </w:r>
    </w:p>
    <w:p w14:paraId="478BFC96"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The analysis compared no-show rates between appointments where a reminder was sent and appointments where no reminder was recorded.</w:t>
      </w:r>
    </w:p>
    <w:p w14:paraId="6065E4FA"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This provides </w:t>
      </w:r>
      <w:proofErr w:type="spellStart"/>
      <w:r w:rsidRPr="00E20AED">
        <w:rPr>
          <w:rFonts w:asciiTheme="minorHAnsi" w:hAnsiTheme="minorHAnsi" w:cstheme="minorHAnsi"/>
        </w:rPr>
        <w:t>HealthConnect</w:t>
      </w:r>
      <w:proofErr w:type="spellEnd"/>
      <w:r w:rsidRPr="00E20AED">
        <w:rPr>
          <w:rFonts w:asciiTheme="minorHAnsi" w:hAnsiTheme="minorHAnsi" w:cstheme="minorHAnsi"/>
        </w:rPr>
        <w:t xml:space="preserve"> with an operationally relevant comparison because reminder processes are potentially actionable.</w:t>
      </w:r>
    </w:p>
    <w:p w14:paraId="400E2688"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The relationship should be interpreted as an </w:t>
      </w:r>
      <w:r w:rsidRPr="00E20AED">
        <w:rPr>
          <w:rStyle w:val="Strong"/>
          <w:rFonts w:asciiTheme="minorHAnsi" w:hAnsiTheme="minorHAnsi" w:cstheme="minorHAnsi"/>
        </w:rPr>
        <w:t>association rather than proof that reminders directly cause attendance</w:t>
      </w:r>
      <w:r w:rsidRPr="00E20AED">
        <w:rPr>
          <w:rFonts w:asciiTheme="minorHAnsi" w:hAnsiTheme="minorHAnsi" w:cstheme="minorHAnsi"/>
        </w:rPr>
        <w:t>, since other factors may influence the result.</w:t>
      </w:r>
    </w:p>
    <w:p w14:paraId="5AF77901" w14:textId="7E405A38" w:rsidR="00E66C9E" w:rsidRPr="00E20AED" w:rsidRDefault="00E66C9E">
      <w:pPr>
        <w:rPr>
          <w:rFonts w:cstheme="minorHAnsi"/>
        </w:rPr>
      </w:pPr>
    </w:p>
    <w:p w14:paraId="55C35C2B" w14:textId="77777777" w:rsidR="00E66C9E" w:rsidRPr="00E20AED" w:rsidRDefault="00E66C9E" w:rsidP="00E66C9E">
      <w:pPr>
        <w:pStyle w:val="Heading1"/>
        <w:rPr>
          <w:rFonts w:asciiTheme="minorHAnsi" w:hAnsiTheme="minorHAnsi" w:cstheme="minorHAnsi"/>
        </w:rPr>
      </w:pPr>
      <w:r w:rsidRPr="00E20AED">
        <w:rPr>
          <w:rFonts w:asciiTheme="minorHAnsi" w:hAnsiTheme="minorHAnsi" w:cstheme="minorHAnsi"/>
        </w:rPr>
        <w:t>3. Segment Patterns</w:t>
      </w:r>
    </w:p>
    <w:p w14:paraId="42B3C0E7"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The analysis was further considered across different patient and appointment segments to identify groups that may require additional attention.</w:t>
      </w:r>
    </w:p>
    <w:p w14:paraId="04FC2B3F"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The main segmentation dimensions included:</w:t>
      </w:r>
    </w:p>
    <w:p w14:paraId="5913D4BF" w14:textId="77777777" w:rsidR="00E66C9E" w:rsidRPr="00E20AED" w:rsidRDefault="00E66C9E" w:rsidP="00E66C9E">
      <w:pPr>
        <w:numPr>
          <w:ilvl w:val="0"/>
          <w:numId w:val="1"/>
        </w:numPr>
        <w:spacing w:before="100" w:beforeAutospacing="1" w:after="100" w:afterAutospacing="1" w:line="240" w:lineRule="auto"/>
        <w:rPr>
          <w:rFonts w:cstheme="minorHAnsi"/>
        </w:rPr>
      </w:pPr>
      <w:r w:rsidRPr="00E20AED">
        <w:rPr>
          <w:rFonts w:cstheme="minorHAnsi"/>
        </w:rPr>
        <w:t xml:space="preserve">Age group </w:t>
      </w:r>
    </w:p>
    <w:p w14:paraId="68D57A74" w14:textId="77777777" w:rsidR="00E66C9E" w:rsidRPr="00E20AED" w:rsidRDefault="00E66C9E" w:rsidP="00E66C9E">
      <w:pPr>
        <w:numPr>
          <w:ilvl w:val="0"/>
          <w:numId w:val="1"/>
        </w:numPr>
        <w:spacing w:before="100" w:beforeAutospacing="1" w:after="100" w:afterAutospacing="1" w:line="240" w:lineRule="auto"/>
        <w:rPr>
          <w:rFonts w:cstheme="minorHAnsi"/>
        </w:rPr>
      </w:pPr>
      <w:r w:rsidRPr="00E20AED">
        <w:rPr>
          <w:rFonts w:cstheme="minorHAnsi"/>
        </w:rPr>
        <w:t xml:space="preserve">Gender </w:t>
      </w:r>
    </w:p>
    <w:p w14:paraId="60C79087" w14:textId="77777777" w:rsidR="00E66C9E" w:rsidRPr="00E20AED" w:rsidRDefault="00E66C9E" w:rsidP="00E66C9E">
      <w:pPr>
        <w:numPr>
          <w:ilvl w:val="0"/>
          <w:numId w:val="1"/>
        </w:numPr>
        <w:spacing w:before="100" w:beforeAutospacing="1" w:after="100" w:afterAutospacing="1" w:line="240" w:lineRule="auto"/>
        <w:rPr>
          <w:rFonts w:cstheme="minorHAnsi"/>
        </w:rPr>
      </w:pPr>
      <w:r w:rsidRPr="00E20AED">
        <w:rPr>
          <w:rFonts w:cstheme="minorHAnsi"/>
        </w:rPr>
        <w:t xml:space="preserve">Appointment type </w:t>
      </w:r>
    </w:p>
    <w:p w14:paraId="63006375" w14:textId="77777777" w:rsidR="00E66C9E" w:rsidRPr="00E20AED" w:rsidRDefault="00E66C9E" w:rsidP="00E66C9E">
      <w:pPr>
        <w:numPr>
          <w:ilvl w:val="0"/>
          <w:numId w:val="1"/>
        </w:numPr>
        <w:spacing w:before="100" w:beforeAutospacing="1" w:after="100" w:afterAutospacing="1" w:line="240" w:lineRule="auto"/>
        <w:rPr>
          <w:rFonts w:cstheme="minorHAnsi"/>
        </w:rPr>
      </w:pPr>
      <w:r w:rsidRPr="00E20AED">
        <w:rPr>
          <w:rFonts w:cstheme="minorHAnsi"/>
        </w:rPr>
        <w:t xml:space="preserve">Distance band </w:t>
      </w:r>
    </w:p>
    <w:p w14:paraId="20F4663C" w14:textId="77777777" w:rsidR="00E66C9E" w:rsidRPr="00E20AED" w:rsidRDefault="00E66C9E" w:rsidP="00E66C9E">
      <w:pPr>
        <w:numPr>
          <w:ilvl w:val="0"/>
          <w:numId w:val="1"/>
        </w:numPr>
        <w:spacing w:before="100" w:beforeAutospacing="1" w:after="100" w:afterAutospacing="1" w:line="240" w:lineRule="auto"/>
        <w:rPr>
          <w:rFonts w:cstheme="minorHAnsi"/>
        </w:rPr>
      </w:pPr>
      <w:r w:rsidRPr="00E20AED">
        <w:rPr>
          <w:rFonts w:cstheme="minorHAnsi"/>
        </w:rPr>
        <w:t xml:space="preserve">Waiting-time band </w:t>
      </w:r>
    </w:p>
    <w:p w14:paraId="5B02C065" w14:textId="77777777" w:rsidR="00E66C9E" w:rsidRPr="00E20AED" w:rsidRDefault="00E66C9E" w:rsidP="00E66C9E">
      <w:pPr>
        <w:numPr>
          <w:ilvl w:val="0"/>
          <w:numId w:val="1"/>
        </w:numPr>
        <w:spacing w:before="100" w:beforeAutospacing="1" w:after="100" w:afterAutospacing="1" w:line="240" w:lineRule="auto"/>
        <w:rPr>
          <w:rFonts w:cstheme="minorHAnsi"/>
        </w:rPr>
      </w:pPr>
      <w:r w:rsidRPr="00E20AED">
        <w:rPr>
          <w:rFonts w:cstheme="minorHAnsi"/>
        </w:rPr>
        <w:t xml:space="preserve">Reminder status </w:t>
      </w:r>
    </w:p>
    <w:p w14:paraId="139BD02A" w14:textId="77777777" w:rsidR="00E66C9E" w:rsidRPr="00E20AED" w:rsidRDefault="00E66C9E" w:rsidP="00E66C9E">
      <w:pPr>
        <w:numPr>
          <w:ilvl w:val="0"/>
          <w:numId w:val="1"/>
        </w:numPr>
        <w:spacing w:before="100" w:beforeAutospacing="1" w:after="100" w:afterAutospacing="1" w:line="240" w:lineRule="auto"/>
        <w:rPr>
          <w:rFonts w:cstheme="minorHAnsi"/>
        </w:rPr>
      </w:pPr>
      <w:r w:rsidRPr="00E20AED">
        <w:rPr>
          <w:rFonts w:cstheme="minorHAnsi"/>
        </w:rPr>
        <w:t xml:space="preserve">Previous no-shows </w:t>
      </w:r>
    </w:p>
    <w:p w14:paraId="5B8D9D31"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The analysis indicates that no-show behaviour is </w:t>
      </w:r>
      <w:r w:rsidRPr="00E20AED">
        <w:rPr>
          <w:rStyle w:val="Strong"/>
          <w:rFonts w:asciiTheme="minorHAnsi" w:hAnsiTheme="minorHAnsi" w:cstheme="minorHAnsi"/>
        </w:rPr>
        <w:t>not necessarily uniform across the entire patient population</w:t>
      </w:r>
      <w:r w:rsidRPr="00E20AED">
        <w:rPr>
          <w:rFonts w:asciiTheme="minorHAnsi" w:hAnsiTheme="minorHAnsi" w:cstheme="minorHAnsi"/>
        </w:rPr>
        <w:t>.</w:t>
      </w:r>
    </w:p>
    <w:p w14:paraId="62D45B02"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lastRenderedPageBreak/>
        <w:t>Certain segments showed higher no-show rates than others, particularly patients in the longer-distance category and patients with previous missed appointments.</w:t>
      </w:r>
    </w:p>
    <w:p w14:paraId="07B43F63"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 xml:space="preserve">This suggests that </w:t>
      </w:r>
      <w:proofErr w:type="spellStart"/>
      <w:r w:rsidRPr="00E20AED">
        <w:rPr>
          <w:rFonts w:asciiTheme="minorHAnsi" w:hAnsiTheme="minorHAnsi" w:cstheme="minorHAnsi"/>
        </w:rPr>
        <w:t>HealthConnect</w:t>
      </w:r>
      <w:proofErr w:type="spellEnd"/>
      <w:r w:rsidRPr="00E20AED">
        <w:rPr>
          <w:rFonts w:asciiTheme="minorHAnsi" w:hAnsiTheme="minorHAnsi" w:cstheme="minorHAnsi"/>
        </w:rPr>
        <w:t xml:space="preserve"> could benefit from </w:t>
      </w:r>
      <w:r w:rsidRPr="00E20AED">
        <w:rPr>
          <w:rStyle w:val="Strong"/>
          <w:rFonts w:asciiTheme="minorHAnsi" w:hAnsiTheme="minorHAnsi" w:cstheme="minorHAnsi"/>
        </w:rPr>
        <w:t>targeted attendance interventions rather than applying exactly the same approach to every patient</w:t>
      </w:r>
      <w:r w:rsidRPr="00E20AED">
        <w:rPr>
          <w:rFonts w:asciiTheme="minorHAnsi" w:hAnsiTheme="minorHAnsi" w:cstheme="minorHAnsi"/>
        </w:rPr>
        <w:t>.</w:t>
      </w:r>
    </w:p>
    <w:p w14:paraId="28F05C68" w14:textId="77777777" w:rsidR="00E66C9E" w:rsidRPr="00E20AED" w:rsidRDefault="00E66C9E" w:rsidP="00E66C9E">
      <w:pPr>
        <w:pStyle w:val="NormalWeb"/>
        <w:rPr>
          <w:rFonts w:asciiTheme="minorHAnsi" w:hAnsiTheme="minorHAnsi" w:cstheme="minorHAnsi"/>
        </w:rPr>
      </w:pPr>
      <w:r w:rsidRPr="00E20AED">
        <w:rPr>
          <w:rFonts w:asciiTheme="minorHAnsi" w:hAnsiTheme="minorHAnsi" w:cstheme="minorHAnsi"/>
        </w:rPr>
        <w:t>For example, patients with previous no-shows could potentially receive additional reminders or confirmation requests before their appointments.</w:t>
      </w:r>
    </w:p>
    <w:p w14:paraId="05D2046B" w14:textId="544AFB4F" w:rsidR="00E66C9E" w:rsidRPr="00E20AED" w:rsidRDefault="00E66C9E">
      <w:pPr>
        <w:rPr>
          <w:rFonts w:cstheme="minorHAnsi"/>
        </w:rPr>
      </w:pPr>
    </w:p>
    <w:p w14:paraId="62F6D08D" w14:textId="77777777" w:rsidR="00E20AED" w:rsidRPr="00E20AED" w:rsidRDefault="00E20AED" w:rsidP="00E20AED">
      <w:pPr>
        <w:pStyle w:val="Heading1"/>
        <w:rPr>
          <w:rFonts w:asciiTheme="minorHAnsi" w:hAnsiTheme="minorHAnsi" w:cstheme="minorHAnsi"/>
        </w:rPr>
      </w:pPr>
      <w:r w:rsidRPr="00E20AED">
        <w:rPr>
          <w:rFonts w:asciiTheme="minorHAnsi" w:hAnsiTheme="minorHAnsi" w:cstheme="minorHAnsi"/>
        </w:rPr>
        <w:t>4. Relationships Between Variables</w:t>
      </w:r>
    </w:p>
    <w:p w14:paraId="31AB97F3"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Several relationships were investigated to better understand factors associated with appointment attendance.</w:t>
      </w:r>
    </w:p>
    <w:p w14:paraId="1EF1203E" w14:textId="77777777" w:rsidR="00E20AED" w:rsidRPr="00E20AED" w:rsidRDefault="00E20AED" w:rsidP="00E20AED">
      <w:pPr>
        <w:pStyle w:val="Heading3"/>
        <w:rPr>
          <w:rFonts w:asciiTheme="minorHAnsi" w:hAnsiTheme="minorHAnsi" w:cstheme="minorHAnsi"/>
        </w:rPr>
      </w:pPr>
      <w:r w:rsidRPr="00E20AED">
        <w:rPr>
          <w:rFonts w:asciiTheme="minorHAnsi" w:hAnsiTheme="minorHAnsi" w:cstheme="minorHAnsi"/>
        </w:rPr>
        <w:t>Distance and No-Shows</w:t>
      </w:r>
    </w:p>
    <w:p w14:paraId="236EB1A2"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 xml:space="preserve">The analysis identified a higher no-show rate among appointments associated with longer travel distances, particularly the </w:t>
      </w:r>
      <w:r w:rsidRPr="00E20AED">
        <w:rPr>
          <w:rStyle w:val="Strong"/>
          <w:rFonts w:asciiTheme="minorHAnsi" w:hAnsiTheme="minorHAnsi" w:cstheme="minorHAnsi"/>
        </w:rPr>
        <w:t>20+ km</w:t>
      </w:r>
      <w:r w:rsidRPr="00E20AED">
        <w:rPr>
          <w:rFonts w:asciiTheme="minorHAnsi" w:hAnsiTheme="minorHAnsi" w:cstheme="minorHAnsi"/>
        </w:rPr>
        <w:t xml:space="preserve"> category.</w:t>
      </w:r>
    </w:p>
    <w:p w14:paraId="68A155C9"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This may indicate that accessibility and travel burden are potential contributors to missed appointments.</w:t>
      </w:r>
    </w:p>
    <w:p w14:paraId="1064FA3B" w14:textId="77777777" w:rsidR="00E20AED" w:rsidRPr="00E20AED" w:rsidRDefault="00E20AED" w:rsidP="00E20AED">
      <w:pPr>
        <w:pStyle w:val="Heading3"/>
        <w:rPr>
          <w:rFonts w:asciiTheme="minorHAnsi" w:hAnsiTheme="minorHAnsi" w:cstheme="minorHAnsi"/>
        </w:rPr>
      </w:pPr>
      <w:r w:rsidRPr="00E20AED">
        <w:rPr>
          <w:rFonts w:asciiTheme="minorHAnsi" w:hAnsiTheme="minorHAnsi" w:cstheme="minorHAnsi"/>
        </w:rPr>
        <w:t>Previous No-Shows and Future Attendance</w:t>
      </w:r>
    </w:p>
    <w:p w14:paraId="0CE066BA"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Previous appointment behaviour is particularly relevant because a patient who has previously missed appointments may represent a higher-risk attendance segment.</w:t>
      </w:r>
    </w:p>
    <w:p w14:paraId="17D1B761"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This variable is also potentially useful for future predictive modelling because it provides historical behavioural information.</w:t>
      </w:r>
    </w:p>
    <w:p w14:paraId="6374B47E" w14:textId="77777777" w:rsidR="00E20AED" w:rsidRPr="00E20AED" w:rsidRDefault="00E20AED" w:rsidP="00E20AED">
      <w:pPr>
        <w:pStyle w:val="Heading3"/>
        <w:rPr>
          <w:rFonts w:asciiTheme="minorHAnsi" w:hAnsiTheme="minorHAnsi" w:cstheme="minorHAnsi"/>
        </w:rPr>
      </w:pPr>
      <w:r w:rsidRPr="00E20AED">
        <w:rPr>
          <w:rFonts w:asciiTheme="minorHAnsi" w:hAnsiTheme="minorHAnsi" w:cstheme="minorHAnsi"/>
        </w:rPr>
        <w:t>Reminder Status and Attendance</w:t>
      </w:r>
    </w:p>
    <w:p w14:paraId="0F3D1EB7"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Reminder status was examined to determine whether appointments with reminders showed different attendance outcomes from appointments without reminders.</w:t>
      </w:r>
    </w:p>
    <w:p w14:paraId="36D01D43"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If the reminded group demonstrates a lower no-show rate, this would support further investigation into reminder strategies.</w:t>
      </w:r>
    </w:p>
    <w:p w14:paraId="68FF5174" w14:textId="77777777" w:rsidR="00E20AED" w:rsidRPr="00E20AED" w:rsidRDefault="00E20AED" w:rsidP="00E20AED">
      <w:pPr>
        <w:pStyle w:val="Heading3"/>
        <w:rPr>
          <w:rFonts w:asciiTheme="minorHAnsi" w:hAnsiTheme="minorHAnsi" w:cstheme="minorHAnsi"/>
        </w:rPr>
      </w:pPr>
      <w:r w:rsidRPr="00E20AED">
        <w:rPr>
          <w:rFonts w:asciiTheme="minorHAnsi" w:hAnsiTheme="minorHAnsi" w:cstheme="minorHAnsi"/>
        </w:rPr>
        <w:t>Important interpretation</w:t>
      </w:r>
    </w:p>
    <w:p w14:paraId="25E4BF3C"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 xml:space="preserve">These relationships demonstrate </w:t>
      </w:r>
      <w:r w:rsidRPr="00E20AED">
        <w:rPr>
          <w:rStyle w:val="Strong"/>
          <w:rFonts w:asciiTheme="minorHAnsi" w:hAnsiTheme="minorHAnsi" w:cstheme="minorHAnsi"/>
        </w:rPr>
        <w:t>associations</w:t>
      </w:r>
      <w:r w:rsidRPr="00E20AED">
        <w:rPr>
          <w:rFonts w:asciiTheme="minorHAnsi" w:hAnsiTheme="minorHAnsi" w:cstheme="minorHAnsi"/>
        </w:rPr>
        <w:t>, not causation. The analysis does not establish that distance, reminders or previous no-shows independently cause an appointment to be missed.</w:t>
      </w:r>
    </w:p>
    <w:p w14:paraId="53893072"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lastRenderedPageBreak/>
        <w:t>Further statistical or predictive modelling could be used to assess these relationships more rigorously.</w:t>
      </w:r>
    </w:p>
    <w:p w14:paraId="5B97EAA0" w14:textId="52ECC3E6" w:rsidR="00E20AED" w:rsidRPr="00E20AED" w:rsidRDefault="00E20AED">
      <w:pPr>
        <w:rPr>
          <w:rFonts w:cstheme="minorHAnsi"/>
        </w:rPr>
      </w:pPr>
    </w:p>
    <w:p w14:paraId="0AAA4F14" w14:textId="2DDCDBB7" w:rsidR="00F133B3" w:rsidRDefault="00E20AED" w:rsidP="00F133B3">
      <w:pPr>
        <w:pStyle w:val="Heading1"/>
        <w:rPr>
          <w:rFonts w:asciiTheme="minorHAnsi" w:hAnsiTheme="minorHAnsi" w:cstheme="minorHAnsi"/>
        </w:rPr>
      </w:pPr>
      <w:r w:rsidRPr="00E20AED">
        <w:rPr>
          <w:rFonts w:asciiTheme="minorHAnsi" w:hAnsiTheme="minorHAnsi" w:cstheme="minorHAnsi"/>
        </w:rPr>
        <w:t>5. Validate KPIs</w:t>
      </w:r>
    </w:p>
    <w:p w14:paraId="356C5EC5" w14:textId="77777777" w:rsidR="00F133B3" w:rsidRPr="00F133B3" w:rsidRDefault="00F133B3" w:rsidP="00F133B3">
      <w:pPr>
        <w:spacing w:before="100" w:beforeAutospacing="1" w:after="100" w:afterAutospacing="1" w:line="240" w:lineRule="auto"/>
        <w:rPr>
          <w:rFonts w:eastAsia="Times New Roman" w:cstheme="minorHAnsi"/>
          <w:sz w:val="24"/>
          <w:szCs w:val="24"/>
          <w:lang w:eastAsia="en-ZA"/>
        </w:rPr>
      </w:pPr>
      <w:r w:rsidRPr="00F133B3">
        <w:rPr>
          <w:rFonts w:eastAsia="Times New Roman" w:cstheme="minorHAnsi"/>
          <w:sz w:val="24"/>
          <w:szCs w:val="24"/>
          <w:lang w:eastAsia="en-ZA"/>
        </w:rPr>
        <w:t xml:space="preserve">The Week 5 KPIs were reviewed and retained for Week 6 because they remain relevant to the primary business problem of appointment non-attendance. The overall no-show rate remained the key performance indicator at </w:t>
      </w:r>
      <w:r w:rsidRPr="00F133B3">
        <w:rPr>
          <w:rFonts w:eastAsia="Times New Roman" w:cstheme="minorHAnsi"/>
          <w:b/>
          <w:bCs/>
          <w:sz w:val="24"/>
          <w:szCs w:val="24"/>
          <w:lang w:eastAsia="en-ZA"/>
        </w:rPr>
        <w:t>48.46%</w:t>
      </w:r>
      <w:r w:rsidRPr="00F133B3">
        <w:rPr>
          <w:rFonts w:eastAsia="Times New Roman" w:cstheme="minorHAnsi"/>
          <w:sz w:val="24"/>
          <w:szCs w:val="24"/>
          <w:lang w:eastAsia="en-ZA"/>
        </w:rPr>
        <w:t xml:space="preserve">, confirming that no-shows continue to represent the largest attendance concern in the dataset. The cancellation rate of </w:t>
      </w:r>
      <w:r w:rsidRPr="00F133B3">
        <w:rPr>
          <w:rFonts w:eastAsia="Times New Roman" w:cstheme="minorHAnsi"/>
          <w:b/>
          <w:bCs/>
          <w:sz w:val="24"/>
          <w:szCs w:val="24"/>
          <w:lang w:eastAsia="en-ZA"/>
        </w:rPr>
        <w:t>5.26%</w:t>
      </w:r>
      <w:r w:rsidRPr="00F133B3">
        <w:rPr>
          <w:rFonts w:eastAsia="Times New Roman" w:cstheme="minorHAnsi"/>
          <w:sz w:val="24"/>
          <w:szCs w:val="24"/>
          <w:lang w:eastAsia="en-ZA"/>
        </w:rPr>
        <w:t xml:space="preserve"> also remained substantially lower than the no-show rate.</w:t>
      </w:r>
    </w:p>
    <w:p w14:paraId="197C82EF" w14:textId="77777777" w:rsidR="00F133B3" w:rsidRPr="00F133B3" w:rsidRDefault="00F133B3" w:rsidP="00F133B3">
      <w:pPr>
        <w:spacing w:before="100" w:beforeAutospacing="1" w:after="100" w:afterAutospacing="1" w:line="240" w:lineRule="auto"/>
        <w:rPr>
          <w:rFonts w:eastAsia="Times New Roman" w:cstheme="minorHAnsi"/>
          <w:sz w:val="24"/>
          <w:szCs w:val="24"/>
          <w:lang w:eastAsia="en-ZA"/>
        </w:rPr>
      </w:pPr>
      <w:r w:rsidRPr="00F133B3">
        <w:rPr>
          <w:rFonts w:eastAsia="Times New Roman" w:cstheme="minorHAnsi"/>
          <w:sz w:val="24"/>
          <w:szCs w:val="24"/>
          <w:lang w:eastAsia="en-ZA"/>
        </w:rPr>
        <w:t xml:space="preserve">In addition, </w:t>
      </w:r>
      <w:r w:rsidRPr="00F133B3">
        <w:rPr>
          <w:rFonts w:eastAsia="Times New Roman" w:cstheme="minorHAnsi"/>
          <w:b/>
          <w:bCs/>
          <w:sz w:val="24"/>
          <w:szCs w:val="24"/>
          <w:lang w:eastAsia="en-ZA"/>
        </w:rPr>
        <w:t>Reminder Coverage</w:t>
      </w:r>
      <w:r w:rsidRPr="00F133B3">
        <w:rPr>
          <w:rFonts w:eastAsia="Times New Roman" w:cstheme="minorHAnsi"/>
          <w:sz w:val="24"/>
          <w:szCs w:val="24"/>
          <w:lang w:eastAsia="en-ZA"/>
        </w:rPr>
        <w:t xml:space="preserve"> was introduced as a supporting Week 6 KPI, measuring the proportion of appointments for which a reminder was recorded. Reminder coverage was approximately </w:t>
      </w:r>
      <w:r w:rsidRPr="00F133B3">
        <w:rPr>
          <w:rFonts w:eastAsia="Times New Roman" w:cstheme="minorHAnsi"/>
          <w:b/>
          <w:bCs/>
          <w:sz w:val="24"/>
          <w:szCs w:val="24"/>
          <w:lang w:eastAsia="en-ZA"/>
        </w:rPr>
        <w:t>72.68%</w:t>
      </w:r>
      <w:r w:rsidRPr="00F133B3">
        <w:rPr>
          <w:rFonts w:eastAsia="Times New Roman" w:cstheme="minorHAnsi"/>
          <w:sz w:val="24"/>
          <w:szCs w:val="24"/>
          <w:lang w:eastAsia="en-ZA"/>
        </w:rPr>
        <w:t>. This KPI was added because reminder status was identified as a potentially actionable factor during the deeper analysis.</w:t>
      </w:r>
    </w:p>
    <w:p w14:paraId="58B7DCB8" w14:textId="77777777" w:rsidR="00F133B3" w:rsidRPr="00F133B3" w:rsidRDefault="00F133B3" w:rsidP="00F133B3">
      <w:pPr>
        <w:spacing w:before="100" w:beforeAutospacing="1" w:after="100" w:afterAutospacing="1" w:line="240" w:lineRule="auto"/>
        <w:rPr>
          <w:rFonts w:eastAsia="Times New Roman" w:cstheme="minorHAnsi"/>
          <w:sz w:val="24"/>
          <w:szCs w:val="24"/>
          <w:lang w:eastAsia="en-ZA"/>
        </w:rPr>
      </w:pPr>
      <w:r w:rsidRPr="00F133B3">
        <w:rPr>
          <w:rFonts w:eastAsia="Times New Roman" w:cstheme="minorHAnsi"/>
          <w:sz w:val="24"/>
          <w:szCs w:val="24"/>
          <w:lang w:eastAsia="en-ZA"/>
        </w:rPr>
        <w:t>The KPI validation therefore confirmed the main Week 5 conclusion while providing an additional operational measure that supports the Week 6 recommendation to investigate and strengthen appointment reminder processes.</w:t>
      </w:r>
    </w:p>
    <w:p w14:paraId="29B28901" w14:textId="77777777" w:rsidR="00F133B3" w:rsidRDefault="00F133B3" w:rsidP="00F133B3">
      <w:pPr>
        <w:pStyle w:val="NormalWeb"/>
        <w:rPr>
          <w:rFonts w:asciiTheme="minorHAnsi" w:hAnsiTheme="minorHAnsi" w:cstheme="minorHAnsi"/>
        </w:rPr>
      </w:pPr>
      <w:r w:rsidRPr="00E20AED">
        <w:rPr>
          <w:rFonts w:asciiTheme="minorHAnsi" w:hAnsiTheme="minorHAnsi" w:cstheme="minorHAnsi"/>
        </w:rPr>
        <w:t>The key Week 5 KPIs were reviewed as part of the Week 6 validation process.</w:t>
      </w:r>
    </w:p>
    <w:p w14:paraId="6535FEFD" w14:textId="77777777" w:rsidR="00F133B3" w:rsidRPr="00E20AED" w:rsidRDefault="00F133B3" w:rsidP="00E20AED">
      <w:pPr>
        <w:pStyle w:val="NormalWeb"/>
        <w:rPr>
          <w:rFonts w:asciiTheme="minorHAnsi" w:hAnsiTheme="minorHAnsi" w:cstheme="min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850"/>
      </w:tblGrid>
      <w:tr w:rsidR="00E20AED" w:rsidRPr="00E20AED" w14:paraId="7D6E3D13" w14:textId="77777777" w:rsidTr="00E20AED">
        <w:trPr>
          <w:tblHeader/>
          <w:tblCellSpacing w:w="15" w:type="dxa"/>
        </w:trPr>
        <w:tc>
          <w:tcPr>
            <w:tcW w:w="0" w:type="auto"/>
            <w:vAlign w:val="center"/>
            <w:hideMark/>
          </w:tcPr>
          <w:p w14:paraId="3C6AD513" w14:textId="77777777" w:rsidR="00E20AED" w:rsidRPr="00E20AED" w:rsidRDefault="00E20AED">
            <w:pPr>
              <w:jc w:val="center"/>
              <w:rPr>
                <w:rFonts w:cstheme="minorHAnsi"/>
                <w:b/>
                <w:bCs/>
              </w:rPr>
            </w:pPr>
            <w:r w:rsidRPr="00E20AED">
              <w:rPr>
                <w:rFonts w:cstheme="minorHAnsi"/>
                <w:b/>
                <w:bCs/>
              </w:rPr>
              <w:t>KPI</w:t>
            </w:r>
          </w:p>
        </w:tc>
        <w:tc>
          <w:tcPr>
            <w:tcW w:w="0" w:type="auto"/>
            <w:vAlign w:val="center"/>
            <w:hideMark/>
          </w:tcPr>
          <w:p w14:paraId="697D0D25" w14:textId="77777777" w:rsidR="00E20AED" w:rsidRPr="00E20AED" w:rsidRDefault="00E20AED">
            <w:pPr>
              <w:jc w:val="center"/>
              <w:rPr>
                <w:rFonts w:cstheme="minorHAnsi"/>
                <w:b/>
                <w:bCs/>
              </w:rPr>
            </w:pPr>
            <w:r w:rsidRPr="00E20AED">
              <w:rPr>
                <w:rFonts w:cstheme="minorHAnsi"/>
                <w:b/>
                <w:bCs/>
              </w:rPr>
              <w:t>Result</w:t>
            </w:r>
          </w:p>
        </w:tc>
      </w:tr>
      <w:tr w:rsidR="00E20AED" w:rsidRPr="00E20AED" w14:paraId="71DBB636" w14:textId="77777777" w:rsidTr="00E20AED">
        <w:trPr>
          <w:tblCellSpacing w:w="15" w:type="dxa"/>
        </w:trPr>
        <w:tc>
          <w:tcPr>
            <w:tcW w:w="0" w:type="auto"/>
            <w:vAlign w:val="center"/>
            <w:hideMark/>
          </w:tcPr>
          <w:p w14:paraId="0929ECAE" w14:textId="77777777" w:rsidR="00E20AED" w:rsidRPr="00E20AED" w:rsidRDefault="00E20AED">
            <w:pPr>
              <w:rPr>
                <w:rFonts w:cstheme="minorHAnsi"/>
              </w:rPr>
            </w:pPr>
            <w:r w:rsidRPr="00E20AED">
              <w:rPr>
                <w:rFonts w:cstheme="minorHAnsi"/>
              </w:rPr>
              <w:t>Total Appointments</w:t>
            </w:r>
          </w:p>
        </w:tc>
        <w:tc>
          <w:tcPr>
            <w:tcW w:w="0" w:type="auto"/>
            <w:vAlign w:val="center"/>
            <w:hideMark/>
          </w:tcPr>
          <w:p w14:paraId="28697C8B" w14:textId="77777777" w:rsidR="00E20AED" w:rsidRPr="00E20AED" w:rsidRDefault="00E20AED">
            <w:pPr>
              <w:rPr>
                <w:rFonts w:cstheme="minorHAnsi"/>
              </w:rPr>
            </w:pPr>
            <w:r w:rsidRPr="00E20AED">
              <w:rPr>
                <w:rStyle w:val="Strong"/>
                <w:rFonts w:cstheme="minorHAnsi"/>
              </w:rPr>
              <w:t>5,000</w:t>
            </w:r>
          </w:p>
        </w:tc>
      </w:tr>
      <w:tr w:rsidR="00E20AED" w:rsidRPr="00E20AED" w14:paraId="208AB400" w14:textId="77777777" w:rsidTr="00E20AED">
        <w:trPr>
          <w:tblCellSpacing w:w="15" w:type="dxa"/>
        </w:trPr>
        <w:tc>
          <w:tcPr>
            <w:tcW w:w="0" w:type="auto"/>
            <w:vAlign w:val="center"/>
            <w:hideMark/>
          </w:tcPr>
          <w:p w14:paraId="14EA2E08" w14:textId="77777777" w:rsidR="00E20AED" w:rsidRPr="00E20AED" w:rsidRDefault="00E20AED">
            <w:pPr>
              <w:rPr>
                <w:rFonts w:cstheme="minorHAnsi"/>
              </w:rPr>
            </w:pPr>
            <w:r w:rsidRPr="00E20AED">
              <w:rPr>
                <w:rFonts w:cstheme="minorHAnsi"/>
              </w:rPr>
              <w:t>Total Patients</w:t>
            </w:r>
          </w:p>
        </w:tc>
        <w:tc>
          <w:tcPr>
            <w:tcW w:w="0" w:type="auto"/>
            <w:vAlign w:val="center"/>
            <w:hideMark/>
          </w:tcPr>
          <w:p w14:paraId="76F4987C" w14:textId="77777777" w:rsidR="00E20AED" w:rsidRPr="00E20AED" w:rsidRDefault="00E20AED">
            <w:pPr>
              <w:rPr>
                <w:rFonts w:cstheme="minorHAnsi"/>
              </w:rPr>
            </w:pPr>
            <w:r w:rsidRPr="00E20AED">
              <w:rPr>
                <w:rStyle w:val="Strong"/>
                <w:rFonts w:cstheme="minorHAnsi"/>
              </w:rPr>
              <w:t>5,000</w:t>
            </w:r>
            <w:r w:rsidRPr="00E20AED">
              <w:rPr>
                <w:rFonts w:cstheme="minorHAnsi"/>
              </w:rPr>
              <w:t>*</w:t>
            </w:r>
          </w:p>
        </w:tc>
      </w:tr>
      <w:tr w:rsidR="00E20AED" w:rsidRPr="00E20AED" w14:paraId="1A147D4D" w14:textId="77777777" w:rsidTr="00E20AED">
        <w:trPr>
          <w:tblCellSpacing w:w="15" w:type="dxa"/>
        </w:trPr>
        <w:tc>
          <w:tcPr>
            <w:tcW w:w="0" w:type="auto"/>
            <w:vAlign w:val="center"/>
            <w:hideMark/>
          </w:tcPr>
          <w:p w14:paraId="04282DA9" w14:textId="77777777" w:rsidR="00E20AED" w:rsidRPr="00E20AED" w:rsidRDefault="00E20AED">
            <w:pPr>
              <w:rPr>
                <w:rFonts w:cstheme="minorHAnsi"/>
              </w:rPr>
            </w:pPr>
            <w:r w:rsidRPr="00E20AED">
              <w:rPr>
                <w:rFonts w:cstheme="minorHAnsi"/>
              </w:rPr>
              <w:t>Attended Appointments</w:t>
            </w:r>
          </w:p>
        </w:tc>
        <w:tc>
          <w:tcPr>
            <w:tcW w:w="0" w:type="auto"/>
            <w:vAlign w:val="center"/>
            <w:hideMark/>
          </w:tcPr>
          <w:p w14:paraId="146C4EB7" w14:textId="77777777" w:rsidR="00E20AED" w:rsidRPr="00E20AED" w:rsidRDefault="00E20AED">
            <w:pPr>
              <w:rPr>
                <w:rFonts w:cstheme="minorHAnsi"/>
              </w:rPr>
            </w:pPr>
            <w:r w:rsidRPr="00E20AED">
              <w:rPr>
                <w:rStyle w:val="Strong"/>
                <w:rFonts w:cstheme="minorHAnsi"/>
              </w:rPr>
              <w:t>~46.28%</w:t>
            </w:r>
          </w:p>
        </w:tc>
      </w:tr>
      <w:tr w:rsidR="00E20AED" w:rsidRPr="00E20AED" w14:paraId="4CE0A542" w14:textId="77777777" w:rsidTr="00E20AED">
        <w:trPr>
          <w:tblCellSpacing w:w="15" w:type="dxa"/>
        </w:trPr>
        <w:tc>
          <w:tcPr>
            <w:tcW w:w="0" w:type="auto"/>
            <w:vAlign w:val="center"/>
            <w:hideMark/>
          </w:tcPr>
          <w:p w14:paraId="1F17BD01" w14:textId="77777777" w:rsidR="00E20AED" w:rsidRPr="00E20AED" w:rsidRDefault="00E20AED">
            <w:pPr>
              <w:rPr>
                <w:rFonts w:cstheme="minorHAnsi"/>
              </w:rPr>
            </w:pPr>
            <w:r w:rsidRPr="00E20AED">
              <w:rPr>
                <w:rFonts w:cstheme="minorHAnsi"/>
              </w:rPr>
              <w:t>No-Show Rate</w:t>
            </w:r>
          </w:p>
        </w:tc>
        <w:tc>
          <w:tcPr>
            <w:tcW w:w="0" w:type="auto"/>
            <w:vAlign w:val="center"/>
            <w:hideMark/>
          </w:tcPr>
          <w:p w14:paraId="6CBA9485" w14:textId="77777777" w:rsidR="00E20AED" w:rsidRPr="00E20AED" w:rsidRDefault="00E20AED">
            <w:pPr>
              <w:rPr>
                <w:rFonts w:cstheme="minorHAnsi"/>
              </w:rPr>
            </w:pPr>
            <w:r w:rsidRPr="00E20AED">
              <w:rPr>
                <w:rStyle w:val="Strong"/>
                <w:rFonts w:cstheme="minorHAnsi"/>
              </w:rPr>
              <w:t>48.46%</w:t>
            </w:r>
          </w:p>
        </w:tc>
      </w:tr>
      <w:tr w:rsidR="00E20AED" w:rsidRPr="00E20AED" w14:paraId="56710017" w14:textId="77777777" w:rsidTr="00E20AED">
        <w:trPr>
          <w:tblCellSpacing w:w="15" w:type="dxa"/>
        </w:trPr>
        <w:tc>
          <w:tcPr>
            <w:tcW w:w="0" w:type="auto"/>
            <w:vAlign w:val="center"/>
            <w:hideMark/>
          </w:tcPr>
          <w:p w14:paraId="6130A107" w14:textId="77777777" w:rsidR="00E20AED" w:rsidRPr="00E20AED" w:rsidRDefault="00E20AED">
            <w:pPr>
              <w:rPr>
                <w:rFonts w:cstheme="minorHAnsi"/>
              </w:rPr>
            </w:pPr>
            <w:r w:rsidRPr="00E20AED">
              <w:rPr>
                <w:rFonts w:cstheme="minorHAnsi"/>
              </w:rPr>
              <w:t>Cancellation Rate</w:t>
            </w:r>
          </w:p>
        </w:tc>
        <w:tc>
          <w:tcPr>
            <w:tcW w:w="0" w:type="auto"/>
            <w:vAlign w:val="center"/>
            <w:hideMark/>
          </w:tcPr>
          <w:p w14:paraId="219E7165" w14:textId="77777777" w:rsidR="00E20AED" w:rsidRPr="00E20AED" w:rsidRDefault="00E20AED">
            <w:pPr>
              <w:rPr>
                <w:rFonts w:cstheme="minorHAnsi"/>
              </w:rPr>
            </w:pPr>
            <w:r w:rsidRPr="00E20AED">
              <w:rPr>
                <w:rStyle w:val="Strong"/>
                <w:rFonts w:cstheme="minorHAnsi"/>
              </w:rPr>
              <w:t>5.26%</w:t>
            </w:r>
          </w:p>
        </w:tc>
      </w:tr>
      <w:tr w:rsidR="00E20AED" w:rsidRPr="00E20AED" w14:paraId="715D31B5" w14:textId="77777777" w:rsidTr="00E20AED">
        <w:trPr>
          <w:tblCellSpacing w:w="15" w:type="dxa"/>
        </w:trPr>
        <w:tc>
          <w:tcPr>
            <w:tcW w:w="0" w:type="auto"/>
            <w:vAlign w:val="center"/>
            <w:hideMark/>
          </w:tcPr>
          <w:p w14:paraId="481D485F" w14:textId="77777777" w:rsidR="00E20AED" w:rsidRPr="00E20AED" w:rsidRDefault="00E20AED">
            <w:pPr>
              <w:rPr>
                <w:rFonts w:cstheme="minorHAnsi"/>
              </w:rPr>
            </w:pPr>
            <w:r w:rsidRPr="00E20AED">
              <w:rPr>
                <w:rFonts w:cstheme="minorHAnsi"/>
              </w:rPr>
              <w:t>Cancelled Appointments</w:t>
            </w:r>
          </w:p>
        </w:tc>
        <w:tc>
          <w:tcPr>
            <w:tcW w:w="0" w:type="auto"/>
            <w:vAlign w:val="center"/>
            <w:hideMark/>
          </w:tcPr>
          <w:p w14:paraId="266E526F" w14:textId="77777777" w:rsidR="00E20AED" w:rsidRPr="00E20AED" w:rsidRDefault="00E20AED">
            <w:pPr>
              <w:rPr>
                <w:rFonts w:cstheme="minorHAnsi"/>
              </w:rPr>
            </w:pPr>
            <w:r w:rsidRPr="00E20AED">
              <w:rPr>
                <w:rStyle w:val="Strong"/>
                <w:rFonts w:cstheme="minorHAnsi"/>
              </w:rPr>
              <w:t>263</w:t>
            </w:r>
          </w:p>
        </w:tc>
      </w:tr>
    </w:tbl>
    <w:p w14:paraId="60243E45" w14:textId="3E8D61C9" w:rsidR="00E20AED" w:rsidRDefault="00E20AED">
      <w:pPr>
        <w:rPr>
          <w:rFonts w:cstheme="minorHAnsi"/>
        </w:rPr>
      </w:pPr>
    </w:p>
    <w:p w14:paraId="50ED3735" w14:textId="376BC844" w:rsidR="00F133B3" w:rsidRDefault="00F133B3">
      <w:pPr>
        <w:rPr>
          <w:rFonts w:cstheme="minorHAnsi"/>
        </w:rPr>
      </w:pPr>
    </w:p>
    <w:p w14:paraId="3CEEB4A4" w14:textId="77777777" w:rsidR="00F133B3" w:rsidRPr="00E20AED" w:rsidRDefault="00F133B3">
      <w:pPr>
        <w:rPr>
          <w:rFonts w:cstheme="minorHAnsi"/>
        </w:rPr>
      </w:pPr>
    </w:p>
    <w:p w14:paraId="03C9DF6C" w14:textId="77777777" w:rsidR="00E20AED" w:rsidRPr="00E20AED" w:rsidRDefault="00E20AED" w:rsidP="00E20AED">
      <w:pPr>
        <w:spacing w:before="100" w:beforeAutospacing="1" w:after="100" w:afterAutospacing="1" w:line="240" w:lineRule="auto"/>
        <w:outlineLvl w:val="0"/>
        <w:rPr>
          <w:rFonts w:eastAsia="Times New Roman" w:cstheme="minorHAnsi"/>
          <w:b/>
          <w:bCs/>
          <w:kern w:val="36"/>
          <w:sz w:val="48"/>
          <w:szCs w:val="48"/>
          <w:lang w:eastAsia="en-ZA"/>
        </w:rPr>
      </w:pPr>
      <w:r w:rsidRPr="00E20AED">
        <w:rPr>
          <w:rFonts w:eastAsia="Times New Roman" w:cstheme="minorHAnsi"/>
          <w:b/>
          <w:bCs/>
          <w:kern w:val="36"/>
          <w:sz w:val="48"/>
          <w:szCs w:val="48"/>
          <w:lang w:eastAsia="en-ZA"/>
        </w:rPr>
        <w:lastRenderedPageBreak/>
        <w:t>6. Business Impact</w:t>
      </w:r>
    </w:p>
    <w:p w14:paraId="728CD7C5" w14:textId="77777777" w:rsidR="00E20AED" w:rsidRPr="00E20AED" w:rsidRDefault="00E20AED" w:rsidP="00E20AED">
      <w:p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 xml:space="preserve">The analysis indicates that appointment non-attendance represents a significant operational challenge for </w:t>
      </w:r>
      <w:proofErr w:type="spellStart"/>
      <w:r w:rsidRPr="00E20AED">
        <w:rPr>
          <w:rFonts w:eastAsia="Times New Roman" w:cstheme="minorHAnsi"/>
          <w:sz w:val="24"/>
          <w:szCs w:val="24"/>
          <w:lang w:eastAsia="en-ZA"/>
        </w:rPr>
        <w:t>HealthConnect</w:t>
      </w:r>
      <w:proofErr w:type="spellEnd"/>
      <w:r w:rsidRPr="00E20AED">
        <w:rPr>
          <w:rFonts w:eastAsia="Times New Roman" w:cstheme="minorHAnsi"/>
          <w:sz w:val="24"/>
          <w:szCs w:val="24"/>
          <w:lang w:eastAsia="en-ZA"/>
        </w:rPr>
        <w:t>.</w:t>
      </w:r>
    </w:p>
    <w:p w14:paraId="203EA0D9" w14:textId="77777777" w:rsidR="00E20AED" w:rsidRPr="00E20AED" w:rsidRDefault="00E20AED" w:rsidP="00E20AED">
      <w:p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 xml:space="preserve">With a </w:t>
      </w:r>
      <w:r w:rsidRPr="00E20AED">
        <w:rPr>
          <w:rFonts w:eastAsia="Times New Roman" w:cstheme="minorHAnsi"/>
          <w:b/>
          <w:bCs/>
          <w:sz w:val="24"/>
          <w:szCs w:val="24"/>
          <w:lang w:eastAsia="en-ZA"/>
        </w:rPr>
        <w:t>48.46% no-show rate</w:t>
      </w:r>
      <w:r w:rsidRPr="00E20AED">
        <w:rPr>
          <w:rFonts w:eastAsia="Times New Roman" w:cstheme="minorHAnsi"/>
          <w:sz w:val="24"/>
          <w:szCs w:val="24"/>
          <w:lang w:eastAsia="en-ZA"/>
        </w:rPr>
        <w:t>, a substantial proportion of scheduled appointment capacity may not be utilised.</w:t>
      </w:r>
    </w:p>
    <w:p w14:paraId="1DAD571D" w14:textId="77777777" w:rsidR="00E20AED" w:rsidRPr="00E20AED" w:rsidRDefault="00E20AED" w:rsidP="00E20AED">
      <w:p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This can potentially result in:</w:t>
      </w:r>
    </w:p>
    <w:p w14:paraId="1DF3A271" w14:textId="77777777" w:rsidR="00E20AED" w:rsidRPr="00E20AED" w:rsidRDefault="00E20AED" w:rsidP="00E20AED">
      <w:pPr>
        <w:numPr>
          <w:ilvl w:val="0"/>
          <w:numId w:val="2"/>
        </w:num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 xml:space="preserve">Underutilised clinical appointment slots </w:t>
      </w:r>
    </w:p>
    <w:p w14:paraId="26AB97A7" w14:textId="77777777" w:rsidR="00E20AED" w:rsidRPr="00E20AED" w:rsidRDefault="00E20AED" w:rsidP="00E20AED">
      <w:pPr>
        <w:numPr>
          <w:ilvl w:val="0"/>
          <w:numId w:val="2"/>
        </w:num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 xml:space="preserve">Reduced operational efficiency </w:t>
      </w:r>
    </w:p>
    <w:p w14:paraId="1FE5A9E7" w14:textId="77777777" w:rsidR="00E20AED" w:rsidRPr="00E20AED" w:rsidRDefault="00E20AED" w:rsidP="00E20AED">
      <w:pPr>
        <w:numPr>
          <w:ilvl w:val="0"/>
          <w:numId w:val="2"/>
        </w:num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 xml:space="preserve">Longer waiting periods for other patients </w:t>
      </w:r>
    </w:p>
    <w:p w14:paraId="48B3BA4A" w14:textId="77777777" w:rsidR="00E20AED" w:rsidRPr="00E20AED" w:rsidRDefault="00E20AED" w:rsidP="00E20AED">
      <w:pPr>
        <w:numPr>
          <w:ilvl w:val="0"/>
          <w:numId w:val="2"/>
        </w:num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 xml:space="preserve">Difficulty planning clinical resources </w:t>
      </w:r>
    </w:p>
    <w:p w14:paraId="31FE8BA4" w14:textId="77777777" w:rsidR="00E20AED" w:rsidRPr="00E20AED" w:rsidRDefault="00E20AED" w:rsidP="00E20AED">
      <w:pPr>
        <w:numPr>
          <w:ilvl w:val="0"/>
          <w:numId w:val="2"/>
        </w:num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 xml:space="preserve">Lost opportunities to provide healthcare services </w:t>
      </w:r>
    </w:p>
    <w:p w14:paraId="0D3FD57E" w14:textId="77777777" w:rsidR="00E20AED" w:rsidRPr="00E20AED" w:rsidRDefault="00E20AED" w:rsidP="00E20AED">
      <w:pPr>
        <w:numPr>
          <w:ilvl w:val="0"/>
          <w:numId w:val="2"/>
        </w:num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 xml:space="preserve">Additional administrative work associated with missed appointments and rescheduling </w:t>
      </w:r>
    </w:p>
    <w:p w14:paraId="64EDFE1D" w14:textId="77777777" w:rsidR="00E20AED" w:rsidRPr="00E20AED" w:rsidRDefault="00E20AED" w:rsidP="00E20AED">
      <w:p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The analysis also indicates that attendance behaviour may differ between patient segments.</w:t>
      </w:r>
    </w:p>
    <w:p w14:paraId="193A9958" w14:textId="77777777" w:rsidR="00E20AED" w:rsidRPr="00E20AED" w:rsidRDefault="00E20AED" w:rsidP="00E20AED">
      <w:p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 xml:space="preserve">This means </w:t>
      </w:r>
      <w:proofErr w:type="spellStart"/>
      <w:r w:rsidRPr="00E20AED">
        <w:rPr>
          <w:rFonts w:eastAsia="Times New Roman" w:cstheme="minorHAnsi"/>
          <w:sz w:val="24"/>
          <w:szCs w:val="24"/>
          <w:lang w:eastAsia="en-ZA"/>
        </w:rPr>
        <w:t>HealthConnect</w:t>
      </w:r>
      <w:proofErr w:type="spellEnd"/>
      <w:r w:rsidRPr="00E20AED">
        <w:rPr>
          <w:rFonts w:eastAsia="Times New Roman" w:cstheme="minorHAnsi"/>
          <w:sz w:val="24"/>
          <w:szCs w:val="24"/>
          <w:lang w:eastAsia="en-ZA"/>
        </w:rPr>
        <w:t xml:space="preserve"> could potentially improve efficiency by identifying higher-risk appointments in advance and applying targeted interventions.</w:t>
      </w:r>
    </w:p>
    <w:p w14:paraId="781993A4" w14:textId="77777777" w:rsidR="00E20AED" w:rsidRPr="00E20AED" w:rsidRDefault="00E20AED" w:rsidP="00E20AED">
      <w:pPr>
        <w:spacing w:before="100" w:beforeAutospacing="1" w:after="100" w:afterAutospacing="1" w:line="240" w:lineRule="auto"/>
        <w:rPr>
          <w:rFonts w:eastAsia="Times New Roman" w:cstheme="minorHAnsi"/>
          <w:sz w:val="24"/>
          <w:szCs w:val="24"/>
          <w:lang w:eastAsia="en-ZA"/>
        </w:rPr>
      </w:pPr>
      <w:r w:rsidRPr="00E20AED">
        <w:rPr>
          <w:rFonts w:eastAsia="Times New Roman" w:cstheme="minorHAnsi"/>
          <w:sz w:val="24"/>
          <w:szCs w:val="24"/>
          <w:lang w:eastAsia="en-ZA"/>
        </w:rPr>
        <w:t>The findings around reminders are particularly relevant because reminder processes can potentially be adjusted without requiring major changes to the healthcare service itself.</w:t>
      </w:r>
    </w:p>
    <w:p w14:paraId="59C9E82B" w14:textId="46DC5D25" w:rsidR="00E20AED" w:rsidRPr="00E20AED" w:rsidRDefault="00E20AED">
      <w:pPr>
        <w:rPr>
          <w:rFonts w:cstheme="minorHAnsi"/>
        </w:rPr>
      </w:pPr>
    </w:p>
    <w:p w14:paraId="0D8DC7D6" w14:textId="77777777" w:rsidR="00E20AED" w:rsidRPr="00E20AED" w:rsidRDefault="00E20AED" w:rsidP="00E20AED">
      <w:pPr>
        <w:pStyle w:val="Heading1"/>
        <w:rPr>
          <w:rFonts w:asciiTheme="minorHAnsi" w:hAnsiTheme="minorHAnsi" w:cstheme="minorHAnsi"/>
        </w:rPr>
      </w:pPr>
      <w:r w:rsidRPr="00E20AED">
        <w:rPr>
          <w:rFonts w:asciiTheme="minorHAnsi" w:hAnsiTheme="minorHAnsi" w:cstheme="minorHAnsi"/>
        </w:rPr>
        <w:t xml:space="preserve">7. Recommended </w:t>
      </w:r>
      <w:proofErr w:type="spellStart"/>
      <w:r w:rsidRPr="00E20AED">
        <w:rPr>
          <w:rFonts w:asciiTheme="minorHAnsi" w:hAnsiTheme="minorHAnsi" w:cstheme="minorHAnsi"/>
        </w:rPr>
        <w:t>HealthConnect</w:t>
      </w:r>
      <w:proofErr w:type="spellEnd"/>
      <w:r w:rsidRPr="00E20AED">
        <w:rPr>
          <w:rFonts w:asciiTheme="minorHAnsi" w:hAnsiTheme="minorHAnsi" w:cstheme="minorHAnsi"/>
        </w:rPr>
        <w:t xml:space="preserve"> Actions</w:t>
      </w:r>
    </w:p>
    <w:p w14:paraId="13382580"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Based on the Week 6 analysis, the following actions are recommended.</w:t>
      </w:r>
    </w:p>
    <w:p w14:paraId="6C036149" w14:textId="77777777" w:rsidR="00E20AED" w:rsidRPr="00E20AED" w:rsidRDefault="00E20AED" w:rsidP="00E20AED">
      <w:pPr>
        <w:pStyle w:val="Heading3"/>
        <w:rPr>
          <w:rFonts w:asciiTheme="minorHAnsi" w:hAnsiTheme="minorHAnsi" w:cstheme="minorHAnsi"/>
        </w:rPr>
      </w:pPr>
      <w:r w:rsidRPr="00E20AED">
        <w:rPr>
          <w:rFonts w:asciiTheme="minorHAnsi" w:hAnsiTheme="minorHAnsi" w:cstheme="minorHAnsi"/>
        </w:rPr>
        <w:t>1. Strengthen appointment reminder processes</w:t>
      </w:r>
    </w:p>
    <w:p w14:paraId="58B819CA" w14:textId="77777777" w:rsidR="00E20AED" w:rsidRPr="00E20AED" w:rsidRDefault="00E20AED" w:rsidP="00E20AED">
      <w:pPr>
        <w:pStyle w:val="NormalWeb"/>
        <w:rPr>
          <w:rFonts w:asciiTheme="minorHAnsi" w:hAnsiTheme="minorHAnsi" w:cstheme="minorHAnsi"/>
        </w:rPr>
      </w:pPr>
      <w:proofErr w:type="spellStart"/>
      <w:r w:rsidRPr="00E20AED">
        <w:rPr>
          <w:rFonts w:asciiTheme="minorHAnsi" w:hAnsiTheme="minorHAnsi" w:cstheme="minorHAnsi"/>
        </w:rPr>
        <w:t>HealthConnect</w:t>
      </w:r>
      <w:proofErr w:type="spellEnd"/>
      <w:r w:rsidRPr="00E20AED">
        <w:rPr>
          <w:rFonts w:asciiTheme="minorHAnsi" w:hAnsiTheme="minorHAnsi" w:cstheme="minorHAnsi"/>
        </w:rPr>
        <w:t xml:space="preserve"> should investigate whether reminder coverage can be increased, particularly for appointments currently not receiving reminders.</w:t>
      </w:r>
    </w:p>
    <w:p w14:paraId="29C2465B"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Different reminder channels could also be evaluated to determine which approaches are most effective.</w:t>
      </w:r>
    </w:p>
    <w:p w14:paraId="1D11E116" w14:textId="77777777" w:rsidR="00E20AED" w:rsidRPr="00E20AED" w:rsidRDefault="00E20AED" w:rsidP="00E20AED">
      <w:pPr>
        <w:pStyle w:val="Heading3"/>
        <w:rPr>
          <w:rFonts w:asciiTheme="minorHAnsi" w:hAnsiTheme="minorHAnsi" w:cstheme="minorHAnsi"/>
        </w:rPr>
      </w:pPr>
      <w:r w:rsidRPr="00E20AED">
        <w:rPr>
          <w:rFonts w:asciiTheme="minorHAnsi" w:hAnsiTheme="minorHAnsi" w:cstheme="minorHAnsi"/>
        </w:rPr>
        <w:t>2. Target patients with previous no-shows</w:t>
      </w:r>
    </w:p>
    <w:p w14:paraId="51F4BC2B"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Patients with a history of missed appointments could be identified as a higher-risk group.</w:t>
      </w:r>
    </w:p>
    <w:p w14:paraId="34E399C9" w14:textId="77777777" w:rsidR="00E20AED" w:rsidRPr="00E20AED" w:rsidRDefault="00E20AED" w:rsidP="00E20AED">
      <w:pPr>
        <w:pStyle w:val="NormalWeb"/>
        <w:rPr>
          <w:rFonts w:asciiTheme="minorHAnsi" w:hAnsiTheme="minorHAnsi" w:cstheme="minorHAnsi"/>
        </w:rPr>
      </w:pPr>
      <w:proofErr w:type="spellStart"/>
      <w:r w:rsidRPr="00E20AED">
        <w:rPr>
          <w:rFonts w:asciiTheme="minorHAnsi" w:hAnsiTheme="minorHAnsi" w:cstheme="minorHAnsi"/>
        </w:rPr>
        <w:t>HealthConnect</w:t>
      </w:r>
      <w:proofErr w:type="spellEnd"/>
      <w:r w:rsidRPr="00E20AED">
        <w:rPr>
          <w:rFonts w:asciiTheme="minorHAnsi" w:hAnsiTheme="minorHAnsi" w:cstheme="minorHAnsi"/>
        </w:rPr>
        <w:t xml:space="preserve"> could consider:</w:t>
      </w:r>
    </w:p>
    <w:p w14:paraId="1A8F7788" w14:textId="77777777" w:rsidR="00E20AED" w:rsidRPr="00E20AED" w:rsidRDefault="00E20AED" w:rsidP="00E20AED">
      <w:pPr>
        <w:numPr>
          <w:ilvl w:val="0"/>
          <w:numId w:val="3"/>
        </w:numPr>
        <w:spacing w:before="100" w:beforeAutospacing="1" w:after="100" w:afterAutospacing="1" w:line="240" w:lineRule="auto"/>
        <w:rPr>
          <w:rFonts w:cstheme="minorHAnsi"/>
        </w:rPr>
      </w:pPr>
      <w:r w:rsidRPr="00E20AED">
        <w:rPr>
          <w:rFonts w:cstheme="minorHAnsi"/>
        </w:rPr>
        <w:lastRenderedPageBreak/>
        <w:t xml:space="preserve">Additional reminders </w:t>
      </w:r>
    </w:p>
    <w:p w14:paraId="0CE96923" w14:textId="77777777" w:rsidR="00E20AED" w:rsidRPr="00E20AED" w:rsidRDefault="00E20AED" w:rsidP="00E20AED">
      <w:pPr>
        <w:numPr>
          <w:ilvl w:val="0"/>
          <w:numId w:val="3"/>
        </w:numPr>
        <w:spacing w:before="100" w:beforeAutospacing="1" w:after="100" w:afterAutospacing="1" w:line="240" w:lineRule="auto"/>
        <w:rPr>
          <w:rFonts w:cstheme="minorHAnsi"/>
        </w:rPr>
      </w:pPr>
      <w:r w:rsidRPr="00E20AED">
        <w:rPr>
          <w:rFonts w:cstheme="minorHAnsi"/>
        </w:rPr>
        <w:t xml:space="preserve">Appointment confirmation messages </w:t>
      </w:r>
    </w:p>
    <w:p w14:paraId="71731730" w14:textId="77777777" w:rsidR="00E20AED" w:rsidRPr="00E20AED" w:rsidRDefault="00E20AED" w:rsidP="00E20AED">
      <w:pPr>
        <w:numPr>
          <w:ilvl w:val="0"/>
          <w:numId w:val="3"/>
        </w:numPr>
        <w:spacing w:before="100" w:beforeAutospacing="1" w:after="100" w:afterAutospacing="1" w:line="240" w:lineRule="auto"/>
        <w:rPr>
          <w:rFonts w:cstheme="minorHAnsi"/>
        </w:rPr>
      </w:pPr>
      <w:r w:rsidRPr="00E20AED">
        <w:rPr>
          <w:rFonts w:cstheme="minorHAnsi"/>
        </w:rPr>
        <w:t xml:space="preserve">Follow-up communication </w:t>
      </w:r>
    </w:p>
    <w:p w14:paraId="674D8478" w14:textId="77777777" w:rsidR="00E20AED" w:rsidRPr="00E20AED" w:rsidRDefault="00E20AED" w:rsidP="00E20AED">
      <w:pPr>
        <w:numPr>
          <w:ilvl w:val="0"/>
          <w:numId w:val="3"/>
        </w:numPr>
        <w:spacing w:before="100" w:beforeAutospacing="1" w:after="100" w:afterAutospacing="1" w:line="240" w:lineRule="auto"/>
        <w:rPr>
          <w:rFonts w:cstheme="minorHAnsi"/>
        </w:rPr>
      </w:pPr>
      <w:r w:rsidRPr="00E20AED">
        <w:rPr>
          <w:rFonts w:cstheme="minorHAnsi"/>
        </w:rPr>
        <w:t xml:space="preserve">Earlier confirmation requests </w:t>
      </w:r>
    </w:p>
    <w:p w14:paraId="23DFEF80" w14:textId="77777777" w:rsidR="00E20AED" w:rsidRPr="00E20AED" w:rsidRDefault="00E20AED" w:rsidP="00E20AED">
      <w:pPr>
        <w:pStyle w:val="Heading3"/>
        <w:rPr>
          <w:rFonts w:asciiTheme="minorHAnsi" w:hAnsiTheme="minorHAnsi" w:cstheme="minorHAnsi"/>
        </w:rPr>
      </w:pPr>
      <w:r w:rsidRPr="00E20AED">
        <w:rPr>
          <w:rFonts w:asciiTheme="minorHAnsi" w:hAnsiTheme="minorHAnsi" w:cstheme="minorHAnsi"/>
        </w:rPr>
        <w:t>3. Consider travel distance</w:t>
      </w:r>
    </w:p>
    <w:p w14:paraId="60F3B74C"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 xml:space="preserve">Patients travelling long distances, particularly those in the </w:t>
      </w:r>
      <w:r w:rsidRPr="00E20AED">
        <w:rPr>
          <w:rStyle w:val="Strong"/>
          <w:rFonts w:asciiTheme="minorHAnsi" w:hAnsiTheme="minorHAnsi" w:cstheme="minorHAnsi"/>
        </w:rPr>
        <w:t>20+ km</w:t>
      </w:r>
      <w:r w:rsidRPr="00E20AED">
        <w:rPr>
          <w:rFonts w:asciiTheme="minorHAnsi" w:hAnsiTheme="minorHAnsi" w:cstheme="minorHAnsi"/>
        </w:rPr>
        <w:t xml:space="preserve"> category, may require additional consideration.</w:t>
      </w:r>
    </w:p>
    <w:p w14:paraId="00CBC87D"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Potential approaches could include:</w:t>
      </w:r>
    </w:p>
    <w:p w14:paraId="24D709C7" w14:textId="77777777" w:rsidR="00E20AED" w:rsidRPr="00E20AED" w:rsidRDefault="00E20AED" w:rsidP="00E20AED">
      <w:pPr>
        <w:numPr>
          <w:ilvl w:val="0"/>
          <w:numId w:val="4"/>
        </w:numPr>
        <w:spacing w:before="100" w:beforeAutospacing="1" w:after="100" w:afterAutospacing="1" w:line="240" w:lineRule="auto"/>
        <w:rPr>
          <w:rFonts w:cstheme="minorHAnsi"/>
        </w:rPr>
      </w:pPr>
      <w:r w:rsidRPr="00E20AED">
        <w:rPr>
          <w:rFonts w:cstheme="minorHAnsi"/>
        </w:rPr>
        <w:t xml:space="preserve">Earlier reminders </w:t>
      </w:r>
    </w:p>
    <w:p w14:paraId="689ECAC5" w14:textId="77777777" w:rsidR="00E20AED" w:rsidRPr="00E20AED" w:rsidRDefault="00E20AED" w:rsidP="00E20AED">
      <w:pPr>
        <w:numPr>
          <w:ilvl w:val="0"/>
          <w:numId w:val="4"/>
        </w:numPr>
        <w:spacing w:before="100" w:beforeAutospacing="1" w:after="100" w:afterAutospacing="1" w:line="240" w:lineRule="auto"/>
        <w:rPr>
          <w:rFonts w:cstheme="minorHAnsi"/>
        </w:rPr>
      </w:pPr>
      <w:r w:rsidRPr="00E20AED">
        <w:rPr>
          <w:rFonts w:cstheme="minorHAnsi"/>
        </w:rPr>
        <w:t xml:space="preserve">Appointment confirmation </w:t>
      </w:r>
    </w:p>
    <w:p w14:paraId="2ED5C4BE" w14:textId="77777777" w:rsidR="00E20AED" w:rsidRPr="00E20AED" w:rsidRDefault="00E20AED" w:rsidP="00E20AED">
      <w:pPr>
        <w:numPr>
          <w:ilvl w:val="0"/>
          <w:numId w:val="4"/>
        </w:numPr>
        <w:spacing w:before="100" w:beforeAutospacing="1" w:after="100" w:afterAutospacing="1" w:line="240" w:lineRule="auto"/>
        <w:rPr>
          <w:rFonts w:cstheme="minorHAnsi"/>
        </w:rPr>
      </w:pPr>
      <w:r w:rsidRPr="00E20AED">
        <w:rPr>
          <w:rFonts w:cstheme="minorHAnsi"/>
        </w:rPr>
        <w:t xml:space="preserve">Flexible scheduling where possible </w:t>
      </w:r>
    </w:p>
    <w:p w14:paraId="59E96EA9" w14:textId="77777777" w:rsidR="00E20AED" w:rsidRPr="00E20AED" w:rsidRDefault="00E20AED" w:rsidP="00E20AED">
      <w:pPr>
        <w:numPr>
          <w:ilvl w:val="0"/>
          <w:numId w:val="4"/>
        </w:numPr>
        <w:spacing w:before="100" w:beforeAutospacing="1" w:after="100" w:afterAutospacing="1" w:line="240" w:lineRule="auto"/>
        <w:rPr>
          <w:rFonts w:cstheme="minorHAnsi"/>
        </w:rPr>
      </w:pPr>
      <w:r w:rsidRPr="00E20AED">
        <w:rPr>
          <w:rFonts w:cstheme="minorHAnsi"/>
        </w:rPr>
        <w:t xml:space="preserve">Exploring whether alternative clinic access points or services are available </w:t>
      </w:r>
    </w:p>
    <w:p w14:paraId="6B4727BA" w14:textId="77777777" w:rsidR="00E20AED" w:rsidRPr="00E20AED" w:rsidRDefault="00E20AED" w:rsidP="00E20AED">
      <w:pPr>
        <w:pStyle w:val="Heading3"/>
        <w:rPr>
          <w:rFonts w:asciiTheme="minorHAnsi" w:hAnsiTheme="minorHAnsi" w:cstheme="minorHAnsi"/>
        </w:rPr>
      </w:pPr>
      <w:r w:rsidRPr="00E20AED">
        <w:rPr>
          <w:rFonts w:asciiTheme="minorHAnsi" w:hAnsiTheme="minorHAnsi" w:cstheme="minorHAnsi"/>
        </w:rPr>
        <w:t>4. Improve waiting-time data collection</w:t>
      </w:r>
    </w:p>
    <w:p w14:paraId="23CBFEB6"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 xml:space="preserve">Because waiting-time data contains missing values, </w:t>
      </w:r>
      <w:proofErr w:type="spellStart"/>
      <w:r w:rsidRPr="00E20AED">
        <w:rPr>
          <w:rFonts w:asciiTheme="minorHAnsi" w:hAnsiTheme="minorHAnsi" w:cstheme="minorHAnsi"/>
        </w:rPr>
        <w:t>HealthConnect</w:t>
      </w:r>
      <w:proofErr w:type="spellEnd"/>
      <w:r w:rsidRPr="00E20AED">
        <w:rPr>
          <w:rFonts w:asciiTheme="minorHAnsi" w:hAnsiTheme="minorHAnsi" w:cstheme="minorHAnsi"/>
        </w:rPr>
        <w:t xml:space="preserve"> should improve the consistency of recording this information.</w:t>
      </w:r>
    </w:p>
    <w:p w14:paraId="63F75492"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Better data quality would allow the organisation to determine whether waiting time is genuinely associated with attendance behaviour.</w:t>
      </w:r>
    </w:p>
    <w:p w14:paraId="227457AE" w14:textId="77777777" w:rsidR="00E20AED" w:rsidRPr="00E20AED" w:rsidRDefault="00E20AED" w:rsidP="00E20AED">
      <w:pPr>
        <w:pStyle w:val="Heading3"/>
        <w:rPr>
          <w:rFonts w:asciiTheme="minorHAnsi" w:hAnsiTheme="minorHAnsi" w:cstheme="minorHAnsi"/>
        </w:rPr>
      </w:pPr>
      <w:r w:rsidRPr="00E20AED">
        <w:rPr>
          <w:rFonts w:asciiTheme="minorHAnsi" w:hAnsiTheme="minorHAnsi" w:cstheme="minorHAnsi"/>
        </w:rPr>
        <w:t>5. Develop a future no-show risk model</w:t>
      </w:r>
    </w:p>
    <w:p w14:paraId="6454849A"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The identified variables could provide useful inputs for a future Data Science model.</w:t>
      </w:r>
    </w:p>
    <w:p w14:paraId="196FF259" w14:textId="77777777" w:rsidR="00E20AED" w:rsidRPr="00E20AED" w:rsidRDefault="00E20AED" w:rsidP="00E20AED">
      <w:pPr>
        <w:pStyle w:val="NormalWeb"/>
        <w:rPr>
          <w:rFonts w:asciiTheme="minorHAnsi" w:hAnsiTheme="minorHAnsi" w:cstheme="minorHAnsi"/>
        </w:rPr>
      </w:pPr>
      <w:r w:rsidRPr="00E20AED">
        <w:rPr>
          <w:rFonts w:asciiTheme="minorHAnsi" w:hAnsiTheme="minorHAnsi" w:cstheme="minorHAnsi"/>
        </w:rPr>
        <w:t>Potential predictive variables include:</w:t>
      </w:r>
    </w:p>
    <w:p w14:paraId="76B0F11B" w14:textId="77777777" w:rsidR="00E20AED" w:rsidRPr="00E20AED" w:rsidRDefault="00E20AED" w:rsidP="00E20AED">
      <w:pPr>
        <w:numPr>
          <w:ilvl w:val="0"/>
          <w:numId w:val="5"/>
        </w:numPr>
        <w:spacing w:before="100" w:beforeAutospacing="1" w:after="100" w:afterAutospacing="1" w:line="240" w:lineRule="auto"/>
        <w:rPr>
          <w:rFonts w:cstheme="minorHAnsi"/>
        </w:rPr>
      </w:pPr>
      <w:r w:rsidRPr="00E20AED">
        <w:rPr>
          <w:rFonts w:cstheme="minorHAnsi"/>
        </w:rPr>
        <w:t xml:space="preserve">Previous no-shows </w:t>
      </w:r>
    </w:p>
    <w:p w14:paraId="7D1EA286" w14:textId="77777777" w:rsidR="00E20AED" w:rsidRPr="00E20AED" w:rsidRDefault="00E20AED" w:rsidP="00E20AED">
      <w:pPr>
        <w:numPr>
          <w:ilvl w:val="0"/>
          <w:numId w:val="5"/>
        </w:numPr>
        <w:spacing w:before="100" w:beforeAutospacing="1" w:after="100" w:afterAutospacing="1" w:line="240" w:lineRule="auto"/>
        <w:rPr>
          <w:rFonts w:cstheme="minorHAnsi"/>
        </w:rPr>
      </w:pPr>
      <w:r w:rsidRPr="00E20AED">
        <w:rPr>
          <w:rFonts w:cstheme="minorHAnsi"/>
        </w:rPr>
        <w:t xml:space="preserve">Previous appointments </w:t>
      </w:r>
    </w:p>
    <w:p w14:paraId="1B4DE97D" w14:textId="77777777" w:rsidR="00E20AED" w:rsidRPr="00E20AED" w:rsidRDefault="00E20AED" w:rsidP="00E20AED">
      <w:pPr>
        <w:numPr>
          <w:ilvl w:val="0"/>
          <w:numId w:val="5"/>
        </w:numPr>
        <w:spacing w:before="100" w:beforeAutospacing="1" w:after="100" w:afterAutospacing="1" w:line="240" w:lineRule="auto"/>
        <w:rPr>
          <w:rFonts w:cstheme="minorHAnsi"/>
        </w:rPr>
      </w:pPr>
      <w:r w:rsidRPr="00E20AED">
        <w:rPr>
          <w:rFonts w:cstheme="minorHAnsi"/>
        </w:rPr>
        <w:t xml:space="preserve">Booking lead time </w:t>
      </w:r>
    </w:p>
    <w:p w14:paraId="17032F2A" w14:textId="77777777" w:rsidR="00E20AED" w:rsidRPr="00E20AED" w:rsidRDefault="00E20AED" w:rsidP="00E20AED">
      <w:pPr>
        <w:numPr>
          <w:ilvl w:val="0"/>
          <w:numId w:val="5"/>
        </w:numPr>
        <w:spacing w:before="100" w:beforeAutospacing="1" w:after="100" w:afterAutospacing="1" w:line="240" w:lineRule="auto"/>
        <w:rPr>
          <w:rFonts w:cstheme="minorHAnsi"/>
        </w:rPr>
      </w:pPr>
      <w:r w:rsidRPr="00E20AED">
        <w:rPr>
          <w:rFonts w:cstheme="minorHAnsi"/>
        </w:rPr>
        <w:t xml:space="preserve">Distance to clinic </w:t>
      </w:r>
    </w:p>
    <w:p w14:paraId="70350E0F" w14:textId="77777777" w:rsidR="00E20AED" w:rsidRPr="00E20AED" w:rsidRDefault="00E20AED" w:rsidP="00E20AED">
      <w:pPr>
        <w:numPr>
          <w:ilvl w:val="0"/>
          <w:numId w:val="5"/>
        </w:numPr>
        <w:spacing w:before="100" w:beforeAutospacing="1" w:after="100" w:afterAutospacing="1" w:line="240" w:lineRule="auto"/>
        <w:rPr>
          <w:rFonts w:cstheme="minorHAnsi"/>
        </w:rPr>
      </w:pPr>
      <w:r w:rsidRPr="00E20AED">
        <w:rPr>
          <w:rFonts w:cstheme="minorHAnsi"/>
        </w:rPr>
        <w:t xml:space="preserve">Appointment type </w:t>
      </w:r>
    </w:p>
    <w:p w14:paraId="3E69514E" w14:textId="77777777" w:rsidR="00E20AED" w:rsidRPr="00E20AED" w:rsidRDefault="00E20AED" w:rsidP="00E20AED">
      <w:pPr>
        <w:numPr>
          <w:ilvl w:val="0"/>
          <w:numId w:val="5"/>
        </w:numPr>
        <w:spacing w:before="100" w:beforeAutospacing="1" w:after="100" w:afterAutospacing="1" w:line="240" w:lineRule="auto"/>
        <w:rPr>
          <w:rFonts w:cstheme="minorHAnsi"/>
        </w:rPr>
      </w:pPr>
      <w:r w:rsidRPr="00E20AED">
        <w:rPr>
          <w:rFonts w:cstheme="minorHAnsi"/>
        </w:rPr>
        <w:t xml:space="preserve">Age group </w:t>
      </w:r>
    </w:p>
    <w:p w14:paraId="696100EA" w14:textId="77777777" w:rsidR="00E20AED" w:rsidRPr="00E20AED" w:rsidRDefault="00E20AED" w:rsidP="00E20AED">
      <w:pPr>
        <w:numPr>
          <w:ilvl w:val="0"/>
          <w:numId w:val="5"/>
        </w:numPr>
        <w:spacing w:before="100" w:beforeAutospacing="1" w:after="100" w:afterAutospacing="1" w:line="240" w:lineRule="auto"/>
        <w:rPr>
          <w:rFonts w:cstheme="minorHAnsi"/>
        </w:rPr>
      </w:pPr>
      <w:r w:rsidRPr="00E20AED">
        <w:rPr>
          <w:rFonts w:cstheme="minorHAnsi"/>
        </w:rPr>
        <w:t xml:space="preserve">Reminder status </w:t>
      </w:r>
    </w:p>
    <w:p w14:paraId="496CFA35" w14:textId="77777777" w:rsidR="00E20AED" w:rsidRPr="00E20AED" w:rsidRDefault="00E20AED" w:rsidP="00E20AED">
      <w:pPr>
        <w:numPr>
          <w:ilvl w:val="0"/>
          <w:numId w:val="5"/>
        </w:numPr>
        <w:spacing w:before="100" w:beforeAutospacing="1" w:after="100" w:afterAutospacing="1" w:line="240" w:lineRule="auto"/>
        <w:rPr>
          <w:rFonts w:cstheme="minorHAnsi"/>
        </w:rPr>
      </w:pPr>
      <w:r w:rsidRPr="00E20AED">
        <w:rPr>
          <w:rFonts w:cstheme="minorHAnsi"/>
        </w:rPr>
        <w:t>Waiting time</w:t>
      </w:r>
    </w:p>
    <w:p w14:paraId="5902A1FA" w14:textId="77777777" w:rsidR="00F133B3" w:rsidRDefault="00F133B3" w:rsidP="004D742E">
      <w:pPr>
        <w:pStyle w:val="Heading1"/>
        <w:rPr>
          <w:rFonts w:asciiTheme="minorHAnsi" w:hAnsiTheme="minorHAnsi" w:cstheme="minorHAnsi"/>
        </w:rPr>
      </w:pPr>
    </w:p>
    <w:p w14:paraId="6699B0C5" w14:textId="77777777" w:rsidR="00F133B3" w:rsidRDefault="00F133B3" w:rsidP="004D742E">
      <w:pPr>
        <w:pStyle w:val="Heading1"/>
        <w:rPr>
          <w:rFonts w:asciiTheme="minorHAnsi" w:hAnsiTheme="minorHAnsi" w:cstheme="minorHAnsi"/>
        </w:rPr>
      </w:pPr>
    </w:p>
    <w:p w14:paraId="1DC805D2" w14:textId="77777777" w:rsidR="00F133B3" w:rsidRDefault="00F133B3" w:rsidP="004D742E">
      <w:pPr>
        <w:pStyle w:val="Heading1"/>
        <w:rPr>
          <w:rFonts w:asciiTheme="minorHAnsi" w:hAnsiTheme="minorHAnsi" w:cstheme="minorHAnsi"/>
        </w:rPr>
      </w:pPr>
    </w:p>
    <w:p w14:paraId="007DD159" w14:textId="77777777" w:rsidR="003C4181" w:rsidRPr="003C4181" w:rsidRDefault="003C4181" w:rsidP="003C4181">
      <w:pPr>
        <w:pStyle w:val="Heading1"/>
        <w:rPr>
          <w:rFonts w:asciiTheme="minorHAnsi" w:hAnsiTheme="minorHAnsi" w:cstheme="minorHAnsi"/>
        </w:rPr>
      </w:pPr>
      <w:r w:rsidRPr="003C4181">
        <w:rPr>
          <w:rFonts w:asciiTheme="minorHAnsi" w:hAnsiTheme="minorHAnsi" w:cstheme="minorHAnsi"/>
        </w:rPr>
        <w:lastRenderedPageBreak/>
        <w:t>8. Analytical Contribution to Data Science</w:t>
      </w:r>
    </w:p>
    <w:p w14:paraId="05581D06" w14:textId="77777777" w:rsidR="003C4181" w:rsidRPr="003C4181" w:rsidRDefault="003C4181" w:rsidP="003C4181">
      <w:pPr>
        <w:pStyle w:val="NormalWeb"/>
        <w:rPr>
          <w:rFonts w:asciiTheme="minorHAnsi" w:hAnsiTheme="minorHAnsi" w:cstheme="minorHAnsi"/>
          <w:b/>
          <w:bCs/>
          <w:sz w:val="22"/>
          <w:szCs w:val="22"/>
        </w:rPr>
      </w:pPr>
      <w:r w:rsidRPr="003C4181">
        <w:rPr>
          <w:rStyle w:val="Strong"/>
          <w:rFonts w:asciiTheme="minorHAnsi" w:hAnsiTheme="minorHAnsi" w:cstheme="minorHAnsi"/>
          <w:b w:val="0"/>
          <w:bCs w:val="0"/>
          <w:sz w:val="22"/>
          <w:szCs w:val="22"/>
        </w:rPr>
        <w:t>The Data Analytics analysis identified several variables and patterns that may be relevant for a future appointment no-show prediction model. The strongest analytical focus was placed on appointment outcome, previous appointment behaviour, reminder status, distance to clinic, waiting time, appointment type, age group and booking lead time.</w:t>
      </w:r>
    </w:p>
    <w:p w14:paraId="205E24E8" w14:textId="77777777" w:rsidR="003C4181" w:rsidRPr="003C4181" w:rsidRDefault="003C4181" w:rsidP="003C4181">
      <w:pPr>
        <w:pStyle w:val="NormalWeb"/>
        <w:rPr>
          <w:rFonts w:asciiTheme="minorHAnsi" w:hAnsiTheme="minorHAnsi" w:cstheme="minorHAnsi"/>
          <w:b/>
          <w:bCs/>
          <w:sz w:val="22"/>
          <w:szCs w:val="22"/>
        </w:rPr>
      </w:pPr>
      <w:r w:rsidRPr="003C4181">
        <w:rPr>
          <w:rStyle w:val="Strong"/>
          <w:rFonts w:asciiTheme="minorHAnsi" w:hAnsiTheme="minorHAnsi" w:cstheme="minorHAnsi"/>
          <w:b w:val="0"/>
          <w:bCs w:val="0"/>
          <w:sz w:val="22"/>
          <w:szCs w:val="22"/>
        </w:rPr>
        <w:t>Previous no-show behaviour is particularly relevant because it represents historical patient attendance behaviour and may help distinguish between lower- and higher-risk appointments. Distance to the clinic and reminder status were also investigated because differences in no-show rates were observed across these variables.</w:t>
      </w:r>
    </w:p>
    <w:p w14:paraId="52DE8B28" w14:textId="20E76441" w:rsidR="00F133B3" w:rsidRPr="003C4181" w:rsidRDefault="003C4181" w:rsidP="003C4181">
      <w:pPr>
        <w:pStyle w:val="NormalWeb"/>
        <w:rPr>
          <w:rFonts w:asciiTheme="minorHAnsi" w:hAnsiTheme="minorHAnsi" w:cstheme="minorHAnsi"/>
          <w:b/>
          <w:bCs/>
          <w:sz w:val="22"/>
          <w:szCs w:val="22"/>
        </w:rPr>
      </w:pPr>
      <w:r w:rsidRPr="003C4181">
        <w:rPr>
          <w:rStyle w:val="Strong"/>
          <w:rFonts w:asciiTheme="minorHAnsi" w:hAnsiTheme="minorHAnsi" w:cstheme="minorHAnsi"/>
          <w:b w:val="0"/>
          <w:bCs w:val="0"/>
          <w:sz w:val="22"/>
          <w:szCs w:val="22"/>
        </w:rPr>
        <w:t>These findings can support Data Science in selecting candidate features for modelling and identifying segments that may warrant further investigation. However, the analysis does not establish causation, and variables with missing or incomplete information should be assessed during model development.</w:t>
      </w:r>
    </w:p>
    <w:p w14:paraId="06E547E3" w14:textId="1D940708" w:rsidR="004D742E" w:rsidRPr="004D742E" w:rsidRDefault="004D742E" w:rsidP="004D742E">
      <w:pPr>
        <w:pStyle w:val="Heading1"/>
        <w:rPr>
          <w:rFonts w:asciiTheme="minorHAnsi" w:hAnsiTheme="minorHAnsi" w:cstheme="minorHAnsi"/>
        </w:rPr>
      </w:pPr>
      <w:r w:rsidRPr="004D742E">
        <w:rPr>
          <w:rFonts w:asciiTheme="minorHAnsi" w:hAnsiTheme="minorHAnsi" w:cstheme="minorHAnsi"/>
        </w:rPr>
        <w:t>9. Week 5 Conclusions</w:t>
      </w:r>
    </w:p>
    <w:p w14:paraId="1255EE24" w14:textId="77777777" w:rsidR="004D742E" w:rsidRPr="004D742E" w:rsidRDefault="004D742E" w:rsidP="004D742E">
      <w:pPr>
        <w:pStyle w:val="Heading3"/>
        <w:rPr>
          <w:rFonts w:asciiTheme="minorHAnsi" w:hAnsiTheme="minorHAnsi" w:cstheme="minorHAnsi"/>
        </w:rPr>
      </w:pPr>
      <w:r w:rsidRPr="004D742E">
        <w:rPr>
          <w:rFonts w:asciiTheme="minorHAnsi" w:hAnsiTheme="minorHAnsi" w:cstheme="minorHAnsi"/>
        </w:rPr>
        <w:t>Week 5 conclusion</w:t>
      </w:r>
    </w:p>
    <w:p w14:paraId="059D9141" w14:textId="77777777" w:rsidR="004D742E" w:rsidRPr="004D742E" w:rsidRDefault="004D742E" w:rsidP="004D742E">
      <w:pPr>
        <w:pStyle w:val="NormalWeb"/>
        <w:rPr>
          <w:rFonts w:asciiTheme="minorHAnsi" w:hAnsiTheme="minorHAnsi" w:cstheme="minorHAnsi"/>
        </w:rPr>
      </w:pPr>
      <w:r w:rsidRPr="004D742E">
        <w:rPr>
          <w:rFonts w:asciiTheme="minorHAnsi" w:hAnsiTheme="minorHAnsi" w:cstheme="minorHAnsi"/>
        </w:rPr>
        <w:t>The analysis identified a high overall no-show rate of 48.46%, with potential differences in attendance associated with factors such as distance, waiting time, age and reminder status. Patients travelling longer distances appeared to have higher no-show rates, while waiting-time and reminder patterns required further investigation.</w:t>
      </w:r>
    </w:p>
    <w:p w14:paraId="08DA2A9B" w14:textId="77777777" w:rsidR="004D742E" w:rsidRPr="004D742E" w:rsidRDefault="004D742E" w:rsidP="004D742E">
      <w:pPr>
        <w:pStyle w:val="Heading3"/>
        <w:rPr>
          <w:rFonts w:asciiTheme="minorHAnsi" w:hAnsiTheme="minorHAnsi" w:cstheme="minorHAnsi"/>
        </w:rPr>
      </w:pPr>
      <w:r w:rsidRPr="004D742E">
        <w:rPr>
          <w:rFonts w:asciiTheme="minorHAnsi" w:hAnsiTheme="minorHAnsi" w:cstheme="minorHAnsi"/>
        </w:rPr>
        <w:t>Week 6 revised conclusion</w:t>
      </w:r>
    </w:p>
    <w:p w14:paraId="34A1346E" w14:textId="77777777" w:rsidR="004D742E" w:rsidRPr="004D742E" w:rsidRDefault="004D742E" w:rsidP="004D742E">
      <w:pPr>
        <w:pStyle w:val="NormalWeb"/>
        <w:rPr>
          <w:rFonts w:asciiTheme="minorHAnsi" w:hAnsiTheme="minorHAnsi" w:cstheme="minorHAnsi"/>
          <w:b/>
          <w:bCs/>
        </w:rPr>
      </w:pPr>
      <w:r w:rsidRPr="004D742E">
        <w:rPr>
          <w:rStyle w:val="Strong"/>
          <w:rFonts w:asciiTheme="minorHAnsi" w:hAnsiTheme="minorHAnsi" w:cstheme="minorHAnsi"/>
          <w:b w:val="0"/>
          <w:bCs w:val="0"/>
        </w:rPr>
        <w:t>The Week 6 deeper analysis confirmed that appointment non-attendance remains the primary operational concern, with a no-show rate of 48.46%. The additional analysis provided stronger evidence that no-show behaviour varies across patient and appointment characteristics, particularly distance, reminder status and previous appointment behaviour.</w:t>
      </w:r>
    </w:p>
    <w:p w14:paraId="27653BAD" w14:textId="77777777" w:rsidR="004D742E" w:rsidRPr="004D742E" w:rsidRDefault="004D742E" w:rsidP="004D742E">
      <w:pPr>
        <w:pStyle w:val="NormalWeb"/>
        <w:rPr>
          <w:rFonts w:asciiTheme="minorHAnsi" w:hAnsiTheme="minorHAnsi" w:cstheme="minorHAnsi"/>
          <w:b/>
          <w:bCs/>
        </w:rPr>
      </w:pPr>
      <w:r w:rsidRPr="004D742E">
        <w:rPr>
          <w:rStyle w:val="Strong"/>
          <w:rFonts w:asciiTheme="minorHAnsi" w:hAnsiTheme="minorHAnsi" w:cstheme="minorHAnsi"/>
          <w:b w:val="0"/>
          <w:bCs w:val="0"/>
        </w:rPr>
        <w:t>However, some Week 5 observations require more cautious interpretation. The high no-show rate among records with unknown waiting-time information should not be interpreted as evidence that waiting time itself causes non-attendance, as missing data may influence this result. Similarly, differences between reminder groups indicate an association rather than a confirmed causal effect.</w:t>
      </w:r>
    </w:p>
    <w:p w14:paraId="71AF1BE9" w14:textId="77777777" w:rsidR="004D742E" w:rsidRPr="004D742E" w:rsidRDefault="004D742E" w:rsidP="004D742E">
      <w:pPr>
        <w:pStyle w:val="NormalWeb"/>
        <w:rPr>
          <w:rFonts w:asciiTheme="minorHAnsi" w:hAnsiTheme="minorHAnsi" w:cstheme="minorHAnsi"/>
          <w:b/>
          <w:bCs/>
        </w:rPr>
      </w:pPr>
      <w:r w:rsidRPr="004D742E">
        <w:rPr>
          <w:rStyle w:val="Strong"/>
          <w:rFonts w:asciiTheme="minorHAnsi" w:hAnsiTheme="minorHAnsi" w:cstheme="minorHAnsi"/>
          <w:b w:val="0"/>
          <w:bCs w:val="0"/>
        </w:rPr>
        <w:t>The analysis therefore supports targeted attendance interventions while highlighting the need for improved data quality and further predictive analysis before attributing no-shows to individual factors.</w:t>
      </w:r>
    </w:p>
    <w:p w14:paraId="0EEE4237" w14:textId="6CA9C26E" w:rsidR="00E20AED" w:rsidRPr="004D742E" w:rsidRDefault="00E20AED">
      <w:pPr>
        <w:rPr>
          <w:rFonts w:cstheme="minorHAnsi"/>
        </w:rPr>
      </w:pPr>
    </w:p>
    <w:p w14:paraId="4FFCFCA8" w14:textId="3775A3F4" w:rsidR="00F133B3" w:rsidRDefault="00F133B3">
      <w:pPr>
        <w:rPr>
          <w:rFonts w:cstheme="minorHAnsi"/>
        </w:rPr>
      </w:pPr>
    </w:p>
    <w:p w14:paraId="371FA933" w14:textId="54AAD009" w:rsidR="00F133B3" w:rsidRDefault="00F133B3">
      <w:pPr>
        <w:rPr>
          <w:rFonts w:cstheme="minorHAnsi"/>
        </w:rPr>
      </w:pPr>
    </w:p>
    <w:p w14:paraId="41C1D75C" w14:textId="77777777" w:rsidR="004D742E" w:rsidRPr="004D742E" w:rsidRDefault="004D742E" w:rsidP="004D742E">
      <w:pPr>
        <w:pStyle w:val="Heading1"/>
        <w:rPr>
          <w:rFonts w:asciiTheme="minorHAnsi" w:hAnsiTheme="minorHAnsi" w:cstheme="minorHAnsi"/>
        </w:rPr>
      </w:pPr>
      <w:r w:rsidRPr="004D742E">
        <w:rPr>
          <w:rFonts w:asciiTheme="minorHAnsi" w:hAnsiTheme="minorHAnsi" w:cstheme="minorHAnsi"/>
        </w:rPr>
        <w:t>11. Evidence Supporting Key Recommendations</w:t>
      </w:r>
    </w:p>
    <w:p w14:paraId="0DC06391" w14:textId="0E9F8069" w:rsidR="004D742E" w:rsidRPr="004D742E" w:rsidRDefault="004D742E" w:rsidP="004D742E">
      <w:pPr>
        <w:pStyle w:val="NormalWeb"/>
        <w:rPr>
          <w:rFonts w:asciiTheme="minorHAnsi" w:hAnsiTheme="minorHAnsi" w:cstheme="min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917"/>
        <w:gridCol w:w="3755"/>
      </w:tblGrid>
      <w:tr w:rsidR="004D742E" w:rsidRPr="004D742E" w14:paraId="38472A28" w14:textId="77777777" w:rsidTr="004D742E">
        <w:trPr>
          <w:tblHeader/>
          <w:tblCellSpacing w:w="15" w:type="dxa"/>
        </w:trPr>
        <w:tc>
          <w:tcPr>
            <w:tcW w:w="0" w:type="auto"/>
            <w:vAlign w:val="center"/>
            <w:hideMark/>
          </w:tcPr>
          <w:p w14:paraId="28B86FCB" w14:textId="77777777" w:rsidR="004D742E" w:rsidRPr="004D742E" w:rsidRDefault="004D742E">
            <w:pPr>
              <w:jc w:val="center"/>
              <w:rPr>
                <w:rFonts w:cstheme="minorHAnsi"/>
                <w:b/>
                <w:bCs/>
              </w:rPr>
            </w:pPr>
            <w:r w:rsidRPr="004D742E">
              <w:rPr>
                <w:rFonts w:cstheme="minorHAnsi"/>
                <w:b/>
                <w:bCs/>
              </w:rPr>
              <w:t>Recommendation</w:t>
            </w:r>
          </w:p>
        </w:tc>
        <w:tc>
          <w:tcPr>
            <w:tcW w:w="0" w:type="auto"/>
            <w:vAlign w:val="center"/>
            <w:hideMark/>
          </w:tcPr>
          <w:p w14:paraId="46A5887A" w14:textId="77777777" w:rsidR="004D742E" w:rsidRPr="004D742E" w:rsidRDefault="004D742E">
            <w:pPr>
              <w:jc w:val="center"/>
              <w:rPr>
                <w:rFonts w:cstheme="minorHAnsi"/>
                <w:b/>
                <w:bCs/>
              </w:rPr>
            </w:pPr>
            <w:r w:rsidRPr="004D742E">
              <w:rPr>
                <w:rFonts w:cstheme="minorHAnsi"/>
                <w:b/>
                <w:bCs/>
              </w:rPr>
              <w:t>Supporting Evidence</w:t>
            </w:r>
          </w:p>
        </w:tc>
        <w:tc>
          <w:tcPr>
            <w:tcW w:w="0" w:type="auto"/>
            <w:vAlign w:val="center"/>
            <w:hideMark/>
          </w:tcPr>
          <w:p w14:paraId="57717FF8" w14:textId="77777777" w:rsidR="004D742E" w:rsidRPr="004D742E" w:rsidRDefault="004D742E">
            <w:pPr>
              <w:jc w:val="center"/>
              <w:rPr>
                <w:rFonts w:cstheme="minorHAnsi"/>
                <w:b/>
                <w:bCs/>
              </w:rPr>
            </w:pPr>
            <w:r w:rsidRPr="004D742E">
              <w:rPr>
                <w:rFonts w:cstheme="minorHAnsi"/>
                <w:b/>
                <w:bCs/>
              </w:rPr>
              <w:t>Interpretation</w:t>
            </w:r>
          </w:p>
        </w:tc>
      </w:tr>
      <w:tr w:rsidR="004D742E" w:rsidRPr="004D742E" w14:paraId="0D796DB0" w14:textId="77777777" w:rsidTr="004D742E">
        <w:trPr>
          <w:tblCellSpacing w:w="15" w:type="dxa"/>
        </w:trPr>
        <w:tc>
          <w:tcPr>
            <w:tcW w:w="0" w:type="auto"/>
            <w:vAlign w:val="center"/>
            <w:hideMark/>
          </w:tcPr>
          <w:p w14:paraId="1D290AF0" w14:textId="77777777" w:rsidR="004D742E" w:rsidRPr="004D742E" w:rsidRDefault="004D742E">
            <w:pPr>
              <w:rPr>
                <w:rFonts w:cstheme="minorHAnsi"/>
              </w:rPr>
            </w:pPr>
            <w:r w:rsidRPr="004D742E">
              <w:rPr>
                <w:rStyle w:val="Strong"/>
                <w:rFonts w:cstheme="minorHAnsi"/>
              </w:rPr>
              <w:t>Strengthen appointment reminders</w:t>
            </w:r>
          </w:p>
        </w:tc>
        <w:tc>
          <w:tcPr>
            <w:tcW w:w="0" w:type="auto"/>
            <w:vAlign w:val="center"/>
            <w:hideMark/>
          </w:tcPr>
          <w:p w14:paraId="4A955AD3" w14:textId="77777777" w:rsidR="004D742E" w:rsidRPr="004D742E" w:rsidRDefault="004D742E">
            <w:pPr>
              <w:rPr>
                <w:rFonts w:cstheme="minorHAnsi"/>
              </w:rPr>
            </w:pPr>
            <w:r w:rsidRPr="004D742E">
              <w:rPr>
                <w:rFonts w:cstheme="minorHAnsi"/>
              </w:rPr>
              <w:t>Reminder status was analysed against no-show rate</w:t>
            </w:r>
          </w:p>
        </w:tc>
        <w:tc>
          <w:tcPr>
            <w:tcW w:w="0" w:type="auto"/>
            <w:vAlign w:val="center"/>
            <w:hideMark/>
          </w:tcPr>
          <w:p w14:paraId="5ECA2EFC" w14:textId="77777777" w:rsidR="004D742E" w:rsidRPr="004D742E" w:rsidRDefault="004D742E">
            <w:pPr>
              <w:rPr>
                <w:rFonts w:cstheme="minorHAnsi"/>
              </w:rPr>
            </w:pPr>
            <w:r w:rsidRPr="004D742E">
              <w:rPr>
                <w:rFonts w:cstheme="minorHAnsi"/>
              </w:rPr>
              <w:t>Differences between reminder groups suggest that reminder processes should be investigated as a potential attendance intervention</w:t>
            </w:r>
          </w:p>
        </w:tc>
      </w:tr>
      <w:tr w:rsidR="004D742E" w:rsidRPr="004D742E" w14:paraId="6D558209" w14:textId="77777777" w:rsidTr="004D742E">
        <w:trPr>
          <w:tblCellSpacing w:w="15" w:type="dxa"/>
        </w:trPr>
        <w:tc>
          <w:tcPr>
            <w:tcW w:w="0" w:type="auto"/>
            <w:vAlign w:val="center"/>
            <w:hideMark/>
          </w:tcPr>
          <w:p w14:paraId="0671C13F" w14:textId="77777777" w:rsidR="004D742E" w:rsidRPr="004D742E" w:rsidRDefault="004D742E">
            <w:pPr>
              <w:rPr>
                <w:rFonts w:cstheme="minorHAnsi"/>
              </w:rPr>
            </w:pPr>
            <w:r w:rsidRPr="004D742E">
              <w:rPr>
                <w:rStyle w:val="Strong"/>
                <w:rFonts w:cstheme="minorHAnsi"/>
              </w:rPr>
              <w:t>Target patients with previous no-shows</w:t>
            </w:r>
          </w:p>
        </w:tc>
        <w:tc>
          <w:tcPr>
            <w:tcW w:w="0" w:type="auto"/>
            <w:vAlign w:val="center"/>
            <w:hideMark/>
          </w:tcPr>
          <w:p w14:paraId="550F4C3A" w14:textId="77777777" w:rsidR="004D742E" w:rsidRPr="004D742E" w:rsidRDefault="004D742E">
            <w:pPr>
              <w:rPr>
                <w:rFonts w:cstheme="minorHAnsi"/>
              </w:rPr>
            </w:pPr>
            <w:r w:rsidRPr="004D742E">
              <w:rPr>
                <w:rFonts w:cstheme="minorHAnsi"/>
              </w:rPr>
              <w:t>Previous no-show history was identified as a relevant behavioural variable</w:t>
            </w:r>
          </w:p>
        </w:tc>
        <w:tc>
          <w:tcPr>
            <w:tcW w:w="0" w:type="auto"/>
            <w:vAlign w:val="center"/>
            <w:hideMark/>
          </w:tcPr>
          <w:p w14:paraId="46EC2BB4" w14:textId="77777777" w:rsidR="004D742E" w:rsidRPr="004D742E" w:rsidRDefault="004D742E">
            <w:pPr>
              <w:rPr>
                <w:rFonts w:cstheme="minorHAnsi"/>
              </w:rPr>
            </w:pPr>
            <w:r w:rsidRPr="004D742E">
              <w:rPr>
                <w:rFonts w:cstheme="minorHAnsi"/>
              </w:rPr>
              <w:t>Previous attendance behaviour can help identify potentially higher-risk appointments</w:t>
            </w:r>
          </w:p>
        </w:tc>
      </w:tr>
      <w:tr w:rsidR="004D742E" w:rsidRPr="004D742E" w14:paraId="15C43A9E" w14:textId="77777777" w:rsidTr="004D742E">
        <w:trPr>
          <w:tblCellSpacing w:w="15" w:type="dxa"/>
        </w:trPr>
        <w:tc>
          <w:tcPr>
            <w:tcW w:w="0" w:type="auto"/>
            <w:vAlign w:val="center"/>
            <w:hideMark/>
          </w:tcPr>
          <w:p w14:paraId="046A97D2" w14:textId="77777777" w:rsidR="004D742E" w:rsidRPr="004D742E" w:rsidRDefault="004D742E">
            <w:pPr>
              <w:rPr>
                <w:rFonts w:cstheme="minorHAnsi"/>
              </w:rPr>
            </w:pPr>
            <w:r w:rsidRPr="004D742E">
              <w:rPr>
                <w:rStyle w:val="Strong"/>
                <w:rFonts w:cstheme="minorHAnsi"/>
              </w:rPr>
              <w:t>Pay attention to patients travelling long distances</w:t>
            </w:r>
          </w:p>
        </w:tc>
        <w:tc>
          <w:tcPr>
            <w:tcW w:w="0" w:type="auto"/>
            <w:vAlign w:val="center"/>
            <w:hideMark/>
          </w:tcPr>
          <w:p w14:paraId="084F1335" w14:textId="77777777" w:rsidR="004D742E" w:rsidRPr="004D742E" w:rsidRDefault="004D742E">
            <w:pPr>
              <w:rPr>
                <w:rFonts w:cstheme="minorHAnsi"/>
              </w:rPr>
            </w:pPr>
            <w:r w:rsidRPr="004D742E">
              <w:rPr>
                <w:rFonts w:cstheme="minorHAnsi"/>
              </w:rPr>
              <w:t>The 20+ km group showed a relatively high no-show rate</w:t>
            </w:r>
          </w:p>
        </w:tc>
        <w:tc>
          <w:tcPr>
            <w:tcW w:w="0" w:type="auto"/>
            <w:vAlign w:val="center"/>
            <w:hideMark/>
          </w:tcPr>
          <w:p w14:paraId="5CA08968" w14:textId="77777777" w:rsidR="004D742E" w:rsidRPr="004D742E" w:rsidRDefault="004D742E">
            <w:pPr>
              <w:rPr>
                <w:rFonts w:cstheme="minorHAnsi"/>
              </w:rPr>
            </w:pPr>
            <w:r w:rsidRPr="004D742E">
              <w:rPr>
                <w:rFonts w:cstheme="minorHAnsi"/>
              </w:rPr>
              <w:t>Travel distance may represent an accessibility barrier</w:t>
            </w:r>
          </w:p>
        </w:tc>
      </w:tr>
      <w:tr w:rsidR="004D742E" w:rsidRPr="004D742E" w14:paraId="34528B07" w14:textId="77777777" w:rsidTr="004D742E">
        <w:trPr>
          <w:tblCellSpacing w:w="15" w:type="dxa"/>
        </w:trPr>
        <w:tc>
          <w:tcPr>
            <w:tcW w:w="0" w:type="auto"/>
            <w:vAlign w:val="center"/>
            <w:hideMark/>
          </w:tcPr>
          <w:p w14:paraId="24097F17" w14:textId="77777777" w:rsidR="004D742E" w:rsidRPr="004D742E" w:rsidRDefault="004D742E">
            <w:pPr>
              <w:rPr>
                <w:rFonts w:cstheme="minorHAnsi"/>
              </w:rPr>
            </w:pPr>
            <w:r w:rsidRPr="004D742E">
              <w:rPr>
                <w:rStyle w:val="Strong"/>
                <w:rFonts w:cstheme="minorHAnsi"/>
              </w:rPr>
              <w:t>Improve waiting-time data collection</w:t>
            </w:r>
          </w:p>
        </w:tc>
        <w:tc>
          <w:tcPr>
            <w:tcW w:w="0" w:type="auto"/>
            <w:vAlign w:val="center"/>
            <w:hideMark/>
          </w:tcPr>
          <w:p w14:paraId="1B5D57F8" w14:textId="77777777" w:rsidR="004D742E" w:rsidRPr="004D742E" w:rsidRDefault="004D742E">
            <w:pPr>
              <w:rPr>
                <w:rFonts w:cstheme="minorHAnsi"/>
              </w:rPr>
            </w:pPr>
            <w:r w:rsidRPr="004D742E">
              <w:rPr>
                <w:rFonts w:cstheme="minorHAnsi"/>
              </w:rPr>
              <w:t>Waiting-time records contain missing values and the Unknown group showed a high no-show rate</w:t>
            </w:r>
          </w:p>
        </w:tc>
        <w:tc>
          <w:tcPr>
            <w:tcW w:w="0" w:type="auto"/>
            <w:vAlign w:val="center"/>
            <w:hideMark/>
          </w:tcPr>
          <w:p w14:paraId="67048AED" w14:textId="77777777" w:rsidR="004D742E" w:rsidRPr="004D742E" w:rsidRDefault="004D742E">
            <w:pPr>
              <w:rPr>
                <w:rFonts w:cstheme="minorHAnsi"/>
              </w:rPr>
            </w:pPr>
            <w:r w:rsidRPr="004D742E">
              <w:rPr>
                <w:rFonts w:cstheme="minorHAnsi"/>
              </w:rPr>
              <w:t>The pattern cannot be reliably interpreted until data completeness improves</w:t>
            </w:r>
          </w:p>
        </w:tc>
      </w:tr>
      <w:tr w:rsidR="004D742E" w:rsidRPr="004D742E" w14:paraId="5424D43F" w14:textId="77777777" w:rsidTr="004D742E">
        <w:trPr>
          <w:tblCellSpacing w:w="15" w:type="dxa"/>
        </w:trPr>
        <w:tc>
          <w:tcPr>
            <w:tcW w:w="0" w:type="auto"/>
            <w:vAlign w:val="center"/>
            <w:hideMark/>
          </w:tcPr>
          <w:p w14:paraId="5DAC58B8" w14:textId="77777777" w:rsidR="004D742E" w:rsidRPr="004D742E" w:rsidRDefault="004D742E">
            <w:pPr>
              <w:rPr>
                <w:rFonts w:cstheme="minorHAnsi"/>
              </w:rPr>
            </w:pPr>
            <w:r w:rsidRPr="004D742E">
              <w:rPr>
                <w:rStyle w:val="Strong"/>
                <w:rFonts w:cstheme="minorHAnsi"/>
              </w:rPr>
              <w:t>Develop future no-show prediction</w:t>
            </w:r>
          </w:p>
        </w:tc>
        <w:tc>
          <w:tcPr>
            <w:tcW w:w="0" w:type="auto"/>
            <w:vAlign w:val="center"/>
            <w:hideMark/>
          </w:tcPr>
          <w:p w14:paraId="37D46821" w14:textId="77777777" w:rsidR="004D742E" w:rsidRPr="004D742E" w:rsidRDefault="004D742E">
            <w:pPr>
              <w:rPr>
                <w:rFonts w:cstheme="minorHAnsi"/>
              </w:rPr>
            </w:pPr>
            <w:r w:rsidRPr="004D742E">
              <w:rPr>
                <w:rFonts w:cstheme="minorHAnsi"/>
              </w:rPr>
              <w:t>Multiple variables show potentially useful relationships with attendance</w:t>
            </w:r>
          </w:p>
        </w:tc>
        <w:tc>
          <w:tcPr>
            <w:tcW w:w="0" w:type="auto"/>
            <w:vAlign w:val="center"/>
            <w:hideMark/>
          </w:tcPr>
          <w:p w14:paraId="6AAB994B" w14:textId="77777777" w:rsidR="004D742E" w:rsidRPr="004D742E" w:rsidRDefault="004D742E">
            <w:pPr>
              <w:rPr>
                <w:rFonts w:cstheme="minorHAnsi"/>
              </w:rPr>
            </w:pPr>
            <w:r w:rsidRPr="004D742E">
              <w:rPr>
                <w:rFonts w:cstheme="minorHAnsi"/>
              </w:rPr>
              <w:t>These variables could be evaluated as candidate features in future predictive modelling</w:t>
            </w:r>
          </w:p>
        </w:tc>
      </w:tr>
    </w:tbl>
    <w:p w14:paraId="23EF5459" w14:textId="12E7AD3A" w:rsidR="004D742E" w:rsidRPr="004D742E" w:rsidRDefault="004D742E" w:rsidP="004D742E">
      <w:pPr>
        <w:pStyle w:val="Heading3"/>
        <w:rPr>
          <w:rFonts w:asciiTheme="minorHAnsi" w:hAnsiTheme="minorHAnsi" w:cstheme="minorHAnsi"/>
        </w:rPr>
      </w:pPr>
      <w:r w:rsidRPr="004D742E">
        <w:rPr>
          <w:rFonts w:asciiTheme="minorHAnsi" w:hAnsiTheme="minorHAnsi" w:cstheme="minorHAnsi"/>
        </w:rPr>
        <w:t xml:space="preserve">Evidence statement </w:t>
      </w:r>
    </w:p>
    <w:p w14:paraId="2F839D8B" w14:textId="77777777" w:rsidR="004D742E" w:rsidRPr="004D742E" w:rsidRDefault="004D742E" w:rsidP="004D742E">
      <w:pPr>
        <w:pStyle w:val="NormalWeb"/>
        <w:rPr>
          <w:rFonts w:asciiTheme="minorHAnsi" w:hAnsiTheme="minorHAnsi" w:cstheme="minorHAnsi"/>
          <w:b/>
          <w:bCs/>
        </w:rPr>
      </w:pPr>
      <w:r w:rsidRPr="004D742E">
        <w:rPr>
          <w:rStyle w:val="Strong"/>
          <w:rFonts w:asciiTheme="minorHAnsi" w:hAnsiTheme="minorHAnsi" w:cstheme="minorHAnsi"/>
          <w:b w:val="0"/>
          <w:bCs w:val="0"/>
        </w:rPr>
        <w:t>The recommendations were derived directly from the Week 6 analysis of appointment outcomes, distance, waiting time, reminder status and previous attendance behaviour. The evidence indicates that no-show behaviour varies across different appointment and patient characteristics. The findings support targeted interventions, particularly around reminder processes and patients with previous no-shows. However, the analysis also identified data-quality limitations, particularly missing distance and waiting-time information, which should be addressed before drawing stronger conclusions.</w:t>
      </w:r>
    </w:p>
    <w:p w14:paraId="2456033E" w14:textId="53DB87B7" w:rsidR="004D742E" w:rsidRDefault="004D742E"/>
    <w:p w14:paraId="27F25B5D" w14:textId="17A7B722" w:rsidR="003C4181" w:rsidRDefault="003C4181"/>
    <w:p w14:paraId="0B3F8A62" w14:textId="77777777" w:rsidR="003C4181" w:rsidRPr="003C4181" w:rsidRDefault="003C4181" w:rsidP="003C4181">
      <w:pPr>
        <w:pStyle w:val="Heading1"/>
        <w:rPr>
          <w:rFonts w:asciiTheme="minorHAnsi" w:hAnsiTheme="minorHAnsi" w:cstheme="minorHAnsi"/>
        </w:rPr>
      </w:pPr>
      <w:r w:rsidRPr="003C4181">
        <w:rPr>
          <w:rFonts w:asciiTheme="minorHAnsi" w:hAnsiTheme="minorHAnsi" w:cstheme="minorHAnsi"/>
        </w:rPr>
        <w:lastRenderedPageBreak/>
        <w:t>12. Cross-Track Integration Status</w:t>
      </w:r>
    </w:p>
    <w:p w14:paraId="1FAC8634" w14:textId="77777777" w:rsidR="003C4181" w:rsidRPr="003C4181" w:rsidRDefault="003C4181" w:rsidP="003C4181">
      <w:pPr>
        <w:pStyle w:val="NormalWeb"/>
        <w:rPr>
          <w:rFonts w:asciiTheme="minorHAnsi" w:hAnsiTheme="minorHAnsi" w:cstheme="minorHAnsi"/>
        </w:rPr>
      </w:pPr>
      <w:r w:rsidRPr="003C4181">
        <w:rPr>
          <w:rFonts w:asciiTheme="minorHAnsi" w:hAnsiTheme="minorHAnsi" w:cstheme="minorHAnsi"/>
        </w:rPr>
        <w:t>Write something like:</w:t>
      </w:r>
    </w:p>
    <w:p w14:paraId="38A54000" w14:textId="77777777" w:rsidR="003C4181" w:rsidRPr="003C4181" w:rsidRDefault="003C4181" w:rsidP="003C4181">
      <w:pPr>
        <w:pStyle w:val="NormalWeb"/>
        <w:rPr>
          <w:rFonts w:asciiTheme="minorHAnsi" w:hAnsiTheme="minorHAnsi" w:cstheme="minorHAnsi"/>
        </w:rPr>
      </w:pPr>
      <w:r w:rsidRPr="003C4181">
        <w:rPr>
          <w:rStyle w:val="Strong"/>
          <w:rFonts w:asciiTheme="minorHAnsi" w:hAnsiTheme="minorHAnsi" w:cstheme="minorHAnsi"/>
          <w:b w:val="0"/>
          <w:bCs w:val="0"/>
        </w:rPr>
        <w:t>Cross-track integration with the Data Science track was planned around the appointment no-show prediction use case. The Analytics team identified relevant findings and candidate variables that could support Data Science modelling decisions, including previous no-shows, previous appointments, reminder status, distance to clinic, waiting time, appointment type, age group and booking lead time.</w:t>
      </w:r>
    </w:p>
    <w:p w14:paraId="369501F0" w14:textId="77777777" w:rsidR="003C4181" w:rsidRPr="003C4181" w:rsidRDefault="003C4181" w:rsidP="003C4181">
      <w:pPr>
        <w:pStyle w:val="NormalWeb"/>
        <w:rPr>
          <w:rFonts w:asciiTheme="minorHAnsi" w:hAnsiTheme="minorHAnsi" w:cstheme="minorHAnsi"/>
        </w:rPr>
      </w:pPr>
      <w:r w:rsidRPr="003C4181">
        <w:rPr>
          <w:rStyle w:val="Strong"/>
          <w:rFonts w:asciiTheme="minorHAnsi" w:hAnsiTheme="minorHAnsi" w:cstheme="minorHAnsi"/>
          <w:b w:val="0"/>
          <w:bCs w:val="0"/>
        </w:rPr>
        <w:t>The Analytics findings were prepared for communication to the Data Science track; however, a completed two-way collaboration could not be documented within the Week 6 submission period because of limited availability and responsiveness from participants remaining active in the Data Science track.</w:t>
      </w:r>
    </w:p>
    <w:p w14:paraId="0D782809" w14:textId="77777777" w:rsidR="003C4181" w:rsidRPr="003C4181" w:rsidRDefault="003C4181" w:rsidP="003C4181">
      <w:pPr>
        <w:pStyle w:val="NormalWeb"/>
        <w:rPr>
          <w:rFonts w:asciiTheme="minorHAnsi" w:hAnsiTheme="minorHAnsi" w:cstheme="minorHAnsi"/>
        </w:rPr>
      </w:pPr>
      <w:r w:rsidRPr="003C4181">
        <w:rPr>
          <w:rStyle w:val="Strong"/>
          <w:rFonts w:asciiTheme="minorHAnsi" w:hAnsiTheme="minorHAnsi" w:cstheme="minorHAnsi"/>
          <w:b w:val="0"/>
          <w:bCs w:val="0"/>
        </w:rPr>
        <w:t>As a result, no unverified claim of completed cross-track integration is made. The analytical contribution has instead been documented as a prepared input for the planned no-show prediction use case. A future integration would involve Data Science evaluating these candidate variables, developing a predictive model and returning model outputs to Analytics for validation and dashboard/decision-support integration.</w:t>
      </w:r>
    </w:p>
    <w:p w14:paraId="3AB9C343" w14:textId="77777777" w:rsidR="003C4181" w:rsidRPr="003C4181" w:rsidRDefault="003C4181" w:rsidP="003C4181">
      <w:pPr>
        <w:spacing w:before="100" w:beforeAutospacing="1" w:after="100" w:afterAutospacing="1" w:line="240" w:lineRule="auto"/>
        <w:rPr>
          <w:rFonts w:eastAsia="Times New Roman" w:cstheme="minorHAnsi"/>
          <w:lang w:eastAsia="en-ZA"/>
        </w:rPr>
      </w:pPr>
      <w:r w:rsidRPr="003C4181">
        <w:rPr>
          <w:rFonts w:eastAsia="Times New Roman" w:cstheme="minorHAnsi"/>
          <w:b/>
          <w:bCs/>
          <w:lang w:eastAsia="en-ZA"/>
        </w:rPr>
        <w:t>Status:</w:t>
      </w:r>
      <w:r w:rsidRPr="003C4181">
        <w:rPr>
          <w:rFonts w:eastAsia="Times New Roman" w:cstheme="minorHAnsi"/>
          <w:lang w:eastAsia="en-ZA"/>
        </w:rPr>
        <w:t xml:space="preserve"> Planned / pending Data Science availability</w:t>
      </w:r>
    </w:p>
    <w:p w14:paraId="0384B81C" w14:textId="77777777" w:rsidR="003C4181" w:rsidRPr="003C4181" w:rsidRDefault="003C4181" w:rsidP="003C4181">
      <w:pPr>
        <w:spacing w:before="100" w:beforeAutospacing="1" w:after="100" w:afterAutospacing="1" w:line="240" w:lineRule="auto"/>
        <w:rPr>
          <w:rFonts w:eastAsia="Times New Roman" w:cstheme="minorHAnsi"/>
          <w:lang w:eastAsia="en-ZA"/>
        </w:rPr>
      </w:pPr>
      <w:r w:rsidRPr="003C4181">
        <w:rPr>
          <w:rFonts w:eastAsia="Times New Roman" w:cstheme="minorHAnsi"/>
          <w:b/>
          <w:bCs/>
          <w:lang w:eastAsia="en-ZA"/>
        </w:rPr>
        <w:t>Analytics contribution prepared:</w:t>
      </w:r>
      <w:r w:rsidRPr="003C4181">
        <w:rPr>
          <w:rFonts w:eastAsia="Times New Roman" w:cstheme="minorHAnsi"/>
          <w:lang w:eastAsia="en-ZA"/>
        </w:rPr>
        <w:t xml:space="preserve"> </w:t>
      </w:r>
      <w:r w:rsidRPr="003C4181">
        <w:rPr>
          <w:rFonts w:ascii="Segoe UI Emoji" w:eastAsia="Times New Roman" w:hAnsi="Segoe UI Emoji" w:cs="Segoe UI Emoji"/>
          <w:lang w:eastAsia="en-ZA"/>
        </w:rPr>
        <w:t>✅</w:t>
      </w:r>
    </w:p>
    <w:p w14:paraId="1597CAB0" w14:textId="77777777" w:rsidR="003C4181" w:rsidRPr="003C4181" w:rsidRDefault="003C4181" w:rsidP="003C4181">
      <w:pPr>
        <w:spacing w:before="100" w:beforeAutospacing="1" w:after="100" w:afterAutospacing="1" w:line="240" w:lineRule="auto"/>
        <w:rPr>
          <w:rFonts w:eastAsia="Times New Roman" w:cstheme="minorHAnsi"/>
          <w:lang w:eastAsia="en-ZA"/>
        </w:rPr>
      </w:pPr>
      <w:r w:rsidRPr="003C4181">
        <w:rPr>
          <w:rFonts w:eastAsia="Times New Roman" w:cstheme="minorHAnsi"/>
          <w:b/>
          <w:bCs/>
          <w:lang w:eastAsia="en-ZA"/>
        </w:rPr>
        <w:t>Candidate modelling variables identified:</w:t>
      </w:r>
      <w:r w:rsidRPr="003C4181">
        <w:rPr>
          <w:rFonts w:eastAsia="Times New Roman" w:cstheme="minorHAnsi"/>
          <w:lang w:eastAsia="en-ZA"/>
        </w:rPr>
        <w:t xml:space="preserve"> </w:t>
      </w:r>
      <w:r w:rsidRPr="003C4181">
        <w:rPr>
          <w:rFonts w:ascii="Segoe UI Emoji" w:eastAsia="Times New Roman" w:hAnsi="Segoe UI Emoji" w:cs="Segoe UI Emoji"/>
          <w:lang w:eastAsia="en-ZA"/>
        </w:rPr>
        <w:t>✅</w:t>
      </w:r>
    </w:p>
    <w:p w14:paraId="7B478478" w14:textId="77777777" w:rsidR="003C4181" w:rsidRPr="003C4181" w:rsidRDefault="003C4181" w:rsidP="003C4181">
      <w:pPr>
        <w:spacing w:before="100" w:beforeAutospacing="1" w:after="100" w:afterAutospacing="1" w:line="240" w:lineRule="auto"/>
        <w:rPr>
          <w:rFonts w:eastAsia="Times New Roman" w:cstheme="minorHAnsi"/>
          <w:lang w:eastAsia="en-ZA"/>
        </w:rPr>
      </w:pPr>
      <w:r w:rsidRPr="003C4181">
        <w:rPr>
          <w:rFonts w:eastAsia="Times New Roman" w:cstheme="minorHAnsi"/>
          <w:b/>
          <w:bCs/>
          <w:lang w:eastAsia="en-ZA"/>
        </w:rPr>
        <w:t>Data Science feedback received:</w:t>
      </w:r>
      <w:r w:rsidRPr="003C4181">
        <w:rPr>
          <w:rFonts w:eastAsia="Times New Roman" w:cstheme="minorHAnsi"/>
          <w:lang w:eastAsia="en-ZA"/>
        </w:rPr>
        <w:t xml:space="preserve"> </w:t>
      </w:r>
      <w:r w:rsidRPr="003C4181">
        <w:rPr>
          <w:rFonts w:ascii="Segoe UI Emoji" w:eastAsia="Times New Roman" w:hAnsi="Segoe UI Emoji" w:cs="Segoe UI Emoji"/>
          <w:lang w:eastAsia="en-ZA"/>
        </w:rPr>
        <w:t>❌</w:t>
      </w:r>
    </w:p>
    <w:p w14:paraId="01B1FB30" w14:textId="77777777" w:rsidR="003C4181" w:rsidRPr="003C4181" w:rsidRDefault="003C4181" w:rsidP="003C4181">
      <w:pPr>
        <w:spacing w:before="100" w:beforeAutospacing="1" w:after="100" w:afterAutospacing="1" w:line="240" w:lineRule="auto"/>
        <w:rPr>
          <w:rFonts w:eastAsia="Times New Roman" w:cstheme="minorHAnsi"/>
          <w:lang w:eastAsia="en-ZA"/>
        </w:rPr>
      </w:pPr>
      <w:r w:rsidRPr="003C4181">
        <w:rPr>
          <w:rFonts w:eastAsia="Times New Roman" w:cstheme="minorHAnsi"/>
          <w:b/>
          <w:bCs/>
          <w:lang w:eastAsia="en-ZA"/>
        </w:rPr>
        <w:t>Validated cross-track output:</w:t>
      </w:r>
      <w:r w:rsidRPr="003C4181">
        <w:rPr>
          <w:rFonts w:eastAsia="Times New Roman" w:cstheme="minorHAnsi"/>
          <w:lang w:eastAsia="en-ZA"/>
        </w:rPr>
        <w:t xml:space="preserve"> </w:t>
      </w:r>
      <w:r w:rsidRPr="003C4181">
        <w:rPr>
          <w:rFonts w:ascii="Segoe UI Emoji" w:eastAsia="Times New Roman" w:hAnsi="Segoe UI Emoji" w:cs="Segoe UI Emoji"/>
          <w:lang w:eastAsia="en-ZA"/>
        </w:rPr>
        <w:t>❌</w:t>
      </w:r>
    </w:p>
    <w:p w14:paraId="23FE2333" w14:textId="77777777" w:rsidR="003C4181" w:rsidRPr="003C4181" w:rsidRDefault="003C4181" w:rsidP="003C4181">
      <w:pPr>
        <w:spacing w:before="100" w:beforeAutospacing="1" w:after="100" w:afterAutospacing="1" w:line="240" w:lineRule="auto"/>
        <w:rPr>
          <w:rFonts w:eastAsia="Times New Roman" w:cstheme="minorHAnsi"/>
          <w:lang w:eastAsia="en-ZA"/>
        </w:rPr>
      </w:pPr>
      <w:r w:rsidRPr="003C4181">
        <w:rPr>
          <w:rFonts w:eastAsia="Times New Roman" w:cstheme="minorHAnsi"/>
          <w:b/>
          <w:bCs/>
          <w:lang w:eastAsia="en-ZA"/>
        </w:rPr>
        <w:t>Reason:</w:t>
      </w:r>
      <w:r w:rsidRPr="003C4181">
        <w:rPr>
          <w:rFonts w:eastAsia="Times New Roman" w:cstheme="minorHAnsi"/>
          <w:lang w:eastAsia="en-ZA"/>
        </w:rPr>
        <w:t xml:space="preserve"> Limited availability/responsiveness of active Data Science participants during the Week 6 submission period.</w:t>
      </w:r>
    </w:p>
    <w:p w14:paraId="18295D9C" w14:textId="77777777" w:rsidR="003C4181" w:rsidRDefault="003C4181"/>
    <w:sectPr w:rsidR="003C41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B5EAB"/>
    <w:multiLevelType w:val="multilevel"/>
    <w:tmpl w:val="FD0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F3586"/>
    <w:multiLevelType w:val="multilevel"/>
    <w:tmpl w:val="2220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375B2"/>
    <w:multiLevelType w:val="multilevel"/>
    <w:tmpl w:val="E45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DF11C7"/>
    <w:multiLevelType w:val="multilevel"/>
    <w:tmpl w:val="72D2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141F7"/>
    <w:multiLevelType w:val="multilevel"/>
    <w:tmpl w:val="DDC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C9E"/>
    <w:rsid w:val="00027C9A"/>
    <w:rsid w:val="000C1D9D"/>
    <w:rsid w:val="001F4E4C"/>
    <w:rsid w:val="003C4181"/>
    <w:rsid w:val="004D742E"/>
    <w:rsid w:val="00D340F2"/>
    <w:rsid w:val="00E20AED"/>
    <w:rsid w:val="00E66C9E"/>
    <w:rsid w:val="00F133B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B18A"/>
  <w15:chartTrackingRefBased/>
  <w15:docId w15:val="{21D74754-4BB9-4834-BDF5-3DE2217E0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6C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3C418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66C9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C9E"/>
    <w:rPr>
      <w:rFonts w:ascii="Times New Roman" w:eastAsia="Times New Roman" w:hAnsi="Times New Roman" w:cs="Times New Roman"/>
      <w:b/>
      <w:bCs/>
      <w:kern w:val="36"/>
      <w:sz w:val="48"/>
      <w:szCs w:val="48"/>
      <w:lang w:eastAsia="en-ZA"/>
    </w:rPr>
  </w:style>
  <w:style w:type="paragraph" w:styleId="NormalWeb">
    <w:name w:val="Normal (Web)"/>
    <w:basedOn w:val="Normal"/>
    <w:uiPriority w:val="99"/>
    <w:unhideWhenUsed/>
    <w:rsid w:val="00E66C9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3Char">
    <w:name w:val="Heading 3 Char"/>
    <w:basedOn w:val="DefaultParagraphFont"/>
    <w:link w:val="Heading3"/>
    <w:uiPriority w:val="9"/>
    <w:semiHidden/>
    <w:rsid w:val="00E66C9E"/>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E66C9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E66C9E"/>
    <w:rPr>
      <w:b/>
      <w:bCs/>
    </w:rPr>
  </w:style>
  <w:style w:type="character" w:styleId="HTMLCode">
    <w:name w:val="HTML Code"/>
    <w:basedOn w:val="DefaultParagraphFont"/>
    <w:uiPriority w:val="99"/>
    <w:semiHidden/>
    <w:unhideWhenUsed/>
    <w:rsid w:val="00E20AE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C418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65841">
      <w:bodyDiv w:val="1"/>
      <w:marLeft w:val="0"/>
      <w:marRight w:val="0"/>
      <w:marTop w:val="0"/>
      <w:marBottom w:val="0"/>
      <w:divBdr>
        <w:top w:val="none" w:sz="0" w:space="0" w:color="auto"/>
        <w:left w:val="none" w:sz="0" w:space="0" w:color="auto"/>
        <w:bottom w:val="none" w:sz="0" w:space="0" w:color="auto"/>
        <w:right w:val="none" w:sz="0" w:space="0" w:color="auto"/>
      </w:divBdr>
    </w:div>
    <w:div w:id="169491356">
      <w:bodyDiv w:val="1"/>
      <w:marLeft w:val="0"/>
      <w:marRight w:val="0"/>
      <w:marTop w:val="0"/>
      <w:marBottom w:val="0"/>
      <w:divBdr>
        <w:top w:val="none" w:sz="0" w:space="0" w:color="auto"/>
        <w:left w:val="none" w:sz="0" w:space="0" w:color="auto"/>
        <w:bottom w:val="none" w:sz="0" w:space="0" w:color="auto"/>
        <w:right w:val="none" w:sz="0" w:space="0" w:color="auto"/>
      </w:divBdr>
    </w:div>
    <w:div w:id="340357776">
      <w:bodyDiv w:val="1"/>
      <w:marLeft w:val="0"/>
      <w:marRight w:val="0"/>
      <w:marTop w:val="0"/>
      <w:marBottom w:val="0"/>
      <w:divBdr>
        <w:top w:val="none" w:sz="0" w:space="0" w:color="auto"/>
        <w:left w:val="none" w:sz="0" w:space="0" w:color="auto"/>
        <w:bottom w:val="none" w:sz="0" w:space="0" w:color="auto"/>
        <w:right w:val="none" w:sz="0" w:space="0" w:color="auto"/>
      </w:divBdr>
    </w:div>
    <w:div w:id="371464034">
      <w:bodyDiv w:val="1"/>
      <w:marLeft w:val="0"/>
      <w:marRight w:val="0"/>
      <w:marTop w:val="0"/>
      <w:marBottom w:val="0"/>
      <w:divBdr>
        <w:top w:val="none" w:sz="0" w:space="0" w:color="auto"/>
        <w:left w:val="none" w:sz="0" w:space="0" w:color="auto"/>
        <w:bottom w:val="none" w:sz="0" w:space="0" w:color="auto"/>
        <w:right w:val="none" w:sz="0" w:space="0" w:color="auto"/>
      </w:divBdr>
      <w:divsChild>
        <w:div w:id="607585247">
          <w:marLeft w:val="0"/>
          <w:marRight w:val="0"/>
          <w:marTop w:val="0"/>
          <w:marBottom w:val="0"/>
          <w:divBdr>
            <w:top w:val="none" w:sz="0" w:space="0" w:color="auto"/>
            <w:left w:val="none" w:sz="0" w:space="0" w:color="auto"/>
            <w:bottom w:val="none" w:sz="0" w:space="0" w:color="auto"/>
            <w:right w:val="none" w:sz="0" w:space="0" w:color="auto"/>
          </w:divBdr>
          <w:divsChild>
            <w:div w:id="278536942">
              <w:marLeft w:val="0"/>
              <w:marRight w:val="0"/>
              <w:marTop w:val="0"/>
              <w:marBottom w:val="0"/>
              <w:divBdr>
                <w:top w:val="none" w:sz="0" w:space="0" w:color="auto"/>
                <w:left w:val="none" w:sz="0" w:space="0" w:color="auto"/>
                <w:bottom w:val="none" w:sz="0" w:space="0" w:color="auto"/>
                <w:right w:val="none" w:sz="0" w:space="0" w:color="auto"/>
              </w:divBdr>
            </w:div>
          </w:divsChild>
        </w:div>
        <w:div w:id="214395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509886">
      <w:bodyDiv w:val="1"/>
      <w:marLeft w:val="0"/>
      <w:marRight w:val="0"/>
      <w:marTop w:val="0"/>
      <w:marBottom w:val="0"/>
      <w:divBdr>
        <w:top w:val="none" w:sz="0" w:space="0" w:color="auto"/>
        <w:left w:val="none" w:sz="0" w:space="0" w:color="auto"/>
        <w:bottom w:val="none" w:sz="0" w:space="0" w:color="auto"/>
        <w:right w:val="none" w:sz="0" w:space="0" w:color="auto"/>
      </w:divBdr>
    </w:div>
    <w:div w:id="1108506940">
      <w:bodyDiv w:val="1"/>
      <w:marLeft w:val="0"/>
      <w:marRight w:val="0"/>
      <w:marTop w:val="0"/>
      <w:marBottom w:val="0"/>
      <w:divBdr>
        <w:top w:val="none" w:sz="0" w:space="0" w:color="auto"/>
        <w:left w:val="none" w:sz="0" w:space="0" w:color="auto"/>
        <w:bottom w:val="none" w:sz="0" w:space="0" w:color="auto"/>
        <w:right w:val="none" w:sz="0" w:space="0" w:color="auto"/>
      </w:divBdr>
      <w:divsChild>
        <w:div w:id="986514610">
          <w:marLeft w:val="0"/>
          <w:marRight w:val="0"/>
          <w:marTop w:val="0"/>
          <w:marBottom w:val="0"/>
          <w:divBdr>
            <w:top w:val="none" w:sz="0" w:space="0" w:color="auto"/>
            <w:left w:val="none" w:sz="0" w:space="0" w:color="auto"/>
            <w:bottom w:val="none" w:sz="0" w:space="0" w:color="auto"/>
            <w:right w:val="none" w:sz="0" w:space="0" w:color="auto"/>
          </w:divBdr>
          <w:divsChild>
            <w:div w:id="95058767">
              <w:marLeft w:val="0"/>
              <w:marRight w:val="0"/>
              <w:marTop w:val="0"/>
              <w:marBottom w:val="0"/>
              <w:divBdr>
                <w:top w:val="none" w:sz="0" w:space="0" w:color="auto"/>
                <w:left w:val="none" w:sz="0" w:space="0" w:color="auto"/>
                <w:bottom w:val="none" w:sz="0" w:space="0" w:color="auto"/>
                <w:right w:val="none" w:sz="0" w:space="0" w:color="auto"/>
              </w:divBdr>
            </w:div>
          </w:divsChild>
        </w:div>
        <w:div w:id="630289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024428">
      <w:bodyDiv w:val="1"/>
      <w:marLeft w:val="0"/>
      <w:marRight w:val="0"/>
      <w:marTop w:val="0"/>
      <w:marBottom w:val="0"/>
      <w:divBdr>
        <w:top w:val="none" w:sz="0" w:space="0" w:color="auto"/>
        <w:left w:val="none" w:sz="0" w:space="0" w:color="auto"/>
        <w:bottom w:val="none" w:sz="0" w:space="0" w:color="auto"/>
        <w:right w:val="none" w:sz="0" w:space="0" w:color="auto"/>
      </w:divBdr>
    </w:div>
    <w:div w:id="1223907733">
      <w:bodyDiv w:val="1"/>
      <w:marLeft w:val="0"/>
      <w:marRight w:val="0"/>
      <w:marTop w:val="0"/>
      <w:marBottom w:val="0"/>
      <w:divBdr>
        <w:top w:val="none" w:sz="0" w:space="0" w:color="auto"/>
        <w:left w:val="none" w:sz="0" w:space="0" w:color="auto"/>
        <w:bottom w:val="none" w:sz="0" w:space="0" w:color="auto"/>
        <w:right w:val="none" w:sz="0" w:space="0" w:color="auto"/>
      </w:divBdr>
      <w:divsChild>
        <w:div w:id="468784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837908">
      <w:bodyDiv w:val="1"/>
      <w:marLeft w:val="0"/>
      <w:marRight w:val="0"/>
      <w:marTop w:val="0"/>
      <w:marBottom w:val="0"/>
      <w:divBdr>
        <w:top w:val="none" w:sz="0" w:space="0" w:color="auto"/>
        <w:left w:val="none" w:sz="0" w:space="0" w:color="auto"/>
        <w:bottom w:val="none" w:sz="0" w:space="0" w:color="auto"/>
        <w:right w:val="none" w:sz="0" w:space="0" w:color="auto"/>
      </w:divBdr>
    </w:div>
    <w:div w:id="1608386579">
      <w:bodyDiv w:val="1"/>
      <w:marLeft w:val="0"/>
      <w:marRight w:val="0"/>
      <w:marTop w:val="0"/>
      <w:marBottom w:val="0"/>
      <w:divBdr>
        <w:top w:val="none" w:sz="0" w:space="0" w:color="auto"/>
        <w:left w:val="none" w:sz="0" w:space="0" w:color="auto"/>
        <w:bottom w:val="none" w:sz="0" w:space="0" w:color="auto"/>
        <w:right w:val="none" w:sz="0" w:space="0" w:color="auto"/>
      </w:divBdr>
      <w:divsChild>
        <w:div w:id="775255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78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904667">
      <w:bodyDiv w:val="1"/>
      <w:marLeft w:val="0"/>
      <w:marRight w:val="0"/>
      <w:marTop w:val="0"/>
      <w:marBottom w:val="0"/>
      <w:divBdr>
        <w:top w:val="none" w:sz="0" w:space="0" w:color="auto"/>
        <w:left w:val="none" w:sz="0" w:space="0" w:color="auto"/>
        <w:bottom w:val="none" w:sz="0" w:space="0" w:color="auto"/>
        <w:right w:val="none" w:sz="0" w:space="0" w:color="auto"/>
      </w:divBdr>
    </w:div>
    <w:div w:id="1705213313">
      <w:bodyDiv w:val="1"/>
      <w:marLeft w:val="0"/>
      <w:marRight w:val="0"/>
      <w:marTop w:val="0"/>
      <w:marBottom w:val="0"/>
      <w:divBdr>
        <w:top w:val="none" w:sz="0" w:space="0" w:color="auto"/>
        <w:left w:val="none" w:sz="0" w:space="0" w:color="auto"/>
        <w:bottom w:val="none" w:sz="0" w:space="0" w:color="auto"/>
        <w:right w:val="none" w:sz="0" w:space="0" w:color="auto"/>
      </w:divBdr>
    </w:div>
    <w:div w:id="1754352892">
      <w:bodyDiv w:val="1"/>
      <w:marLeft w:val="0"/>
      <w:marRight w:val="0"/>
      <w:marTop w:val="0"/>
      <w:marBottom w:val="0"/>
      <w:divBdr>
        <w:top w:val="none" w:sz="0" w:space="0" w:color="auto"/>
        <w:left w:val="none" w:sz="0" w:space="0" w:color="auto"/>
        <w:bottom w:val="none" w:sz="0" w:space="0" w:color="auto"/>
        <w:right w:val="none" w:sz="0" w:space="0" w:color="auto"/>
      </w:divBdr>
    </w:div>
    <w:div w:id="2022463301">
      <w:bodyDiv w:val="1"/>
      <w:marLeft w:val="0"/>
      <w:marRight w:val="0"/>
      <w:marTop w:val="0"/>
      <w:marBottom w:val="0"/>
      <w:divBdr>
        <w:top w:val="none" w:sz="0" w:space="0" w:color="auto"/>
        <w:left w:val="none" w:sz="0" w:space="0" w:color="auto"/>
        <w:bottom w:val="none" w:sz="0" w:space="0" w:color="auto"/>
        <w:right w:val="none" w:sz="0" w:space="0" w:color="auto"/>
      </w:divBdr>
    </w:div>
    <w:div w:id="2099017263">
      <w:bodyDiv w:val="1"/>
      <w:marLeft w:val="0"/>
      <w:marRight w:val="0"/>
      <w:marTop w:val="0"/>
      <w:marBottom w:val="0"/>
      <w:divBdr>
        <w:top w:val="none" w:sz="0" w:space="0" w:color="auto"/>
        <w:left w:val="none" w:sz="0" w:space="0" w:color="auto"/>
        <w:bottom w:val="none" w:sz="0" w:space="0" w:color="auto"/>
        <w:right w:val="none" w:sz="0" w:space="0" w:color="auto"/>
      </w:divBdr>
      <w:divsChild>
        <w:div w:id="123597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2120</Words>
  <Characters>12085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Seluleko Mathonsi</dc:creator>
  <cp:keywords/>
  <dc:description/>
  <cp:lastModifiedBy>Seluleko Mathonsi</cp:lastModifiedBy>
  <cp:revision>2</cp:revision>
  <dcterms:created xsi:type="dcterms:W3CDTF">2026-09-12T16:42:00Z</dcterms:created>
  <dcterms:modified xsi:type="dcterms:W3CDTF">2026-09-12T16:42:00Z</dcterms:modified>
</cp:coreProperties>
</file>