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F0C58" w14:textId="074117EF" w:rsidR="00513525" w:rsidRDefault="00513525" w:rsidP="00E81ACC">
      <w:pPr>
        <w:jc w:val="center"/>
      </w:pPr>
      <w:r>
        <w:rPr>
          <w:noProof/>
        </w:rPr>
        <mc:AlternateContent>
          <mc:Choice Requires="wps">
            <w:drawing>
              <wp:anchor distT="0" distB="0" distL="114300" distR="114300" simplePos="0" relativeHeight="251659264" behindDoc="0" locked="0" layoutInCell="1" allowOverlap="1" wp14:anchorId="673FE5E4" wp14:editId="21FF5552">
                <wp:simplePos x="0" y="0"/>
                <wp:positionH relativeFrom="column">
                  <wp:posOffset>1249045</wp:posOffset>
                </wp:positionH>
                <wp:positionV relativeFrom="paragraph">
                  <wp:posOffset>132715</wp:posOffset>
                </wp:positionV>
                <wp:extent cx="1828800" cy="1828800"/>
                <wp:effectExtent l="0" t="0" r="7620" b="1079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dk1"/>
                        </a:lnRef>
                        <a:fillRef idx="1">
                          <a:schemeClr val="lt1"/>
                        </a:fillRef>
                        <a:effectRef idx="0">
                          <a:schemeClr val="dk1"/>
                        </a:effectRef>
                        <a:fontRef idx="minor">
                          <a:schemeClr val="dk1"/>
                        </a:fontRef>
                      </wps:style>
                      <wps:txbx>
                        <w:txbxContent>
                          <w:p w14:paraId="00EA5D30" w14:textId="77777777" w:rsidR="00513525" w:rsidRPr="00513525" w:rsidRDefault="00513525" w:rsidP="00513525">
                            <w:pPr>
                              <w:jc w:val="center"/>
                              <w:rPr>
                                <w:sz w:val="72"/>
                                <w:szCs w:val="72"/>
                                <w14:textOutline w14:w="9525" w14:cap="flat" w14:cmpd="sng" w14:algn="ctr">
                                  <w14:solidFill>
                                    <w14:srgbClr w14:val="000000"/>
                                  </w14:solidFill>
                                  <w14:prstDash w14:val="solid"/>
                                  <w14:round/>
                                </w14:textOutline>
                                <w14:textFill>
                                  <w14:gradFill>
                                    <w14:gsLst>
                                      <w14:gs w14:pos="21000">
                                        <w14:srgbClr w14:val="53575C"/>
                                      </w14:gs>
                                      <w14:gs w14:pos="88000">
                                        <w14:srgbClr w14:val="C5C7CA"/>
                                      </w14:gs>
                                    </w14:gsLst>
                                    <w14:lin w14:ang="5400000" w14:scaled="0"/>
                                  </w14:gradFill>
                                </w14:textFill>
                              </w:rPr>
                            </w:pPr>
                            <w:r w:rsidRPr="00513525">
                              <w:rPr>
                                <w:sz w:val="72"/>
                                <w:szCs w:val="72"/>
                                <w14:textOutline w14:w="9525" w14:cap="flat" w14:cmpd="sng" w14:algn="ctr">
                                  <w14:solidFill>
                                    <w14:srgbClr w14:val="000000"/>
                                  </w14:solidFill>
                                  <w14:prstDash w14:val="solid"/>
                                  <w14:round/>
                                </w14:textOutline>
                                <w14:textFill>
                                  <w14:gradFill>
                                    <w14:gsLst>
                                      <w14:gs w14:pos="21000">
                                        <w14:srgbClr w14:val="53575C"/>
                                      </w14:gs>
                                      <w14:gs w14:pos="88000">
                                        <w14:srgbClr w14:val="C5C7CA"/>
                                      </w14:gs>
                                    </w14:gsLst>
                                    <w14:lin w14:ang="5400000" w14:scaled="0"/>
                                  </w14:gradFill>
                                </w14:textFill>
                              </w:rPr>
                              <w:t>Written Analysis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73FE5E4" id="_x0000_t202" coordsize="21600,21600" o:spt="202" path="m,l,21600r21600,l21600,xe">
                <v:stroke joinstyle="miter"/>
                <v:path gradientshapeok="t" o:connecttype="rect"/>
              </v:shapetype>
              <v:shape id="Text Box 1" o:spid="_x0000_s1026" type="#_x0000_t202" style="position:absolute;left:0;text-align:left;margin-left:98.35pt;margin-top:10.4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" fillcolor="white [3201]" strokecolor="black [3200]" strokeweight="1pt">
                <v:textbox style="mso-fit-shape-to-text:t">
                  <w:txbxContent>
                    <w:p w14:paraId="00EA5D30" w14:textId="77777777" w:rsidR="00513525" w:rsidRPr="00513525" w:rsidRDefault="00513525" w:rsidP="00513525">
                      <w:pPr>
                        <w:jc w:val="center"/>
                        <w:rPr>
                          <w:sz w:val="72"/>
                          <w:szCs w:val="72"/>
                          <w14:textOutline w14:w="9525" w14:cap="flat" w14:cmpd="sng" w14:algn="ctr">
                            <w14:solidFill>
                              <w14:srgbClr w14:val="000000"/>
                            </w14:solidFill>
                            <w14:prstDash w14:val="solid"/>
                            <w14:round/>
                          </w14:textOutline>
                          <w14:textFill>
                            <w14:gradFill>
                              <w14:gsLst>
                                <w14:gs w14:pos="21000">
                                  <w14:srgbClr w14:val="53575C"/>
                                </w14:gs>
                                <w14:gs w14:pos="88000">
                                  <w14:srgbClr w14:val="C5C7CA"/>
                                </w14:gs>
                              </w14:gsLst>
                              <w14:lin w14:ang="5400000" w14:scaled="0"/>
                            </w14:gradFill>
                          </w14:textFill>
                        </w:rPr>
                      </w:pPr>
                      <w:r w:rsidRPr="00513525">
                        <w:rPr>
                          <w:sz w:val="72"/>
                          <w:szCs w:val="72"/>
                          <w14:textOutline w14:w="9525" w14:cap="flat" w14:cmpd="sng" w14:algn="ctr">
                            <w14:solidFill>
                              <w14:srgbClr w14:val="000000"/>
                            </w14:solidFill>
                            <w14:prstDash w14:val="solid"/>
                            <w14:round/>
                          </w14:textOutline>
                          <w14:textFill>
                            <w14:gradFill>
                              <w14:gsLst>
                                <w14:gs w14:pos="21000">
                                  <w14:srgbClr w14:val="53575C"/>
                                </w14:gs>
                                <w14:gs w14:pos="88000">
                                  <w14:srgbClr w14:val="C5C7CA"/>
                                </w14:gs>
                              </w14:gsLst>
                              <w14:lin w14:ang="5400000" w14:scaled="0"/>
                            </w14:gradFill>
                          </w14:textFill>
                        </w:rPr>
                        <w:t>Written Analysis Report</w:t>
                      </w:r>
                    </w:p>
                  </w:txbxContent>
                </v:textbox>
                <w10:wrap type="square"/>
              </v:shape>
            </w:pict>
          </mc:Fallback>
        </mc:AlternateContent>
      </w:r>
    </w:p>
    <w:p w14:paraId="17193D36" w14:textId="77777777" w:rsidR="00513525" w:rsidRDefault="00513525" w:rsidP="00513525"/>
    <w:p w14:paraId="34E96DBC" w14:textId="7A23A4FA" w:rsidR="00E81ACC" w:rsidRDefault="00E81ACC"/>
    <w:p w14:paraId="447D094D" w14:textId="11F73B0F" w:rsidR="00E81ACC" w:rsidRDefault="00E81ACC" w:rsidP="00E81ACC">
      <w:pPr>
        <w:jc w:val="both"/>
      </w:pPr>
    </w:p>
    <w:p w14:paraId="54A1745B" w14:textId="50F9B2F4" w:rsidR="00513525" w:rsidRDefault="00513525" w:rsidP="00E81ACC">
      <w:pPr>
        <w:jc w:val="both"/>
      </w:pPr>
    </w:p>
    <w:p w14:paraId="16532A10" w14:textId="5B78F1E5" w:rsidR="00513525" w:rsidRDefault="00513525" w:rsidP="00E81ACC">
      <w:pPr>
        <w:jc w:val="both"/>
      </w:pPr>
    </w:p>
    <w:p w14:paraId="49E4C67E" w14:textId="689FA39E" w:rsidR="00513525" w:rsidRDefault="00513525" w:rsidP="00E81ACC">
      <w:pPr>
        <w:jc w:val="both"/>
      </w:pPr>
    </w:p>
    <w:p w14:paraId="4F54C80D" w14:textId="028B8AE5" w:rsidR="00513525" w:rsidRDefault="00513525" w:rsidP="00E81ACC">
      <w:pPr>
        <w:jc w:val="both"/>
      </w:pPr>
    </w:p>
    <w:p w14:paraId="3E5C2372" w14:textId="6FC8A55B" w:rsidR="00513525" w:rsidRDefault="00513525" w:rsidP="00E81ACC">
      <w:pPr>
        <w:jc w:val="both"/>
      </w:pPr>
    </w:p>
    <w:p w14:paraId="3F9B19DF" w14:textId="25268117" w:rsidR="00513525" w:rsidRDefault="00513525" w:rsidP="00E81ACC">
      <w:pPr>
        <w:jc w:val="both"/>
      </w:pPr>
      <w:r>
        <w:t>This report provides a detailed analysis on School</w:t>
      </w:r>
      <w:r w:rsidR="002802E8">
        <w:t>s</w:t>
      </w:r>
      <w:r>
        <w:t xml:space="preserve"> and Student</w:t>
      </w:r>
      <w:r w:rsidR="002802E8">
        <w:t>s</w:t>
      </w:r>
      <w:r>
        <w:t xml:space="preserve"> data from 15 schools under a local government area. The data is analysed based on school’s type, size, total students, budget, average scores for maths and reading, percentage of maths</w:t>
      </w:r>
      <w:r w:rsidR="002802E8">
        <w:t>, reading and overall passing</w:t>
      </w:r>
      <w:r>
        <w:t xml:space="preserve">. Finally, the </w:t>
      </w:r>
      <w:r w:rsidR="00100CA1">
        <w:t>students’</w:t>
      </w:r>
      <w:r>
        <w:t xml:space="preserve"> score</w:t>
      </w:r>
      <w:r w:rsidR="00100CA1">
        <w:t>s</w:t>
      </w:r>
      <w:r>
        <w:t xml:space="preserve"> </w:t>
      </w:r>
      <w:r w:rsidR="00100CA1">
        <w:t>are</w:t>
      </w:r>
      <w:r>
        <w:t xml:space="preserve"> </w:t>
      </w:r>
      <w:r w:rsidR="00100CA1">
        <w:t>analysed based</w:t>
      </w:r>
      <w:r>
        <w:t xml:space="preserve"> on individual school budget, size and type</w:t>
      </w:r>
      <w:r w:rsidR="00100CA1">
        <w:t>.</w:t>
      </w:r>
    </w:p>
    <w:p w14:paraId="07100A58" w14:textId="0D697CE8" w:rsidR="00100CA1" w:rsidRDefault="00100CA1" w:rsidP="00E81ACC">
      <w:pPr>
        <w:jc w:val="both"/>
      </w:pPr>
    </w:p>
    <w:p w14:paraId="22E986D5" w14:textId="79F5A87D" w:rsidR="00100CA1" w:rsidRPr="00A92D72" w:rsidRDefault="00314191" w:rsidP="00E81ACC">
      <w:pPr>
        <w:jc w:val="both"/>
        <w:rPr>
          <w:b/>
          <w:bCs/>
          <w:i/>
          <w:iCs/>
        </w:rPr>
      </w:pPr>
      <w:r w:rsidRPr="00A92D72">
        <w:rPr>
          <w:b/>
          <w:bCs/>
          <w:i/>
          <w:iCs/>
        </w:rPr>
        <w:t>School Summary</w:t>
      </w:r>
    </w:p>
    <w:p w14:paraId="604DBED1" w14:textId="219E3810" w:rsidR="00314191" w:rsidRDefault="00314191" w:rsidP="00E81ACC">
      <w:pPr>
        <w:jc w:val="both"/>
      </w:pPr>
    </w:p>
    <w:p w14:paraId="4DD97303" w14:textId="77FD1278" w:rsidR="00314191" w:rsidRDefault="00314191" w:rsidP="00E81ACC">
      <w:pPr>
        <w:jc w:val="both"/>
      </w:pPr>
      <w:r>
        <w:t xml:space="preserve">There are 15 schools with 39170 total students and $24649428.00 cumulative budget. According to the analysis done, average maths score and percentage of students’ passing maths test is higher than the average reading score and percentage of passing reading </w:t>
      </w:r>
      <w:r w:rsidR="002802E8">
        <w:t>students’</w:t>
      </w:r>
      <w:r>
        <w:t xml:space="preserve"> number. </w:t>
      </w:r>
    </w:p>
    <w:p w14:paraId="621E5B07" w14:textId="41970E69" w:rsidR="00314191" w:rsidRDefault="00314191" w:rsidP="00E81ACC">
      <w:pPr>
        <w:jc w:val="both"/>
      </w:pPr>
    </w:p>
    <w:tbl>
      <w:tblPr>
        <w:tblStyle w:val="TableGridLight"/>
        <w:tblW w:w="0" w:type="auto"/>
        <w:tblLook w:val="04A0" w:firstRow="1" w:lastRow="0" w:firstColumn="1" w:lastColumn="0" w:noHBand="0" w:noVBand="1"/>
      </w:tblPr>
      <w:tblGrid>
        <w:gridCol w:w="1026"/>
        <w:gridCol w:w="1154"/>
        <w:gridCol w:w="1735"/>
        <w:gridCol w:w="1355"/>
        <w:gridCol w:w="1371"/>
        <w:gridCol w:w="1306"/>
        <w:gridCol w:w="1322"/>
        <w:gridCol w:w="1187"/>
      </w:tblGrid>
      <w:tr w:rsidR="00314191" w:rsidRPr="00314191" w14:paraId="1137B975" w14:textId="77777777" w:rsidTr="00314191">
        <w:tc>
          <w:tcPr>
            <w:tcW w:w="0" w:type="auto"/>
            <w:hideMark/>
          </w:tcPr>
          <w:p w14:paraId="6259B604" w14:textId="77777777" w:rsidR="00314191" w:rsidRPr="00314191" w:rsidRDefault="00314191" w:rsidP="00314191">
            <w:pPr>
              <w:jc w:val="both"/>
              <w:rPr>
                <w:b/>
                <w:bCs/>
              </w:rPr>
            </w:pPr>
            <w:r w:rsidRPr="00314191">
              <w:rPr>
                <w:b/>
                <w:bCs/>
              </w:rPr>
              <w:t>Total Schools</w:t>
            </w:r>
          </w:p>
        </w:tc>
        <w:tc>
          <w:tcPr>
            <w:tcW w:w="0" w:type="auto"/>
            <w:hideMark/>
          </w:tcPr>
          <w:p w14:paraId="26A8986A" w14:textId="77777777" w:rsidR="00314191" w:rsidRPr="00314191" w:rsidRDefault="00314191" w:rsidP="00314191">
            <w:pPr>
              <w:jc w:val="both"/>
              <w:rPr>
                <w:b/>
                <w:bCs/>
              </w:rPr>
            </w:pPr>
            <w:r w:rsidRPr="00314191">
              <w:rPr>
                <w:b/>
                <w:bCs/>
              </w:rPr>
              <w:t>Total Students</w:t>
            </w:r>
          </w:p>
        </w:tc>
        <w:tc>
          <w:tcPr>
            <w:tcW w:w="0" w:type="auto"/>
            <w:hideMark/>
          </w:tcPr>
          <w:p w14:paraId="2CEBCFA2" w14:textId="77777777" w:rsidR="00314191" w:rsidRPr="00314191" w:rsidRDefault="00314191" w:rsidP="00314191">
            <w:pPr>
              <w:jc w:val="both"/>
              <w:rPr>
                <w:b/>
                <w:bCs/>
              </w:rPr>
            </w:pPr>
            <w:r w:rsidRPr="00314191">
              <w:rPr>
                <w:b/>
                <w:bCs/>
              </w:rPr>
              <w:t>Total Budget</w:t>
            </w:r>
          </w:p>
        </w:tc>
        <w:tc>
          <w:tcPr>
            <w:tcW w:w="0" w:type="auto"/>
            <w:hideMark/>
          </w:tcPr>
          <w:p w14:paraId="6D894B5F" w14:textId="77777777" w:rsidR="00314191" w:rsidRPr="00314191" w:rsidRDefault="00314191" w:rsidP="00314191">
            <w:pPr>
              <w:jc w:val="both"/>
              <w:rPr>
                <w:b/>
                <w:bCs/>
              </w:rPr>
            </w:pPr>
            <w:r w:rsidRPr="00314191">
              <w:rPr>
                <w:b/>
                <w:bCs/>
              </w:rPr>
              <w:t>Average Maths Score</w:t>
            </w:r>
          </w:p>
        </w:tc>
        <w:tc>
          <w:tcPr>
            <w:tcW w:w="0" w:type="auto"/>
            <w:hideMark/>
          </w:tcPr>
          <w:p w14:paraId="471D6D54" w14:textId="77777777" w:rsidR="00314191" w:rsidRPr="00314191" w:rsidRDefault="00314191" w:rsidP="00314191">
            <w:pPr>
              <w:jc w:val="both"/>
              <w:rPr>
                <w:b/>
                <w:bCs/>
              </w:rPr>
            </w:pPr>
            <w:r w:rsidRPr="00314191">
              <w:rPr>
                <w:b/>
                <w:bCs/>
              </w:rPr>
              <w:t>Average Reading Score</w:t>
            </w:r>
          </w:p>
        </w:tc>
        <w:tc>
          <w:tcPr>
            <w:tcW w:w="0" w:type="auto"/>
            <w:hideMark/>
          </w:tcPr>
          <w:p w14:paraId="4EF8060F" w14:textId="77777777" w:rsidR="00314191" w:rsidRPr="00314191" w:rsidRDefault="00314191" w:rsidP="00314191">
            <w:pPr>
              <w:jc w:val="both"/>
              <w:rPr>
                <w:b/>
                <w:bCs/>
              </w:rPr>
            </w:pPr>
            <w:r w:rsidRPr="00314191">
              <w:rPr>
                <w:b/>
                <w:bCs/>
              </w:rPr>
              <w:t>%Passing Maths</w:t>
            </w:r>
          </w:p>
        </w:tc>
        <w:tc>
          <w:tcPr>
            <w:tcW w:w="0" w:type="auto"/>
            <w:hideMark/>
          </w:tcPr>
          <w:p w14:paraId="1C0D3F6C" w14:textId="77777777" w:rsidR="00314191" w:rsidRPr="00314191" w:rsidRDefault="00314191" w:rsidP="00314191">
            <w:pPr>
              <w:jc w:val="both"/>
              <w:rPr>
                <w:b/>
                <w:bCs/>
              </w:rPr>
            </w:pPr>
            <w:r w:rsidRPr="00314191">
              <w:rPr>
                <w:b/>
                <w:bCs/>
              </w:rPr>
              <w:t>%Passing Reading</w:t>
            </w:r>
          </w:p>
        </w:tc>
        <w:tc>
          <w:tcPr>
            <w:tcW w:w="0" w:type="auto"/>
            <w:hideMark/>
          </w:tcPr>
          <w:p w14:paraId="4346E122" w14:textId="77777777" w:rsidR="00314191" w:rsidRPr="00314191" w:rsidRDefault="00314191" w:rsidP="00314191">
            <w:pPr>
              <w:jc w:val="both"/>
              <w:rPr>
                <w:b/>
                <w:bCs/>
              </w:rPr>
            </w:pPr>
            <w:r w:rsidRPr="00314191">
              <w:rPr>
                <w:b/>
                <w:bCs/>
              </w:rPr>
              <w:t>%Overall Passing</w:t>
            </w:r>
          </w:p>
        </w:tc>
      </w:tr>
      <w:tr w:rsidR="00314191" w:rsidRPr="00314191" w14:paraId="085C3885" w14:textId="77777777" w:rsidTr="00314191">
        <w:tc>
          <w:tcPr>
            <w:tcW w:w="0" w:type="auto"/>
            <w:hideMark/>
          </w:tcPr>
          <w:p w14:paraId="21D28AC2" w14:textId="0815BF45" w:rsidR="00314191" w:rsidRPr="00314191" w:rsidRDefault="00314191" w:rsidP="00314191">
            <w:pPr>
              <w:jc w:val="both"/>
              <w:rPr>
                <w:b/>
                <w:bCs/>
              </w:rPr>
            </w:pPr>
            <w:r>
              <w:rPr>
                <w:b/>
                <w:bCs/>
              </w:rPr>
              <w:t>15</w:t>
            </w:r>
          </w:p>
        </w:tc>
        <w:tc>
          <w:tcPr>
            <w:tcW w:w="0" w:type="auto"/>
            <w:hideMark/>
          </w:tcPr>
          <w:p w14:paraId="2521F25F" w14:textId="5301F677" w:rsidR="00314191" w:rsidRPr="00314191" w:rsidRDefault="00314191" w:rsidP="00314191">
            <w:pPr>
              <w:jc w:val="both"/>
            </w:pPr>
            <w:r w:rsidRPr="00314191">
              <w:t>39170</w:t>
            </w:r>
          </w:p>
        </w:tc>
        <w:tc>
          <w:tcPr>
            <w:tcW w:w="0" w:type="auto"/>
            <w:hideMark/>
          </w:tcPr>
          <w:p w14:paraId="225BDB57" w14:textId="5B7FFE5A" w:rsidR="00314191" w:rsidRPr="00314191" w:rsidRDefault="00314191" w:rsidP="00314191">
            <w:pPr>
              <w:jc w:val="both"/>
            </w:pPr>
            <w:r w:rsidRPr="00314191">
              <w:t>$24,649,428.00</w:t>
            </w:r>
          </w:p>
        </w:tc>
        <w:tc>
          <w:tcPr>
            <w:tcW w:w="0" w:type="auto"/>
            <w:hideMark/>
          </w:tcPr>
          <w:p w14:paraId="38FA4E41" w14:textId="3BDE2B6B" w:rsidR="00314191" w:rsidRPr="00314191" w:rsidRDefault="00314191" w:rsidP="00314191">
            <w:pPr>
              <w:jc w:val="both"/>
            </w:pPr>
            <w:r w:rsidRPr="00314191">
              <w:t>70.338192</w:t>
            </w:r>
          </w:p>
        </w:tc>
        <w:tc>
          <w:tcPr>
            <w:tcW w:w="0" w:type="auto"/>
            <w:hideMark/>
          </w:tcPr>
          <w:p w14:paraId="7598EF8C" w14:textId="428E1D84" w:rsidR="00314191" w:rsidRPr="00314191" w:rsidRDefault="00314191" w:rsidP="00314191">
            <w:pPr>
              <w:jc w:val="both"/>
            </w:pPr>
            <w:r w:rsidRPr="00314191">
              <w:t>69.980138</w:t>
            </w:r>
          </w:p>
        </w:tc>
        <w:tc>
          <w:tcPr>
            <w:tcW w:w="0" w:type="auto"/>
            <w:hideMark/>
          </w:tcPr>
          <w:p w14:paraId="072AC932" w14:textId="223ACE02" w:rsidR="00314191" w:rsidRPr="00314191" w:rsidRDefault="00314191" w:rsidP="00314191">
            <w:pPr>
              <w:jc w:val="both"/>
            </w:pPr>
            <w:r w:rsidRPr="00314191">
              <w:t>86.078632</w:t>
            </w:r>
          </w:p>
        </w:tc>
        <w:tc>
          <w:tcPr>
            <w:tcW w:w="0" w:type="auto"/>
            <w:hideMark/>
          </w:tcPr>
          <w:p w14:paraId="0F75360B" w14:textId="3065D471" w:rsidR="00314191" w:rsidRPr="00314191" w:rsidRDefault="00314191" w:rsidP="00314191">
            <w:pPr>
              <w:jc w:val="both"/>
            </w:pPr>
            <w:r w:rsidRPr="00314191">
              <w:t>84.426857</w:t>
            </w:r>
          </w:p>
        </w:tc>
        <w:tc>
          <w:tcPr>
            <w:tcW w:w="0" w:type="auto"/>
            <w:hideMark/>
          </w:tcPr>
          <w:p w14:paraId="1EA70449" w14:textId="4BCE87F6" w:rsidR="00314191" w:rsidRPr="00314191" w:rsidRDefault="00314191" w:rsidP="00314191">
            <w:pPr>
              <w:jc w:val="both"/>
            </w:pPr>
            <w:r>
              <w:rPr>
                <w:rFonts w:ascii="Helvetica Neue" w:hAnsi="Helvetica Neue"/>
                <w:color w:val="000000"/>
                <w:sz w:val="18"/>
                <w:szCs w:val="18"/>
              </w:rPr>
              <w:t>72.808272</w:t>
            </w:r>
          </w:p>
        </w:tc>
      </w:tr>
    </w:tbl>
    <w:p w14:paraId="5B109714" w14:textId="4B8E8332" w:rsidR="00314191" w:rsidRDefault="00314191" w:rsidP="00E81ACC">
      <w:pPr>
        <w:jc w:val="both"/>
      </w:pPr>
    </w:p>
    <w:p w14:paraId="354BF42D" w14:textId="74A4E452" w:rsidR="00314191" w:rsidRPr="00A92D72" w:rsidRDefault="0015031D" w:rsidP="00E81ACC">
      <w:pPr>
        <w:jc w:val="both"/>
        <w:rPr>
          <w:b/>
          <w:bCs/>
          <w:i/>
          <w:iCs/>
        </w:rPr>
      </w:pPr>
      <w:r w:rsidRPr="00A92D72">
        <w:rPr>
          <w:b/>
          <w:bCs/>
          <w:i/>
          <w:iCs/>
        </w:rPr>
        <w:t>Individual School</w:t>
      </w:r>
      <w:r w:rsidR="00314191" w:rsidRPr="00A92D72">
        <w:rPr>
          <w:b/>
          <w:bCs/>
          <w:i/>
          <w:iCs/>
        </w:rPr>
        <w:t xml:space="preserve"> Summary</w:t>
      </w:r>
    </w:p>
    <w:p w14:paraId="74D82016" w14:textId="2253E767" w:rsidR="0015031D" w:rsidRDefault="0015031D" w:rsidP="00E81ACC">
      <w:pPr>
        <w:jc w:val="both"/>
      </w:pPr>
    </w:p>
    <w:p w14:paraId="07E11431" w14:textId="2B6F7475" w:rsidR="0015031D" w:rsidRDefault="0015031D" w:rsidP="00E81ACC">
      <w:pPr>
        <w:jc w:val="both"/>
      </w:pPr>
      <w:r>
        <w:t xml:space="preserve">Individual school summary is done by analysing student’s maths and reading scores. The schools budget differs according to the size of the schools; however, it is evident that the number of students in Government Schools are significantly higher than the Independent Schools. The per student budget is relatively similar for Government and Independent Schools. </w:t>
      </w:r>
    </w:p>
    <w:p w14:paraId="6DD37A80" w14:textId="650F8412" w:rsidR="0015031D" w:rsidRDefault="0015031D" w:rsidP="00E81ACC">
      <w:pPr>
        <w:jc w:val="both"/>
      </w:pPr>
    </w:p>
    <w:p w14:paraId="1F4AA53F" w14:textId="4E419A30" w:rsidR="0015031D" w:rsidRPr="00A92D72" w:rsidRDefault="0015031D" w:rsidP="00E81ACC">
      <w:pPr>
        <w:jc w:val="both"/>
        <w:rPr>
          <w:b/>
          <w:bCs/>
          <w:i/>
          <w:iCs/>
        </w:rPr>
      </w:pPr>
      <w:r w:rsidRPr="00A92D72">
        <w:rPr>
          <w:b/>
          <w:bCs/>
          <w:i/>
          <w:iCs/>
        </w:rPr>
        <w:t>Top Performing Schools</w:t>
      </w:r>
    </w:p>
    <w:p w14:paraId="45C513C1" w14:textId="3493B7AB" w:rsidR="0015031D" w:rsidRDefault="0015031D" w:rsidP="00E81ACC">
      <w:pPr>
        <w:jc w:val="both"/>
      </w:pPr>
    </w:p>
    <w:p w14:paraId="21F9EBD2" w14:textId="5581BEDC" w:rsidR="0015031D" w:rsidRDefault="0015031D" w:rsidP="00E81ACC">
      <w:pPr>
        <w:jc w:val="both"/>
      </w:pPr>
      <w:r>
        <w:t>The top 5 performing school</w:t>
      </w:r>
      <w:r w:rsidR="00F915EB">
        <w:t xml:space="preserve">s are calculated by overall passing rates and among them three schools are independent schools. </w:t>
      </w:r>
    </w:p>
    <w:p w14:paraId="3478B8F4" w14:textId="165C4208" w:rsidR="00F915EB" w:rsidRDefault="00F915EB" w:rsidP="00E81ACC">
      <w:pPr>
        <w:jc w:val="both"/>
      </w:pPr>
    </w:p>
    <w:p w14:paraId="6C5DFB21" w14:textId="33026461" w:rsidR="00F915EB" w:rsidRPr="00A92D72" w:rsidRDefault="00F915EB" w:rsidP="00E81ACC">
      <w:pPr>
        <w:jc w:val="both"/>
        <w:rPr>
          <w:b/>
          <w:bCs/>
          <w:i/>
          <w:iCs/>
        </w:rPr>
      </w:pPr>
      <w:r w:rsidRPr="00A92D72">
        <w:rPr>
          <w:b/>
          <w:bCs/>
          <w:i/>
          <w:iCs/>
        </w:rPr>
        <w:t>Bottom Performing Schools</w:t>
      </w:r>
    </w:p>
    <w:p w14:paraId="7DD1A3E4" w14:textId="6E896D0B" w:rsidR="00F915EB" w:rsidRDefault="00F915EB" w:rsidP="00E81ACC">
      <w:pPr>
        <w:jc w:val="both"/>
      </w:pPr>
    </w:p>
    <w:p w14:paraId="29292BB8" w14:textId="3FDE6842" w:rsidR="00F915EB" w:rsidRDefault="00F915EB" w:rsidP="00E81ACC">
      <w:pPr>
        <w:jc w:val="both"/>
      </w:pPr>
      <w:r>
        <w:t>The bottom performing schools are also based on overall passing rates. It is surprising that among bottom performing schools 4 of them are Government Schools.</w:t>
      </w:r>
    </w:p>
    <w:p w14:paraId="52529506" w14:textId="452BFA58" w:rsidR="00F915EB" w:rsidRDefault="00F915EB" w:rsidP="00E81ACC">
      <w:pPr>
        <w:jc w:val="both"/>
      </w:pPr>
    </w:p>
    <w:p w14:paraId="432FE2C7" w14:textId="1F1BB9D9" w:rsidR="00F915EB" w:rsidRDefault="00F915EB" w:rsidP="00E81ACC">
      <w:pPr>
        <w:jc w:val="both"/>
      </w:pPr>
    </w:p>
    <w:p w14:paraId="05B56D3D" w14:textId="41202E84" w:rsidR="00F915EB" w:rsidRPr="00A92D72" w:rsidRDefault="00F915EB" w:rsidP="00E81ACC">
      <w:pPr>
        <w:jc w:val="both"/>
        <w:rPr>
          <w:b/>
          <w:bCs/>
          <w:i/>
          <w:iCs/>
        </w:rPr>
      </w:pPr>
      <w:r w:rsidRPr="00A92D72">
        <w:rPr>
          <w:b/>
          <w:bCs/>
          <w:i/>
          <w:iCs/>
        </w:rPr>
        <w:t>Maths Score By Year</w:t>
      </w:r>
    </w:p>
    <w:p w14:paraId="0AA554CC" w14:textId="14630275" w:rsidR="00F915EB" w:rsidRDefault="00F915EB" w:rsidP="00E81ACC">
      <w:pPr>
        <w:jc w:val="both"/>
      </w:pPr>
    </w:p>
    <w:p w14:paraId="356201AB" w14:textId="3C2F4896" w:rsidR="00F915EB" w:rsidRDefault="00F915EB" w:rsidP="00E81ACC">
      <w:pPr>
        <w:jc w:val="both"/>
      </w:pPr>
      <w:r>
        <w:t>The maths scores in Year 9-12 are ranged between approximately 68% to 75%.</w:t>
      </w:r>
    </w:p>
    <w:p w14:paraId="3AB0F20E" w14:textId="3142E29F" w:rsidR="00F915EB" w:rsidRDefault="00F915EB" w:rsidP="00E81ACC">
      <w:pPr>
        <w:jc w:val="both"/>
      </w:pPr>
    </w:p>
    <w:p w14:paraId="6DFCB7F0" w14:textId="5F951A13" w:rsidR="00F915EB" w:rsidRPr="00A92D72" w:rsidRDefault="00F915EB" w:rsidP="00E81ACC">
      <w:pPr>
        <w:jc w:val="both"/>
        <w:rPr>
          <w:b/>
          <w:bCs/>
          <w:i/>
          <w:iCs/>
        </w:rPr>
      </w:pPr>
      <w:r w:rsidRPr="00A92D72">
        <w:rPr>
          <w:b/>
          <w:bCs/>
          <w:i/>
          <w:iCs/>
        </w:rPr>
        <w:t>Reading Score By Year</w:t>
      </w:r>
    </w:p>
    <w:p w14:paraId="76164302" w14:textId="4F15AA72" w:rsidR="00F915EB" w:rsidRDefault="00F915EB" w:rsidP="00E81ACC">
      <w:pPr>
        <w:jc w:val="both"/>
      </w:pPr>
    </w:p>
    <w:p w14:paraId="1EA3DBEF" w14:textId="12B3A794" w:rsidR="00F915EB" w:rsidRDefault="00F915EB" w:rsidP="00E81ACC">
      <w:pPr>
        <w:jc w:val="both"/>
      </w:pPr>
      <w:r>
        <w:t>The reading scores in Year9-12 are ra</w:t>
      </w:r>
      <w:r w:rsidR="00F62DA0">
        <w:t>n</w:t>
      </w:r>
      <w:r>
        <w:t>ged between roughly 67% to 72%.</w:t>
      </w:r>
    </w:p>
    <w:p w14:paraId="20A56919" w14:textId="77777777" w:rsidR="00F915EB" w:rsidRDefault="00F915EB" w:rsidP="00E81ACC">
      <w:pPr>
        <w:jc w:val="both"/>
      </w:pPr>
    </w:p>
    <w:p w14:paraId="797D2E55" w14:textId="77777777" w:rsidR="00F915EB" w:rsidRDefault="00F915EB" w:rsidP="00E81ACC">
      <w:pPr>
        <w:jc w:val="both"/>
      </w:pPr>
    </w:p>
    <w:p w14:paraId="0861C74E" w14:textId="77777777" w:rsidR="00F915EB" w:rsidRPr="00A92D72" w:rsidRDefault="00F915EB" w:rsidP="00E81ACC">
      <w:pPr>
        <w:jc w:val="both"/>
        <w:rPr>
          <w:b/>
          <w:bCs/>
          <w:i/>
          <w:iCs/>
        </w:rPr>
      </w:pPr>
      <w:r w:rsidRPr="00A92D72">
        <w:rPr>
          <w:b/>
          <w:bCs/>
          <w:i/>
          <w:iCs/>
        </w:rPr>
        <w:lastRenderedPageBreak/>
        <w:t>Scores By School’s Budget</w:t>
      </w:r>
    </w:p>
    <w:p w14:paraId="518F3A88" w14:textId="77777777" w:rsidR="00F915EB" w:rsidRDefault="00F915EB" w:rsidP="00E81ACC">
      <w:pPr>
        <w:jc w:val="both"/>
      </w:pPr>
    </w:p>
    <w:p w14:paraId="056303A2" w14:textId="77777777" w:rsidR="00F915EB" w:rsidRDefault="00F915EB" w:rsidP="00E81ACC">
      <w:pPr>
        <w:jc w:val="both"/>
      </w:pPr>
      <w:r>
        <w:t>From the scores compared by school’s budget identifies that, budget does not increase the overall passing rate. The schools with highest budget per student have the lowest overall passing rate.</w:t>
      </w:r>
    </w:p>
    <w:p w14:paraId="0314B229" w14:textId="77777777" w:rsidR="00F915EB" w:rsidRDefault="00F915EB" w:rsidP="00E81ACC">
      <w:pPr>
        <w:jc w:val="both"/>
      </w:pPr>
    </w:p>
    <w:p w14:paraId="0D35BB89" w14:textId="57EA6CB2" w:rsidR="00F915EB" w:rsidRPr="00A92D72" w:rsidRDefault="00F915EB" w:rsidP="00E81ACC">
      <w:pPr>
        <w:jc w:val="both"/>
        <w:rPr>
          <w:b/>
          <w:bCs/>
          <w:i/>
          <w:iCs/>
        </w:rPr>
      </w:pPr>
      <w:r w:rsidRPr="00A92D72">
        <w:rPr>
          <w:b/>
          <w:bCs/>
          <w:i/>
          <w:iCs/>
        </w:rPr>
        <w:t>Score</w:t>
      </w:r>
      <w:r w:rsidR="003D3BBF" w:rsidRPr="00A92D72">
        <w:rPr>
          <w:b/>
          <w:bCs/>
          <w:i/>
          <w:iCs/>
        </w:rPr>
        <w:t>s</w:t>
      </w:r>
      <w:r w:rsidRPr="00A92D72">
        <w:rPr>
          <w:b/>
          <w:bCs/>
          <w:i/>
          <w:iCs/>
        </w:rPr>
        <w:t xml:space="preserve"> By School’s Size</w:t>
      </w:r>
    </w:p>
    <w:p w14:paraId="74178D5D" w14:textId="77777777" w:rsidR="00F915EB" w:rsidRDefault="00F915EB" w:rsidP="00E81ACC">
      <w:pPr>
        <w:jc w:val="both"/>
      </w:pPr>
    </w:p>
    <w:p w14:paraId="3D403EAB" w14:textId="77777777" w:rsidR="003D3BBF" w:rsidRDefault="003D3BBF" w:rsidP="00E81ACC">
      <w:pPr>
        <w:jc w:val="both"/>
      </w:pPr>
      <w:r>
        <w:t>On the contrary to the scores by budget, the size effects the students’ overall passing rate. The schools who have least number of students in the data list have the highest overall passing rate.</w:t>
      </w:r>
    </w:p>
    <w:p w14:paraId="758EEF94" w14:textId="77777777" w:rsidR="003D3BBF" w:rsidRDefault="003D3BBF" w:rsidP="00E81ACC">
      <w:pPr>
        <w:jc w:val="both"/>
      </w:pPr>
    </w:p>
    <w:p w14:paraId="0D38C809" w14:textId="1AFDE247" w:rsidR="00F915EB" w:rsidRPr="00A92D72" w:rsidRDefault="003D3BBF" w:rsidP="00E81ACC">
      <w:pPr>
        <w:jc w:val="both"/>
        <w:rPr>
          <w:b/>
          <w:bCs/>
          <w:i/>
          <w:iCs/>
        </w:rPr>
      </w:pPr>
      <w:r w:rsidRPr="00A92D72">
        <w:rPr>
          <w:b/>
          <w:bCs/>
          <w:i/>
          <w:iCs/>
        </w:rPr>
        <w:t>Scores By School’s Type</w:t>
      </w:r>
    </w:p>
    <w:p w14:paraId="293C759F" w14:textId="0F792B3B" w:rsidR="003D3BBF" w:rsidRDefault="003D3BBF" w:rsidP="00E81ACC">
      <w:pPr>
        <w:jc w:val="both"/>
      </w:pPr>
    </w:p>
    <w:p w14:paraId="367C4170" w14:textId="4C22D585" w:rsidR="003D3BBF" w:rsidRDefault="003D3BBF" w:rsidP="00E81ACC">
      <w:pPr>
        <w:jc w:val="both"/>
      </w:pPr>
      <w:r>
        <w:t xml:space="preserve">It is prominent from the overall analysis that </w:t>
      </w:r>
      <w:r w:rsidR="00F62DA0">
        <w:t xml:space="preserve">the students from the </w:t>
      </w:r>
      <w:r>
        <w:t>Independent Schoo</w:t>
      </w:r>
      <w:r w:rsidR="00F62DA0">
        <w:t>ls</w:t>
      </w:r>
      <w:r>
        <w:t xml:space="preserve"> perform better. However, it should be emphasized that Independent Schools have lower number of students and that can be a reason for higher passing rates. Moreover, it is also found that the Independent Schools have higher average scores for both maths and reading.</w:t>
      </w:r>
    </w:p>
    <w:p w14:paraId="4F857245" w14:textId="4D7DAC37" w:rsidR="00A92D72" w:rsidRDefault="00A92D72" w:rsidP="00E81ACC">
      <w:pPr>
        <w:jc w:val="both"/>
      </w:pPr>
    </w:p>
    <w:p w14:paraId="69448A14" w14:textId="69824AE0" w:rsidR="00A92D72" w:rsidRPr="00A92D72" w:rsidRDefault="00A92D72" w:rsidP="00E81ACC">
      <w:pPr>
        <w:jc w:val="both"/>
        <w:rPr>
          <w:b/>
          <w:bCs/>
          <w:i/>
          <w:iCs/>
        </w:rPr>
      </w:pPr>
      <w:r w:rsidRPr="00A92D72">
        <w:rPr>
          <w:b/>
          <w:bCs/>
          <w:i/>
          <w:iCs/>
        </w:rPr>
        <w:t>Conclusion</w:t>
      </w:r>
    </w:p>
    <w:p w14:paraId="467F6AE3" w14:textId="21345571" w:rsidR="00A92D72" w:rsidRDefault="00A92D72" w:rsidP="00E81ACC">
      <w:pPr>
        <w:jc w:val="both"/>
      </w:pPr>
    </w:p>
    <w:p w14:paraId="6FBE94C2" w14:textId="5BCEC65A" w:rsidR="00A92D72" w:rsidRDefault="00A92D72" w:rsidP="00E81ACC">
      <w:pPr>
        <w:jc w:val="both"/>
      </w:pPr>
      <w:r>
        <w:t>The following conclusions can be made from the analysis:</w:t>
      </w:r>
    </w:p>
    <w:p w14:paraId="269C4596" w14:textId="3B7AC1FB" w:rsidR="00A92D72" w:rsidRDefault="00A92D72" w:rsidP="00A92D72">
      <w:pPr>
        <w:pStyle w:val="ListParagraph"/>
        <w:numPr>
          <w:ilvl w:val="0"/>
          <w:numId w:val="1"/>
        </w:numPr>
        <w:jc w:val="both"/>
      </w:pPr>
      <w:r>
        <w:t>In my opinion, the performance</w:t>
      </w:r>
      <w:r w:rsidR="007B3935">
        <w:t xml:space="preserve"> the</w:t>
      </w:r>
      <w:r>
        <w:t xml:space="preserve"> of students should be analysed based on average maths and reading scores. According to my observation the size of the school’s effects </w:t>
      </w:r>
      <w:r w:rsidR="007B3935">
        <w:t xml:space="preserve">most </w:t>
      </w:r>
      <w:r>
        <w:t xml:space="preserve">on student’s performance. Therefore, the smaller sized schools </w:t>
      </w:r>
      <w:r w:rsidR="007B3935">
        <w:t>have</w:t>
      </w:r>
      <w:r>
        <w:t xml:space="preserve"> the highest average scores in maths and reading. </w:t>
      </w:r>
      <w:r w:rsidR="007B3935">
        <w:t xml:space="preserve"> </w:t>
      </w:r>
    </w:p>
    <w:p w14:paraId="6F707AFE" w14:textId="3E4EAE25" w:rsidR="007B3935" w:rsidRDefault="007B3935" w:rsidP="00A92D72">
      <w:pPr>
        <w:pStyle w:val="ListParagraph"/>
        <w:numPr>
          <w:ilvl w:val="0"/>
          <w:numId w:val="1"/>
        </w:numPr>
        <w:jc w:val="both"/>
      </w:pPr>
      <w:r>
        <w:t xml:space="preserve">It can be concluded from the analysis that higher budget necessarily does not impact on students’ performance. In this analysis, it is shown that the overall passing rate is lowest among the highest per student budget group. </w:t>
      </w:r>
    </w:p>
    <w:p w14:paraId="7FEBCEA1" w14:textId="77777777" w:rsidR="00F915EB" w:rsidRDefault="00F915EB" w:rsidP="00E81ACC">
      <w:pPr>
        <w:jc w:val="both"/>
      </w:pPr>
    </w:p>
    <w:p w14:paraId="090E28E5" w14:textId="7F439847" w:rsidR="0015031D" w:rsidRDefault="0015031D" w:rsidP="00E81ACC">
      <w:pPr>
        <w:jc w:val="both"/>
      </w:pPr>
    </w:p>
    <w:p w14:paraId="5F35D9BF" w14:textId="77777777" w:rsidR="0015031D" w:rsidRDefault="0015031D" w:rsidP="00E81ACC">
      <w:pPr>
        <w:jc w:val="both"/>
      </w:pPr>
    </w:p>
    <w:p w14:paraId="6C82564E" w14:textId="5F35EB51" w:rsidR="00314191" w:rsidRDefault="00314191" w:rsidP="00E81ACC">
      <w:pPr>
        <w:jc w:val="both"/>
      </w:pPr>
    </w:p>
    <w:p w14:paraId="32915B5E" w14:textId="77777777" w:rsidR="00314191" w:rsidRDefault="00314191" w:rsidP="00E81ACC">
      <w:pPr>
        <w:jc w:val="both"/>
      </w:pPr>
    </w:p>
    <w:sectPr w:rsidR="00314191" w:rsidSect="005135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16B13"/>
    <w:multiLevelType w:val="hybridMultilevel"/>
    <w:tmpl w:val="1C869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8495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CC"/>
    <w:rsid w:val="00100CA1"/>
    <w:rsid w:val="0015031D"/>
    <w:rsid w:val="00150A41"/>
    <w:rsid w:val="002802E8"/>
    <w:rsid w:val="00314191"/>
    <w:rsid w:val="003D3BBF"/>
    <w:rsid w:val="00513525"/>
    <w:rsid w:val="007B3935"/>
    <w:rsid w:val="00A92D72"/>
    <w:rsid w:val="00CF333B"/>
    <w:rsid w:val="00E74BA8"/>
    <w:rsid w:val="00E81ACC"/>
    <w:rsid w:val="00F62DA0"/>
    <w:rsid w:val="00F915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9FEAA06"/>
  <w15:chartTrackingRefBased/>
  <w15:docId w15:val="{C1E07510-F988-2B45-A7AD-FFC13DE7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3141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3141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5031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5031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5031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031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150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503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92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8386">
      <w:bodyDiv w:val="1"/>
      <w:marLeft w:val="0"/>
      <w:marRight w:val="0"/>
      <w:marTop w:val="0"/>
      <w:marBottom w:val="0"/>
      <w:divBdr>
        <w:top w:val="none" w:sz="0" w:space="0" w:color="auto"/>
        <w:left w:val="none" w:sz="0" w:space="0" w:color="auto"/>
        <w:bottom w:val="none" w:sz="0" w:space="0" w:color="auto"/>
        <w:right w:val="none" w:sz="0" w:space="0" w:color="auto"/>
      </w:divBdr>
    </w:div>
    <w:div w:id="635332398">
      <w:bodyDiv w:val="1"/>
      <w:marLeft w:val="0"/>
      <w:marRight w:val="0"/>
      <w:marTop w:val="0"/>
      <w:marBottom w:val="0"/>
      <w:divBdr>
        <w:top w:val="none" w:sz="0" w:space="0" w:color="auto"/>
        <w:left w:val="none" w:sz="0" w:space="0" w:color="auto"/>
        <w:bottom w:val="none" w:sz="0" w:space="0" w:color="auto"/>
        <w:right w:val="none" w:sz="0" w:space="0" w:color="auto"/>
      </w:divBdr>
    </w:div>
    <w:div w:id="161339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zakia aziz</dc:creator>
  <cp:keywords/>
  <dc:description/>
  <cp:lastModifiedBy>zakia aziz</cp:lastModifiedBy>
  <cp:revision>5</cp:revision>
  <dcterms:created xsi:type="dcterms:W3CDTF">2022-12-16T02:18:00Z</dcterms:created>
  <dcterms:modified xsi:type="dcterms:W3CDTF">2022-12-16T03:27:00Z</dcterms:modified>
</cp:coreProperties>
</file>