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1B1B"/>
          <w:sz w:val="40"/>
          <w:szCs w:val="40"/>
        </w:rPr>
        <w:t xml:space="preserve">Human Resources Analytics Report</w:t>
      </w:r>
    </w:p>
    <w:p>
      <w:pPr>
        <w:spacing w:after="60"/>
      </w:pPr>
      <w:r>
        <w:rPr>
          <w:i/>
          <w:iCs/>
          <w:color w:val="595959"/>
          <w:sz w:val="24"/>
          <w:szCs w:val="24"/>
        </w:rPr>
        <w:t xml:space="preserve">Workforce, Attrition &amp; Compensation Overview</w:t>
      </w:r>
    </w:p>
    <w:p>
      <w:pPr>
        <w:spacing w:after="300"/>
      </w:pPr>
      <w:r>
        <w:rPr>
          <w:color w:val="595959"/>
          <w:sz w:val="18"/>
          <w:szCs w:val="18"/>
        </w:rPr>
        <w:t xml:space="preserve">Prepared: September 2026   |   Total Employees Analyzed: 1,480</w:t>
      </w:r>
    </w:p>
    <w:p>
      <w:pPr>
        <w:pStyle w:val="Heading1"/>
        <w:pBdr>
          <w:bottom w:val="single" w:color="1B1B1B" w:sz="6" w:space="4"/>
        </w:pBdr>
        <w:spacing w:after="140" w:before="320"/>
      </w:pPr>
      <w:r>
        <w:rPr>
          <w:rFonts w:ascii="Calibri" w:cs="Calibri" w:eastAsia="Calibri" w:hAnsi="Calibri"/>
          <w:b/>
          <w:bCs/>
          <w:color w:val="1B1B1B"/>
          <w:sz w:val="26"/>
          <w:szCs w:val="26"/>
        </w:rPr>
        <w:t xml:space="preserve">Executive Summary</w:t>
      </w:r>
    </w:p>
    <w:p>
      <w:pPr>
        <w:spacing w:after="160" w:line="300"/>
      </w:pPr>
      <w:r>
        <w:rPr>
          <w:rFonts w:ascii="Calibri" w:cs="Calibri" w:eastAsia="Calibri" w:hAnsi="Calibri"/>
          <w:color w:val="333333"/>
          <w:sz w:val="21"/>
          <w:szCs w:val="21"/>
        </w:rPr>
        <w:t xml:space="preserve">This report summarizes workforce composition, attrition patterns, compensation, and employee satisfaction across the organization, based on data for 1,480 employees. The overall attrition rate stands at 28.5%, with notable variation across departments, job roles, and working conditions. Employees who work overtime, are early in their career, or are unmarried show the highest attrition risk. Key findings and department-level breakdowns are presented below.</w:t>
      </w:r>
    </w:p>
    <w:p>
      <w:pPr>
        <w:pStyle w:val="Heading1"/>
        <w:pBdr>
          <w:bottom w:val="single" w:color="1B1B1B" w:sz="6" w:space="4"/>
        </w:pBdr>
        <w:spacing w:after="140" w:before="320"/>
      </w:pPr>
      <w:r>
        <w:rPr>
          <w:rFonts w:ascii="Calibri" w:cs="Calibri" w:eastAsia="Calibri" w:hAnsi="Calibri"/>
          <w:b/>
          <w:bCs/>
          <w:color w:val="1B1B1B"/>
          <w:sz w:val="26"/>
          <w:szCs w:val="26"/>
        </w:rPr>
        <w:t xml:space="preserve">1. Workforce Overview</w:t>
      </w:r>
    </w:p>
    <w:p>
      <w:pPr>
        <w:spacing w:after="160" w:line="300"/>
      </w:pPr>
      <w:r>
        <w:rPr>
          <w:rFonts w:ascii="Calibri" w:cs="Calibri" w:eastAsia="Calibri" w:hAnsi="Calibri"/>
          <w:color w:val="333333"/>
          <w:sz w:val="21"/>
          <w:szCs w:val="21"/>
        </w:rPr>
        <w:t xml:space="preserve">Headcount is distributed across four departments, with Research &amp; Development accounting for the majority of the workforce.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600"/>
      </w:tblGrid>
      <w:tr>
        <w:trPr>
          <w:tblHeader/>
        </w:trPr>
        <w:tc>
          <w:tcPr>
            <w:tcW w:type="dxa" w:w="45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Department</w:t>
            </w:r>
          </w:p>
        </w:tc>
        <w:tc>
          <w:tcPr>
            <w:tcW w:type="dxa" w:w="24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Headcount</w:t>
            </w:r>
          </w:p>
        </w:tc>
        <w:tc>
          <w:tcPr>
            <w:tcW w:type="dxa" w:w="26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Share of Workforce</w:t>
            </w:r>
          </w:p>
        </w:tc>
      </w:tr>
      <w:tr>
        <w:tc>
          <w:tcPr>
            <w:tcW w:type="dxa" w:w="4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Research &amp; Development</w:t>
            </w:r>
          </w:p>
        </w:tc>
        <w:tc>
          <w:tcPr>
            <w:tcW w:type="dxa" w:w="24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857</w:t>
            </w:r>
          </w:p>
        </w:tc>
        <w:tc>
          <w:tcPr>
            <w:tcW w:type="dxa" w:w="26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57.9%</w:t>
            </w:r>
          </w:p>
        </w:tc>
      </w:tr>
      <w:tr>
        <w:tc>
          <w:tcPr>
            <w:tcW w:type="dxa" w:w="4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Sales</w:t>
            </w:r>
          </w:p>
        </w:tc>
        <w:tc>
          <w:tcPr>
            <w:tcW w:type="dxa" w:w="24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406</w:t>
            </w:r>
          </w:p>
        </w:tc>
        <w:tc>
          <w:tcPr>
            <w:tcW w:type="dxa" w:w="26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27.4%</w:t>
            </w:r>
          </w:p>
        </w:tc>
      </w:tr>
      <w:tr>
        <w:tc>
          <w:tcPr>
            <w:tcW w:type="dxa" w:w="4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Customer Support</w:t>
            </w:r>
          </w:p>
        </w:tc>
        <w:tc>
          <w:tcPr>
            <w:tcW w:type="dxa" w:w="24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121</w:t>
            </w:r>
          </w:p>
        </w:tc>
        <w:tc>
          <w:tcPr>
            <w:tcW w:type="dxa" w:w="26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8.2%</w:t>
            </w:r>
          </w:p>
        </w:tc>
      </w:tr>
      <w:tr>
        <w:tc>
          <w:tcPr>
            <w:tcW w:type="dxa" w:w="4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Human Resources</w:t>
            </w:r>
          </w:p>
        </w:tc>
        <w:tc>
          <w:tcPr>
            <w:tcW w:type="dxa" w:w="24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96</w:t>
            </w:r>
          </w:p>
        </w:tc>
        <w:tc>
          <w:tcPr>
            <w:tcW w:type="dxa" w:w="26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6.5%</w:t>
            </w:r>
          </w:p>
        </w:tc>
      </w:tr>
    </w:tbl>
    <w:p>
      <w:pPr>
        <w:spacing w:after="160" w:line="300"/>
      </w:pPr>
      <w:r>
        <w:rPr>
          <w:rFonts w:ascii="Calibri" w:cs="Calibri" w:eastAsia="Calibri" w:hAnsi="Calibri"/>
          <w:color w:val="333333"/>
          <w:sz w:val="21"/>
          <w:szCs w:val="21"/>
        </w:rPr>
        <w:t xml:space="preserve"/>
      </w:r>
    </w:p>
    <w:p>
      <w:pPr>
        <w:spacing w:after="160" w:line="300"/>
      </w:pPr>
      <w:r>
        <w:rPr>
          <w:rFonts w:ascii="Calibri" w:cs="Calibri" w:eastAsia="Calibri" w:hAnsi="Calibri"/>
          <w:color w:val="333333"/>
          <w:sz w:val="21"/>
          <w:szCs w:val="21"/>
        </w:rPr>
        <w:t xml:space="preserve">The workforce is 60% male (888 employees) and 40% female (592 employees). Average tenure at the company is approximately 5 years, and employees receive an average of 2.8 training sessions per year.</w:t>
      </w:r>
    </w:p>
    <w:p>
      <w:pPr>
        <w:pStyle w:val="Heading1"/>
        <w:pBdr>
          <w:bottom w:val="single" w:color="1B1B1B" w:sz="6" w:space="4"/>
        </w:pBdr>
        <w:spacing w:after="140" w:before="320"/>
      </w:pPr>
      <w:r>
        <w:rPr>
          <w:rFonts w:ascii="Calibri" w:cs="Calibri" w:eastAsia="Calibri" w:hAnsi="Calibri"/>
          <w:b/>
          <w:bCs/>
          <w:color w:val="1B1B1B"/>
          <w:sz w:val="26"/>
          <w:szCs w:val="26"/>
        </w:rPr>
        <w:t xml:space="preserve">2. Attrition Analysis</w:t>
      </w:r>
    </w:p>
    <w:p>
      <w:pPr>
        <w:pStyle w:val="Heading2"/>
        <w:spacing w:after="100" w:before="200"/>
      </w:pPr>
      <w:r>
        <w:rPr>
          <w:rFonts w:ascii="Calibri" w:cs="Calibri" w:eastAsia="Calibri" w:hAnsi="Calibri"/>
          <w:b/>
          <w:bCs/>
          <w:color w:val="2E7D32"/>
          <w:sz w:val="22"/>
          <w:szCs w:val="22"/>
        </w:rPr>
        <w:t xml:space="preserve">2.1 Overall Attrition</w:t>
      </w:r>
    </w:p>
    <w:p>
      <w:pPr>
        <w:spacing w:after="160" w:line="300"/>
      </w:pPr>
      <w:r>
        <w:rPr>
          <w:rFonts w:ascii="Calibri" w:cs="Calibri" w:eastAsia="Calibri" w:hAnsi="Calibri"/>
          <w:color w:val="333333"/>
          <w:sz w:val="21"/>
          <w:szCs w:val="21"/>
        </w:rPr>
        <w:t xml:space="preserve">Of 1,480 employees, 422 left the organization, resulting in an overall attrition rate of 28.5%.</w:t>
      </w:r>
    </w:p>
    <w:p>
      <w:pPr>
        <w:pStyle w:val="Heading2"/>
        <w:spacing w:after="100" w:before="200"/>
      </w:pPr>
      <w:r>
        <w:rPr>
          <w:rFonts w:ascii="Calibri" w:cs="Calibri" w:eastAsia="Calibri" w:hAnsi="Calibri"/>
          <w:b/>
          <w:bCs/>
          <w:color w:val="2E7D32"/>
          <w:sz w:val="22"/>
          <w:szCs w:val="22"/>
        </w:rPr>
        <w:t xml:space="preserve">2.2 Attrition by Department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500"/>
        <w:gridCol w:w="2000"/>
      </w:tblGrid>
      <w:tr>
        <w:trPr>
          <w:tblHeader/>
        </w:trPr>
        <w:tc>
          <w:tcPr>
            <w:tcW w:type="dxa" w:w="75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Department</w:t>
            </w:r>
          </w:p>
        </w:tc>
        <w:tc>
          <w:tcPr>
            <w:tcW w:type="dxa" w:w="20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Attrition Rate</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Customer Support</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44.6%</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Sales</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31.3%</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Human Resources</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29.2%</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Research &amp; Development</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24.9%</w:t>
            </w:r>
          </w:p>
        </w:tc>
      </w:tr>
    </w:tbl>
    <w:p>
      <w:pPr>
        <w:spacing w:after="160" w:line="300"/>
      </w:pPr>
      <w:r>
        <w:rPr>
          <w:rFonts w:ascii="Calibri" w:cs="Calibri" w:eastAsia="Calibri" w:hAnsi="Calibri"/>
          <w:color w:val="333333"/>
          <w:sz w:val="21"/>
          <w:szCs w:val="21"/>
        </w:rPr>
        <w:t xml:space="preserve"/>
      </w:r>
    </w:p>
    <w:p>
      <w:pPr>
        <w:pStyle w:val="Heading2"/>
        <w:spacing w:after="100" w:before="200"/>
      </w:pPr>
      <w:r>
        <w:rPr>
          <w:rFonts w:ascii="Calibri" w:cs="Calibri" w:eastAsia="Calibri" w:hAnsi="Calibri"/>
          <w:b/>
          <w:bCs/>
          <w:color w:val="2E7D32"/>
          <w:sz w:val="22"/>
          <w:szCs w:val="22"/>
        </w:rPr>
        <w:t xml:space="preserve">2.3 Attrition by Job Role</w:t>
      </w:r>
    </w:p>
    <w:p>
      <w:pPr>
        <w:spacing w:after="160" w:line="300"/>
      </w:pPr>
      <w:r>
        <w:rPr>
          <w:rFonts w:ascii="Calibri" w:cs="Calibri" w:eastAsia="Calibri" w:hAnsi="Calibri"/>
          <w:color w:val="333333"/>
          <w:sz w:val="21"/>
          <w:szCs w:val="21"/>
        </w:rPr>
        <w:t xml:space="preserve">Sales Representatives show by far the highest attrition rate, while Managers and Research Directors are the most stable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500"/>
        <w:gridCol w:w="2000"/>
      </w:tblGrid>
      <w:tr>
        <w:trPr>
          <w:tblHeader/>
        </w:trPr>
        <w:tc>
          <w:tcPr>
            <w:tcW w:type="dxa" w:w="75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Job Role</w:t>
            </w:r>
          </w:p>
        </w:tc>
        <w:tc>
          <w:tcPr>
            <w:tcW w:type="dxa" w:w="20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Attrition Rate</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Sales Representative</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46.4%</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Research Scientist</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32.1%</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Sales Executive</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30.9%</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Laboratory Technician</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30.7%</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Human Resources</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30.2%</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Manufacturing Director</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24.5%</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Healthcare Representative</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21.4%</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Research Director</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17.5%</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Manager</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13.6%</w:t>
            </w:r>
          </w:p>
        </w:tc>
      </w:tr>
    </w:tbl>
    <w:p>
      <w:pPr>
        <w:spacing w:after="160" w:line="300"/>
      </w:pPr>
      <w:r>
        <w:rPr>
          <w:rFonts w:ascii="Calibri" w:cs="Calibri" w:eastAsia="Calibri" w:hAnsi="Calibri"/>
          <w:color w:val="333333"/>
          <w:sz w:val="21"/>
          <w:szCs w:val="21"/>
        </w:rPr>
        <w:t xml:space="preserve"/>
      </w:r>
    </w:p>
    <w:p>
      <w:pPr>
        <w:pStyle w:val="Heading2"/>
        <w:spacing w:after="100" w:before="200"/>
      </w:pPr>
      <w:r>
        <w:rPr>
          <w:rFonts w:ascii="Calibri" w:cs="Calibri" w:eastAsia="Calibri" w:hAnsi="Calibri"/>
          <w:b/>
          <w:bCs/>
          <w:color w:val="2E7D32"/>
          <w:sz w:val="22"/>
          <w:szCs w:val="22"/>
        </w:rPr>
        <w:t xml:space="preserve">2.4 Attrition by Key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700"/>
      </w:tblGrid>
      <w:tr>
        <w:trPr>
          <w:tblHeader/>
        </w:trPr>
        <w:tc>
          <w:tcPr>
            <w:tcW w:type="dxa" w:w="30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Factor</w:t>
            </w:r>
          </w:p>
        </w:tc>
        <w:tc>
          <w:tcPr>
            <w:tcW w:type="dxa" w:w="38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Segment</w:t>
            </w:r>
          </w:p>
        </w:tc>
        <w:tc>
          <w:tcPr>
            <w:tcW w:type="dxa" w:w="27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Attrition Rate</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Overtime</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Works Overtime</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74.9%</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Overtime</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No Overtime</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10.2%</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Age Group</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18–25</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47.2%</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Age Group</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26–35</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34.0%</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Age Group</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36–45</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19.5%</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Age Group</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46–55</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21.5%</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Age Group</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55+</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31.9%</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Marital Status</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Single</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34.9%</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Marital Status</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Divorced</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26.1%</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Marital Status</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Married</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25.3%</w:t>
            </w:r>
          </w:p>
        </w:tc>
      </w:tr>
      <w:tr>
        <w:tc>
          <w:tcPr>
            <w:tcW w:type="dxa" w:w="30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Gender</w:t>
            </w:r>
          </w:p>
        </w:tc>
        <w:tc>
          <w:tcPr>
            <w:tcW w:type="dxa" w:w="38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Female</w:t>
            </w:r>
          </w:p>
        </w:tc>
        <w:tc>
          <w:tcPr>
            <w:tcW w:type="dxa" w:w="27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37.3%</w:t>
            </w:r>
          </w:p>
        </w:tc>
      </w:tr>
      <w:tr>
        <w:tc>
          <w:tcPr>
            <w:tcW w:type="dxa" w:w="30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Gender</w:t>
            </w:r>
          </w:p>
        </w:tc>
        <w:tc>
          <w:tcPr>
            <w:tcW w:type="dxa" w:w="38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Male</w:t>
            </w:r>
          </w:p>
        </w:tc>
        <w:tc>
          <w:tcPr>
            <w:tcW w:type="dxa" w:w="27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22.6%</w:t>
            </w:r>
          </w:p>
        </w:tc>
      </w:tr>
    </w:tbl>
    <w:p>
      <w:pPr>
        <w:spacing w:after="160" w:line="300"/>
      </w:pPr>
      <w:r>
        <w:rPr>
          <w:rFonts w:ascii="Calibri" w:cs="Calibri" w:eastAsia="Calibri" w:hAnsi="Calibri"/>
          <w:color w:val="333333"/>
          <w:sz w:val="21"/>
          <w:szCs w:val="21"/>
        </w:rPr>
        <w:t xml:space="preserve"/>
      </w:r>
    </w:p>
    <w:p>
      <w:pPr>
        <w:spacing w:after="160" w:line="300"/>
      </w:pPr>
      <w:r>
        <w:rPr>
          <w:rFonts w:ascii="Calibri" w:cs="Calibri" w:eastAsia="Calibri" w:hAnsi="Calibri"/>
          <w:color w:val="333333"/>
          <w:sz w:val="21"/>
          <w:szCs w:val="21"/>
        </w:rPr>
        <w:t xml:space="preserve">Overtime is the single strongest predictor of attrition in this dataset — employees working overtime leave at more than seven times the rate of those who do not. Younger employees (18–25) and single employees also show elevated attrition, consistent with early-career job mobility.</w:t>
      </w:r>
    </w:p>
    <w:p>
      <w:pPr>
        <w:pStyle w:val="Heading1"/>
        <w:pBdr>
          <w:bottom w:val="single" w:color="1B1B1B" w:sz="6" w:space="4"/>
        </w:pBdr>
        <w:spacing w:after="140" w:before="320"/>
      </w:pPr>
      <w:r>
        <w:rPr>
          <w:rFonts w:ascii="Calibri" w:cs="Calibri" w:eastAsia="Calibri" w:hAnsi="Calibri"/>
          <w:b/>
          <w:bCs/>
          <w:color w:val="1B1B1B"/>
          <w:sz w:val="26"/>
          <w:szCs w:val="26"/>
        </w:rPr>
        <w:t xml:space="preserve">3. Compensation Overview</w:t>
      </w:r>
    </w:p>
    <w:p>
      <w:pPr>
        <w:spacing w:after="160" w:line="300"/>
      </w:pPr>
      <w:r>
        <w:rPr>
          <w:rFonts w:ascii="Calibri" w:cs="Calibri" w:eastAsia="Calibri" w:hAnsi="Calibri"/>
          <w:color w:val="333333"/>
          <w:sz w:val="21"/>
          <w:szCs w:val="21"/>
        </w:rPr>
        <w:t xml:space="preserve">Average monthly income across the organization is $6,502. Sales has the highest average pay, while Customer Support has the lowest.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500"/>
        <w:gridCol w:w="2000"/>
      </w:tblGrid>
      <w:tr>
        <w:trPr>
          <w:tblHeader/>
        </w:trPr>
        <w:tc>
          <w:tcPr>
            <w:tcW w:type="dxa" w:w="75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Department</w:t>
            </w:r>
          </w:p>
        </w:tc>
        <w:tc>
          <w:tcPr>
            <w:tcW w:type="dxa" w:w="20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Average Monthly Income</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Sales</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$7,198</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Research &amp; Development</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$6,546</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Human Resources</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$5,553</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Customer Support</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$4,605</w:t>
            </w:r>
          </w:p>
        </w:tc>
      </w:tr>
    </w:tbl>
    <w:p>
      <w:pPr>
        <w:pStyle w:val="Heading1"/>
        <w:pBdr>
          <w:bottom w:val="single" w:color="1B1B1B" w:sz="6" w:space="4"/>
        </w:pBdr>
        <w:spacing w:after="140" w:before="320"/>
      </w:pPr>
      <w:r>
        <w:rPr>
          <w:rFonts w:ascii="Calibri" w:cs="Calibri" w:eastAsia="Calibri" w:hAnsi="Calibri"/>
          <w:b/>
          <w:bCs/>
          <w:color w:val="1B1B1B"/>
          <w:sz w:val="26"/>
          <w:szCs w:val="26"/>
        </w:rPr>
        <w:t xml:space="preserve">4. Employee Satisfaction &amp; Well-being</w:t>
      </w:r>
    </w:p>
    <w:p>
      <w:pPr>
        <w:spacing w:after="160" w:line="300"/>
      </w:pPr>
      <w:r>
        <w:rPr>
          <w:rFonts w:ascii="Calibri" w:cs="Calibri" w:eastAsia="Calibri" w:hAnsi="Calibri"/>
          <w:color w:val="333333"/>
          <w:sz w:val="21"/>
          <w:szCs w:val="21"/>
        </w:rPr>
        <w:t xml:space="preserve">Satisfaction scores are measured on a scale of 1 (Low) to 4 (Very High).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500"/>
        <w:gridCol w:w="2000"/>
      </w:tblGrid>
      <w:tr>
        <w:trPr>
          <w:tblHeader/>
        </w:trPr>
        <w:tc>
          <w:tcPr>
            <w:tcW w:type="dxa" w:w="7500"/>
            <w:shd w:fill="2E7D3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2000"/>
            <w:shd w:fill="2E7D3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Average Score (out of 4)</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Job Satisfaction</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2.73</w:t>
            </w:r>
          </w:p>
        </w:tc>
      </w:tr>
      <w:tr>
        <w:tc>
          <w:tcPr>
            <w:tcW w:type="dxa" w:w="7500"/>
            <w:shd w:fill="F2F2F2" w:val="clear"/>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Environment Satisfaction</w:t>
            </w:r>
          </w:p>
        </w:tc>
        <w:tc>
          <w:tcPr>
            <w:tcW w:type="dxa" w:w="2000"/>
            <w:shd w:fill="F2F2F2" w:val="clear"/>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2.72</w:t>
            </w:r>
          </w:p>
        </w:tc>
      </w:tr>
      <w:tr>
        <w:tc>
          <w:tcPr>
            <w:tcW w:type="dxa" w:w="7500"/>
            <w:tcMar>
              <w:top w:type="dxa" w:w="70"/>
              <w:left w:type="dxa" w:w="120"/>
              <w:bottom w:type="dxa" w:w="70"/>
              <w:right w:type="dxa" w:w="120"/>
            </w:tcMar>
            <w:vAlign w:val="center"/>
          </w:tcPr>
          <w:p>
            <w:pPr>
              <w:jc w:val="left"/>
            </w:pPr>
            <w:r>
              <w:rPr>
                <w:rFonts w:ascii="Calibri" w:cs="Calibri" w:eastAsia="Calibri" w:hAnsi="Calibri"/>
                <w:color w:val="222222"/>
                <w:sz w:val="20"/>
                <w:szCs w:val="20"/>
              </w:rPr>
              <w:t xml:space="preserve">Work-Life Balance</w:t>
            </w:r>
          </w:p>
        </w:tc>
        <w:tc>
          <w:tcPr>
            <w:tcW w:type="dxa" w:w="2000"/>
            <w:tcMar>
              <w:top w:type="dxa" w:w="70"/>
              <w:left w:type="dxa" w:w="120"/>
              <w:bottom w:type="dxa" w:w="70"/>
              <w:right w:type="dxa" w:w="120"/>
            </w:tcMar>
            <w:vAlign w:val="center"/>
          </w:tcPr>
          <w:p>
            <w:pPr>
              <w:jc w:val="center"/>
            </w:pPr>
            <w:r>
              <w:rPr>
                <w:rFonts w:ascii="Calibri" w:cs="Calibri" w:eastAsia="Calibri" w:hAnsi="Calibri"/>
                <w:color w:val="222222"/>
                <w:sz w:val="20"/>
                <w:szCs w:val="20"/>
              </w:rPr>
              <w:t xml:space="preserve">2.76</w:t>
            </w:r>
          </w:p>
        </w:tc>
      </w:tr>
    </w:tbl>
    <w:p>
      <w:pPr>
        <w:spacing w:after="160" w:line="300"/>
      </w:pPr>
      <w:r>
        <w:rPr>
          <w:rFonts w:ascii="Calibri" w:cs="Calibri" w:eastAsia="Calibri" w:hAnsi="Calibri"/>
          <w:color w:val="333333"/>
          <w:sz w:val="21"/>
          <w:szCs w:val="21"/>
        </w:rPr>
        <w:t xml:space="preserve"/>
      </w:r>
    </w:p>
    <w:p>
      <w:pPr>
        <w:spacing w:after="160" w:line="300"/>
      </w:pPr>
      <w:r>
        <w:rPr>
          <w:rFonts w:ascii="Calibri" w:cs="Calibri" w:eastAsia="Calibri" w:hAnsi="Calibri"/>
          <w:color w:val="333333"/>
          <w:sz w:val="21"/>
          <w:szCs w:val="21"/>
        </w:rPr>
        <w:t xml:space="preserve">Satisfaction scores cluster around the midpoint across all three dimensions, suggesting no single area is severely underperforming, but also no standout strength.</w:t>
      </w:r>
    </w:p>
    <w:p>
      <w:pPr>
        <w:pStyle w:val="Heading1"/>
        <w:pBdr>
          <w:bottom w:val="single" w:color="1B1B1B" w:sz="6" w:space="4"/>
        </w:pBdr>
        <w:spacing w:after="140" w:before="320"/>
      </w:pPr>
      <w:r>
        <w:rPr>
          <w:rFonts w:ascii="Calibri" w:cs="Calibri" w:eastAsia="Calibri" w:hAnsi="Calibri"/>
          <w:b/>
          <w:bCs/>
          <w:color w:val="1B1B1B"/>
          <w:sz w:val="26"/>
          <w:szCs w:val="26"/>
        </w:rPr>
        <w:t xml:space="preserve">5. Key Observations &amp; Recommendations</w:t>
      </w:r>
    </w:p>
    <w:p>
      <w:pPr>
        <w:pStyle w:val="ListParagraph"/>
        <w:numPr>
          <w:ilvl w:val="0"/>
          <w:numId w:val="1"/>
        </w:numPr>
        <w:spacing w:after="80"/>
      </w:pPr>
      <w:r>
        <w:rPr>
          <w:rFonts w:ascii="Calibri" w:cs="Calibri" w:eastAsia="Calibri" w:hAnsi="Calibri"/>
          <w:color w:val="333333"/>
          <w:sz w:val="21"/>
          <w:szCs w:val="21"/>
        </w:rPr>
        <w:t xml:space="preserve">Review overtime policy and workload distribution, particularly in Sales and Customer Support, where both overtime frequency and attrition are highest.</w:t>
      </w:r>
    </w:p>
    <w:p>
      <w:pPr>
        <w:pStyle w:val="ListParagraph"/>
        <w:numPr>
          <w:ilvl w:val="0"/>
          <w:numId w:val="1"/>
        </w:numPr>
        <w:spacing w:after="80"/>
      </w:pPr>
      <w:r>
        <w:rPr>
          <w:rFonts w:ascii="Calibri" w:cs="Calibri" w:eastAsia="Calibri" w:hAnsi="Calibri"/>
          <w:color w:val="333333"/>
          <w:sz w:val="21"/>
          <w:szCs w:val="21"/>
        </w:rPr>
        <w:t xml:space="preserve">Strengthen onboarding and early-career engagement for employees aged 18–35, who account for a disproportionate share of exits.</w:t>
      </w:r>
    </w:p>
    <w:p>
      <w:pPr>
        <w:pStyle w:val="ListParagraph"/>
        <w:numPr>
          <w:ilvl w:val="0"/>
          <w:numId w:val="1"/>
        </w:numPr>
        <w:spacing w:after="80"/>
      </w:pPr>
      <w:r>
        <w:rPr>
          <w:rFonts w:ascii="Calibri" w:cs="Calibri" w:eastAsia="Calibri" w:hAnsi="Calibri"/>
          <w:color w:val="333333"/>
          <w:sz w:val="21"/>
          <w:szCs w:val="21"/>
        </w:rPr>
        <w:t xml:space="preserve">Investigate Customer Support attrition specifically — at 44.6% it is well above the company average and the department's compensation is also the lowest.</w:t>
      </w:r>
    </w:p>
    <w:p>
      <w:pPr>
        <w:pStyle w:val="ListParagraph"/>
        <w:numPr>
          <w:ilvl w:val="0"/>
          <w:numId w:val="1"/>
        </w:numPr>
        <w:spacing w:after="80"/>
      </w:pPr>
      <w:r>
        <w:rPr>
          <w:rFonts w:ascii="Calibri" w:cs="Calibri" w:eastAsia="Calibri" w:hAnsi="Calibri"/>
          <w:color w:val="333333"/>
          <w:sz w:val="21"/>
          <w:szCs w:val="21"/>
        </w:rPr>
        <w:t xml:space="preserve">Maintain current practices for Managers and Research Directors, where attrition is lowest and can serve as a reference for retention strategy.</w:t>
      </w:r>
    </w:p>
    <w:p>
      <w:pPr>
        <w:pStyle w:val="ListParagraph"/>
        <w:numPr>
          <w:ilvl w:val="0"/>
          <w:numId w:val="1"/>
        </w:numPr>
        <w:spacing w:after="80"/>
      </w:pPr>
      <w:r>
        <w:rPr>
          <w:rFonts w:ascii="Calibri" w:cs="Calibri" w:eastAsia="Calibri" w:hAnsi="Calibri"/>
          <w:color w:val="333333"/>
          <w:sz w:val="21"/>
          <w:szCs w:val="21"/>
        </w:rPr>
        <w:t xml:space="preserve">Revisit compensation benchmarks for Sales Representatives, given their combination of high attrition and mid-tier pay.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HR Analytics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2026-09-03T09:31:28.983Z</dcterms:created>
  <dcterms:modified xsi:type="dcterms:W3CDTF">2026-09-03T09:31:28.995Z</dcterms:modified>
</cp:coreProperties>
</file>

<file path=docProps/custom.xml><?xml version="1.0" encoding="utf-8"?>
<Properties xmlns="http://schemas.openxmlformats.org/officeDocument/2006/custom-properties" xmlns:vt="http://schemas.openxmlformats.org/officeDocument/2006/docPropsVTypes"/>
</file>