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084B" w:rsidRDefault="003152FA">
      <w:pPr>
        <w:spacing w:before="200" w:after="60"/>
        <w:jc w:val="center"/>
      </w:pPr>
      <w:bookmarkStart w:id="0" w:name="_GoBack"/>
      <w:bookmarkEnd w:id="0"/>
      <w:r>
        <w:rPr>
          <w:b/>
          <w:bCs/>
          <w:color w:val="1F3864"/>
          <w:sz w:val="32"/>
          <w:szCs w:val="32"/>
        </w:rPr>
        <w:t>DSA 3050A – Business Intelligence &amp; Data Visualization</w:t>
      </w:r>
    </w:p>
    <w:p w:rsidR="0052084B" w:rsidRDefault="003152FA">
      <w:pPr>
        <w:spacing w:after="60"/>
        <w:jc w:val="center"/>
      </w:pPr>
      <w:r>
        <w:rPr>
          <w:b/>
          <w:bCs/>
          <w:color w:val="2E75B6"/>
          <w:sz w:val="26"/>
          <w:szCs w:val="26"/>
        </w:rPr>
        <w:t>Practical Lab: DAX Using Your Own Dataset</w:t>
      </w:r>
    </w:p>
    <w:p w:rsidR="0052084B" w:rsidRDefault="003152FA">
      <w:pPr>
        <w:spacing w:after="300"/>
        <w:jc w:val="center"/>
      </w:pPr>
      <w:r>
        <w:rPr>
          <w:i/>
          <w:iCs/>
          <w:color w:val="555555"/>
        </w:rPr>
        <w:t>Lab Submission Report</w:t>
      </w:r>
    </w:p>
    <w:p w:rsidR="0052084B" w:rsidRDefault="003152FA">
      <w:pPr>
        <w:pStyle w:val="Heading1"/>
      </w:pPr>
      <w:r>
        <w:t>1. Dataset Description</w:t>
      </w:r>
    </w:p>
    <w:p w:rsidR="0052084B" w:rsidRDefault="003152FA">
      <w:pPr>
        <w:spacing w:before="80" w:after="80"/>
      </w:pPr>
      <w:r>
        <w:t>Dataset Name: USA Banking Transactions Dataset (2023–2024)</w:t>
      </w:r>
    </w:p>
    <w:p w:rsidR="0052084B" w:rsidRPr="006060F9" w:rsidRDefault="003152FA">
      <w:pPr>
        <w:spacing w:before="80" w:after="80"/>
        <w:rPr>
          <w:lang w:val="fr-FR"/>
        </w:rPr>
      </w:pPr>
      <w:r w:rsidRPr="006060F9">
        <w:rPr>
          <w:lang w:val="fr-FR"/>
        </w:rPr>
        <w:t>Source: https://www.kaggle.com/datasets/pradeepkumar2424/usa-banking-transactions-dataset-2023-2024</w:t>
      </w:r>
    </w:p>
    <w:p w:rsidR="0052084B" w:rsidRPr="006060F9" w:rsidRDefault="0052084B">
      <w:pPr>
        <w:spacing w:before="80" w:after="80"/>
        <w:rPr>
          <w:lang w:val="fr-FR"/>
        </w:rPr>
      </w:pPr>
    </w:p>
    <w:p w:rsidR="0052084B" w:rsidRDefault="003152FA">
      <w:pPr>
        <w:spacing w:before="80" w:after="80"/>
      </w:pPr>
      <w:r>
        <w:t>This dataset contains banking transaction records from the United States covering the period 2023 to 2024. It includes details such as transaction amounts,</w:t>
      </w:r>
      <w:r>
        <w:t xml:space="preserve"> transaction types, account categories, payment methods, and geographic cities. Each record is timestamped, making it suitable for time-based and trend analysis. The dataset was sourced from Kaggle and contains 5,389 rows of real-world financial transactio</w:t>
      </w:r>
      <w:r>
        <w:t>n data. It was used to analyse transaction patterns, fraud detection, regional performance, customer demographics, and year-over-year financial trends.</w:t>
      </w:r>
    </w:p>
    <w:p w:rsidR="0052084B" w:rsidRDefault="0052084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5208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Transaction_Date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Date of the transaction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Transaction_Amount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Value of the transaction in USD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Transaction_Type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Debit or Credit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Spending category (e.g. Travel, Grocery)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City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City where transaction occurred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Payment_Method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Method used (e.g. Cash, E-Wallet)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Transaction_Status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Success, Failed, or Pending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Fraud_Flag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Whether transaction was flagged as fraud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Customer_Age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Whole 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Age of the customer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Customer_Income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Annual income of the customer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Account_Balance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Account balance at time of transaction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Loyalty_Points_Earned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Whole 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Points earned per transaction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Discount_Applied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Whether a discount was applied</w:t>
            </w:r>
          </w:p>
        </w:tc>
      </w:tr>
    </w:tbl>
    <w:p w:rsidR="0052084B" w:rsidRDefault="0052084B">
      <w:pPr>
        <w:spacing w:before="80" w:after="80"/>
      </w:pPr>
    </w:p>
    <w:p w:rsidR="0052084B" w:rsidRDefault="003152FA">
      <w:pPr>
        <w:pStyle w:val="Heading1"/>
      </w:pPr>
      <w:r>
        <w:t>2. DAX Measures Explained</w:t>
      </w:r>
    </w:p>
    <w:p w:rsidR="0052084B" w:rsidRDefault="003152FA">
      <w:pPr>
        <w:pStyle w:val="Heading2"/>
      </w:pPr>
      <w:r>
        <w:t>Section B – Core Measures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5"/>
        <w:gridCol w:w="4442"/>
        <w:gridCol w:w="2983"/>
      </w:tblGrid>
      <w:tr w:rsidR="005208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Measure Name</w:t>
            </w:r>
          </w:p>
        </w:tc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3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b/>
                <w:bCs/>
                <w:color w:val="FFFFFF"/>
                <w:sz w:val="20"/>
                <w:szCs w:val="20"/>
              </w:rPr>
              <w:t>What It Calculates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Total Transaction Amount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SUM(Transactions[Transaction_Amount])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Adds up all transaction amounts across the dataset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Total Customer Income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SUM(Transactions[Customer_Income])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Sums up the annual income of all customers in context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Average Transaction Amount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AVERAGE(Transactions[Transaction_Amount])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Calculates the mean transaction value dynamically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Total Loyalty Points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SUM(Transactions[Loyalty_Points_Earned])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Total loyalty points earned across all transactions</w:t>
            </w:r>
          </w:p>
        </w:tc>
      </w:tr>
    </w:tbl>
    <w:p w:rsidR="0052084B" w:rsidRDefault="0052084B">
      <w:pPr>
        <w:spacing w:before="80" w:after="80"/>
      </w:pPr>
    </w:p>
    <w:p w:rsidR="0052084B" w:rsidRDefault="003152FA">
      <w:pPr>
        <w:pStyle w:val="Heading2"/>
      </w:pPr>
      <w:r>
        <w:t>Section C – Calculated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60"/>
      </w:tblGrid>
      <w:tr w:rsidR="005208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b/>
                <w:bCs/>
                <w:color w:val="FFFFFF"/>
                <w:sz w:val="20"/>
                <w:szCs w:val="20"/>
              </w:rPr>
              <w:t>Logic</w:t>
            </w:r>
          </w:p>
        </w:tc>
        <w:tc>
          <w:tcPr>
            <w:tcW w:w="3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Transaction Size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IF Amount &lt; 500 = Small, &lt; 2000 = Medium, else Large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Classifies each transaction into a size band for grouping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Age Group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IF Age &lt; 30 = Young, &lt; 50 = Middle Aged, else Senior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Groups customers by age bracket for demographic analysis</w:t>
            </w:r>
          </w:p>
        </w:tc>
      </w:tr>
    </w:tbl>
    <w:p w:rsidR="0052084B" w:rsidRDefault="0052084B">
      <w:pPr>
        <w:spacing w:before="80" w:after="80"/>
      </w:pPr>
    </w:p>
    <w:p w:rsidR="0052084B" w:rsidRDefault="003152FA">
      <w:pPr>
        <w:pStyle w:val="Heading2"/>
      </w:pPr>
      <w:r>
        <w:t>Section D – CALCULATE Measures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208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Successful Transactions Amount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Uses CALCULATE to filter only transactions with Status = Success, ignoring failed and pending ones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Fraud Transactions Amount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Uses CALCULATE to isolate transactions where Fraud_Flag = Yes, showing total fraudulent value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% Category Contribution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Uses CALCULATE with ALL() to remove the category filter and compute each category's share of the grand total</w:t>
            </w:r>
          </w:p>
        </w:tc>
      </w:tr>
    </w:tbl>
    <w:p w:rsidR="0052084B" w:rsidRDefault="0052084B">
      <w:pPr>
        <w:spacing w:before="80" w:after="80"/>
      </w:pPr>
    </w:p>
    <w:p w:rsidR="0052084B" w:rsidRDefault="003152FA">
      <w:pPr>
        <w:pStyle w:val="Heading2"/>
      </w:pPr>
      <w:r>
        <w:t>Section E – Iterator Function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208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Revenue After Discount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Uses SUMX to loop row by row — if a discount was applied, it multiplies the amount by 0.9 (10% off); otherwise it keeps the original amount. A regular SUM cannot do this row-level conditional logic.</w:t>
            </w:r>
          </w:p>
        </w:tc>
      </w:tr>
    </w:tbl>
    <w:p w:rsidR="0052084B" w:rsidRDefault="0052084B">
      <w:pPr>
        <w:spacing w:before="80" w:after="80"/>
      </w:pPr>
    </w:p>
    <w:p w:rsidR="0052084B" w:rsidRDefault="003152FA">
      <w:pPr>
        <w:pStyle w:val="Heading2"/>
      </w:pPr>
      <w:r>
        <w:t>Section F – Time Intelligence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208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YTD Transaction Amount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Uses TOTALYTD to accumulate transaction amounts from January 1st to whatever date is selected in the slicer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lastRenderedPageBreak/>
              <w:t>Previous Year Amount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Uses PREVIOUSYEAR to shift the date context back 12 months, showing last year's total for comparison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YoY Growth %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Divides the difference between current and previous year by the previous year amount to show percentage growth or decline</w:t>
            </w:r>
          </w:p>
        </w:tc>
      </w:tr>
    </w:tbl>
    <w:p w:rsidR="0052084B" w:rsidRDefault="0052084B">
      <w:pPr>
        <w:spacing w:before="80" w:after="80"/>
      </w:pPr>
    </w:p>
    <w:p w:rsidR="0052084B" w:rsidRDefault="003152FA">
      <w:pPr>
        <w:pStyle w:val="Heading1"/>
      </w:pPr>
      <w:r>
        <w:t>3. One Challenge Encountered</w:t>
      </w:r>
    </w:p>
    <w:p w:rsidR="0052084B" w:rsidRDefault="003152FA">
      <w:pPr>
        <w:spacing w:before="80" w:after="80"/>
      </w:pPr>
      <w:r>
        <w:t>The main challenge encountered during this lab was the Transaction_Date column. When the dataset was first loaded into Power BI, the column was recognised as a DateTime format (e.g. 2023-11-05 15:54:38) rather than a plain Date. This caused the relationshi</w:t>
      </w:r>
      <w:r>
        <w:t>p between the Transactions table and the DateTable to fail silently — the time intelligence functions returned blank results because the date keys could not match properly.</w:t>
      </w:r>
    </w:p>
    <w:p w:rsidR="0052084B" w:rsidRDefault="0052084B">
      <w:pPr>
        <w:spacing w:before="80" w:after="80"/>
      </w:pPr>
    </w:p>
    <w:p w:rsidR="0052084B" w:rsidRDefault="003152FA">
      <w:pPr>
        <w:spacing w:before="80" w:after="80"/>
      </w:pPr>
      <w:r>
        <w:t>The issue was resolved by opening Power Query Editor and manually changing the Tra</w:t>
      </w:r>
      <w:r>
        <w:t xml:space="preserve">nsaction_Date column type from DateTime to Date. This stripped the time component and allowed Power BI to establish a clean one-to-many relationship between the DateTable and the Transactions table. After this fix, all time intelligence measures including </w:t>
      </w:r>
      <w:r>
        <w:t>YTD, Previous Year, and YoY Growth began returning correct results and responded properly to date slicers.</w:t>
      </w:r>
    </w:p>
    <w:p w:rsidR="0052084B" w:rsidRDefault="0052084B">
      <w:pPr>
        <w:spacing w:before="80" w:after="80"/>
      </w:pPr>
    </w:p>
    <w:p w:rsidR="0052084B" w:rsidRDefault="003152FA">
      <w:pPr>
        <w:pStyle w:val="Heading1"/>
      </w:pPr>
      <w:r>
        <w:t>4. Visuals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5208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b/>
                <w:bCs/>
                <w:color w:val="FFFFFF"/>
                <w:sz w:val="20"/>
                <w:szCs w:val="20"/>
              </w:rPr>
              <w:t>Visual Type</w:t>
            </w:r>
          </w:p>
        </w:tc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b/>
                <w:bCs/>
                <w:color w:val="FFFFFF"/>
                <w:sz w:val="20"/>
                <w:szCs w:val="20"/>
              </w:rPr>
              <w:t>Fields Used</w:t>
            </w:r>
          </w:p>
        </w:tc>
        <w:tc>
          <w:tcPr>
            <w:tcW w:w="3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Card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Total Transaction Amount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Shows the overall total as a single headline number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Category vs Total Transaction Amount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Compares spending across categories like Travel, Shopping, Healthcare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YearMonth (DateTable) vs Total Transaction Amount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Shows transaction trends month by month across 2023–2024</w:t>
            </w:r>
          </w:p>
        </w:tc>
      </w:tr>
      <w:tr w:rsidR="005208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Table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Category, Total Amount, Successful Amount, Fraud Amount, % Contribution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084B" w:rsidRDefault="003152FA">
            <w:r>
              <w:rPr>
                <w:sz w:val="20"/>
                <w:szCs w:val="20"/>
              </w:rPr>
              <w:t>Provides a detailed breakdown per category in one view</w:t>
            </w:r>
          </w:p>
        </w:tc>
      </w:tr>
    </w:tbl>
    <w:p w:rsidR="0052084B" w:rsidRDefault="0052084B">
      <w:pPr>
        <w:spacing w:before="80" w:after="80"/>
      </w:pPr>
    </w:p>
    <w:p w:rsidR="0052084B" w:rsidRDefault="003152FA">
      <w:pPr>
        <w:pBdr>
          <w:top w:val="single" w:sz="4" w:space="4" w:color="CCCCCC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>DSA 3050A | Individual Lab Submission | Dataset Source: Kaggle</w:t>
      </w:r>
    </w:p>
    <w:sectPr w:rsidR="0052084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52FA" w:rsidRDefault="003152FA">
      <w:r>
        <w:separator/>
      </w:r>
    </w:p>
  </w:endnote>
  <w:endnote w:type="continuationSeparator" w:id="0">
    <w:p w:rsidR="003152FA" w:rsidRDefault="00315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084B" w:rsidRDefault="003152FA">
    <w:pPr>
      <w:pBdr>
        <w:top w:val="single" w:sz="6" w:space="1" w:color="1F3864"/>
      </w:pBdr>
      <w:spacing w:before="120"/>
      <w:jc w:val="right"/>
    </w:pPr>
    <w:r>
      <w:rPr>
        <w:color w:val="888888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6060F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52FA" w:rsidRDefault="003152FA">
      <w:r>
        <w:separator/>
      </w:r>
    </w:p>
  </w:footnote>
  <w:footnote w:type="continuationSeparator" w:id="0">
    <w:p w:rsidR="003152FA" w:rsidRDefault="003152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084B" w:rsidRDefault="003152FA">
    <w:pPr>
      <w:pBdr>
        <w:bottom w:val="single" w:sz="6" w:space="1" w:color="1F3864"/>
      </w:pBdr>
      <w:spacing w:after="120"/>
    </w:pPr>
    <w:r>
      <w:rPr>
        <w:b/>
        <w:bCs/>
        <w:color w:val="1F3864"/>
        <w:sz w:val="20"/>
        <w:szCs w:val="20"/>
      </w:rPr>
      <w:t>DSA 3050A – Business Intelligence &amp; Data Visualization</w:t>
    </w:r>
    <w:r>
      <w:rPr>
        <w:color w:val="555555"/>
        <w:sz w:val="20"/>
        <w:szCs w:val="20"/>
      </w:rPr>
      <w:t xml:space="preserve">    |    Practical Lab: DAX Using Your Own Dataset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3C45F8"/>
    <w:multiLevelType w:val="hybridMultilevel"/>
    <w:tmpl w:val="E2E6159A"/>
    <w:lvl w:ilvl="0" w:tplc="39D87678">
      <w:start w:val="1"/>
      <w:numFmt w:val="bullet"/>
      <w:lvlText w:val="•"/>
      <w:lvlJc w:val="left"/>
      <w:pPr>
        <w:ind w:left="720" w:hanging="360"/>
      </w:pPr>
    </w:lvl>
    <w:lvl w:ilvl="1" w:tplc="4678FC8E">
      <w:numFmt w:val="decimal"/>
      <w:lvlText w:val=""/>
      <w:lvlJc w:val="left"/>
    </w:lvl>
    <w:lvl w:ilvl="2" w:tplc="955C79EE">
      <w:numFmt w:val="decimal"/>
      <w:lvlText w:val=""/>
      <w:lvlJc w:val="left"/>
    </w:lvl>
    <w:lvl w:ilvl="3" w:tplc="360A85C2">
      <w:numFmt w:val="decimal"/>
      <w:lvlText w:val=""/>
      <w:lvlJc w:val="left"/>
    </w:lvl>
    <w:lvl w:ilvl="4" w:tplc="FD0657F6">
      <w:numFmt w:val="decimal"/>
      <w:lvlText w:val=""/>
      <w:lvlJc w:val="left"/>
    </w:lvl>
    <w:lvl w:ilvl="5" w:tplc="CFB87B08">
      <w:numFmt w:val="decimal"/>
      <w:lvlText w:val=""/>
      <w:lvlJc w:val="left"/>
    </w:lvl>
    <w:lvl w:ilvl="6" w:tplc="84C84B0A">
      <w:numFmt w:val="decimal"/>
      <w:lvlText w:val=""/>
      <w:lvlJc w:val="left"/>
    </w:lvl>
    <w:lvl w:ilvl="7" w:tplc="3B9C3888">
      <w:numFmt w:val="decimal"/>
      <w:lvlText w:val=""/>
      <w:lvlJc w:val="left"/>
    </w:lvl>
    <w:lvl w:ilvl="8" w:tplc="020A71FC">
      <w:numFmt w:val="decimal"/>
      <w:lvlText w:val=""/>
      <w:lvlJc w:val="left"/>
    </w:lvl>
  </w:abstractNum>
  <w:abstractNum w:abstractNumId="1" w15:restartNumberingAfterBreak="0">
    <w:nsid w:val="34641C66"/>
    <w:multiLevelType w:val="hybridMultilevel"/>
    <w:tmpl w:val="3620B550"/>
    <w:lvl w:ilvl="0" w:tplc="5A9A52FE">
      <w:start w:val="1"/>
      <w:numFmt w:val="bullet"/>
      <w:lvlText w:val="●"/>
      <w:lvlJc w:val="left"/>
      <w:pPr>
        <w:ind w:left="720" w:hanging="360"/>
      </w:pPr>
    </w:lvl>
    <w:lvl w:ilvl="1" w:tplc="4C50285A">
      <w:start w:val="1"/>
      <w:numFmt w:val="bullet"/>
      <w:lvlText w:val="○"/>
      <w:lvlJc w:val="left"/>
      <w:pPr>
        <w:ind w:left="1440" w:hanging="360"/>
      </w:pPr>
    </w:lvl>
    <w:lvl w:ilvl="2" w:tplc="7F7C561A">
      <w:start w:val="1"/>
      <w:numFmt w:val="bullet"/>
      <w:lvlText w:val="■"/>
      <w:lvlJc w:val="left"/>
      <w:pPr>
        <w:ind w:left="2160" w:hanging="360"/>
      </w:pPr>
    </w:lvl>
    <w:lvl w:ilvl="3" w:tplc="B57CFB74">
      <w:start w:val="1"/>
      <w:numFmt w:val="bullet"/>
      <w:lvlText w:val="●"/>
      <w:lvlJc w:val="left"/>
      <w:pPr>
        <w:ind w:left="2880" w:hanging="360"/>
      </w:pPr>
    </w:lvl>
    <w:lvl w:ilvl="4" w:tplc="24EAA7D8">
      <w:start w:val="1"/>
      <w:numFmt w:val="bullet"/>
      <w:lvlText w:val="○"/>
      <w:lvlJc w:val="left"/>
      <w:pPr>
        <w:ind w:left="3600" w:hanging="360"/>
      </w:pPr>
    </w:lvl>
    <w:lvl w:ilvl="5" w:tplc="B89AA1B6">
      <w:start w:val="1"/>
      <w:numFmt w:val="bullet"/>
      <w:lvlText w:val="■"/>
      <w:lvlJc w:val="left"/>
      <w:pPr>
        <w:ind w:left="4320" w:hanging="360"/>
      </w:pPr>
    </w:lvl>
    <w:lvl w:ilvl="6" w:tplc="327C4864">
      <w:start w:val="1"/>
      <w:numFmt w:val="bullet"/>
      <w:lvlText w:val="●"/>
      <w:lvlJc w:val="left"/>
      <w:pPr>
        <w:ind w:left="5040" w:hanging="360"/>
      </w:pPr>
    </w:lvl>
    <w:lvl w:ilvl="7" w:tplc="AC7A5D28">
      <w:start w:val="1"/>
      <w:numFmt w:val="bullet"/>
      <w:lvlText w:val="●"/>
      <w:lvlJc w:val="left"/>
      <w:pPr>
        <w:ind w:left="5760" w:hanging="360"/>
      </w:pPr>
    </w:lvl>
    <w:lvl w:ilvl="8" w:tplc="2CBA6B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84B"/>
    <w:rsid w:val="003152FA"/>
    <w:rsid w:val="0052084B"/>
    <w:rsid w:val="0060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F7A4F9-8D1C-4BFF-89F7-3AEA58292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5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Microsoft account</cp:lastModifiedBy>
  <cp:revision>2</cp:revision>
  <dcterms:created xsi:type="dcterms:W3CDTF">2026-03-17T14:41:00Z</dcterms:created>
  <dcterms:modified xsi:type="dcterms:W3CDTF">2026-03-17T14:41:00Z</dcterms:modified>
</cp:coreProperties>
</file>