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1A1410"/>
          <w:sz w:val="56"/>
          <w:szCs w:val="56"/>
        </w:rPr>
        <w:t xml:space="preserve">GOXIRA</w:t>
      </w:r>
    </w:p>
    <w:p>
      <w:pPr>
        <w:spacing w:after="80"/>
        <w:jc w:val="center"/>
      </w:pPr>
      <w:r>
        <w:rPr>
          <w:rFonts w:ascii="Arial" w:cs="Arial" w:eastAsia="Arial" w:hAnsi="Arial"/>
          <w:color w:val="6B6059"/>
          <w:sz w:val="28"/>
          <w:szCs w:val="28"/>
        </w:rPr>
        <w:t xml:space="preserve">AI-Powered Go Teaching Application</w:t>
      </w:r>
    </w:p>
    <w:p>
      <w:pPr>
        <w:spacing w:after="600"/>
        <w:jc w:val="center"/>
      </w:pPr>
      <w:r>
        <w:rPr>
          <w:rFonts w:ascii="Arial" w:cs="Arial" w:eastAsia="Arial" w:hAnsi="Arial"/>
          <w:color w:val="8B3A1E"/>
          <w:sz w:val="36"/>
          <w:szCs w:val="36"/>
        </w:rPr>
        <w:t xml:space="preserve">囲碁</w:t>
      </w:r>
    </w:p>
    <w:p>
      <w:pPr>
        <w:spacing w:after="80"/>
        <w:jc w:val="center"/>
      </w:pPr>
      <w:r>
        <w:rPr>
          <w:rFonts w:ascii="Arial" w:cs="Arial" w:eastAsia="Arial" w:hAnsi="Arial"/>
          <w:b/>
          <w:bCs/>
          <w:sz w:val="24"/>
          <w:szCs w:val="24"/>
        </w:rPr>
        <w:t xml:space="preserve">Software Requirements Document</w:t>
      </w:r>
    </w:p>
    <w:p>
      <w:pPr>
        <w:spacing w:after="40"/>
        <w:jc w:val="center"/>
      </w:pPr>
      <w:r>
        <w:rPr>
          <w:color w:val="6B6059"/>
          <w:sz w:val="22"/>
          <w:szCs w:val="22"/>
        </w:rPr>
        <w:t xml:space="preserve">Version 1.0 — March 2026</w:t>
      </w:r>
    </w:p>
    <w:p>
      <w:pPr>
        <w:spacing w:after="40"/>
        <w:jc w:val="center"/>
      </w:pPr>
      <w:r>
        <w:rPr>
          <w:i/>
          <w:iCs/>
          <w:color w:val="6B6059"/>
          <w:sz w:val="20"/>
          <w:szCs w:val="20"/>
        </w:rPr>
        <w:t xml:space="preserve">Prepared from structured interview with project creator</w:t>
      </w:r>
    </w:p>
    <w:p>
      <w:r>
        <w:br w:type="page"/>
      </w:r>
    </w:p>
    <w:p>
      <w:pPr>
        <w:pStyle w:val="Heading1"/>
      </w:pPr>
      <w:r>
        <w:t xml:space="preserve">1. Product Vision</w:t>
      </w:r>
    </w:p>
    <w:p>
      <w:pPr>
        <w:pStyle w:val="Heading2"/>
      </w:pPr>
      <w:r>
        <w:t xml:space="preserve">1.1 Mission Statement</w:t>
      </w:r>
    </w:p>
    <w:p>
      <w:pPr>
        <w:spacing w:after="160"/>
      </w:pPr>
      <w:r>
        <w:t xml:space="preserve">Goxira is a free, AI-powered Go teaching application that guides beginners and early intermediate players from their first encounter with Go through to 10 kyu and beyond. It combines KataGo’s analytical precision with Claude’s natural language teaching to deliver warm, direct, non-hallucinated instruction — the digital equivalent of a patient sensei at a Go club.</w:t>
      </w:r>
    </w:p>
    <w:p>
      <w:pPr>
        <w:pStyle w:val="Heading2"/>
      </w:pPr>
      <w:r>
        <w:t xml:space="preserve">1.2 Core Identity</w:t>
      </w:r>
    </w:p>
    <w:p>
      <w:pPr>
        <w:spacing w:after="160"/>
      </w:pPr>
      <w:r>
        <w:t xml:space="preserve">Goxira is not just a Go app. It carries a contemplative dimension: subtle, accessible wisdom drawn from Zen koans, Buddhist suttas, Alan Watts, and classical Japanese literature (such as the Hōjōki / Ten Foot Square Hut). This wisdom layer is integral to the vision, not decorative. Go has deep roots in contemplative traditions, and Goxira honors that lineage.</w:t>
      </w:r>
    </w:p>
    <w:p>
      <w:pPr>
        <w:pStyle w:val="Heading2"/>
      </w:pPr>
      <w:r>
        <w:t xml:space="preserve">1.3 Design Principles</w:t>
      </w:r>
    </w:p>
    <w:p>
      <w:pPr>
        <w:pStyle w:val="ListParagraph"/>
        <w:numPr>
          <w:ilvl w:val="0"/>
          <w:numId w:val="2"/>
        </w:numPr>
        <w:spacing w:after="80"/>
      </w:pPr>
      <w:r>
        <w:rPr>
          <w:b/>
          <w:bCs/>
        </w:rPr>
        <w:t xml:space="preserve">Accuracy over encouragement. </w:t>
      </w:r>
      <w:r>
        <w:t xml:space="preserve">Inaccurate advice is worse than no advice. Every claim must be grounded in verifiable data. When data is missing, say less and say it honestly.</w:t>
      </w:r>
    </w:p>
    <w:p>
      <w:pPr>
        <w:pStyle w:val="ListParagraph"/>
        <w:numPr>
          <w:ilvl w:val="0"/>
          <w:numId w:val="2"/>
        </w:numPr>
        <w:spacing w:after="80"/>
      </w:pPr>
      <w:r>
        <w:rPr>
          <w:b/>
          <w:bCs/>
        </w:rPr>
        <w:t xml:space="preserve">Never silent. </w:t>
      </w:r>
      <w:r>
        <w:t xml:space="preserve">When the AI passes, pauses, or encounters an error, it must always explain what happened and give the player a choice.</w:t>
      </w:r>
    </w:p>
    <w:p>
      <w:pPr>
        <w:pStyle w:val="ListParagraph"/>
        <w:numPr>
          <w:ilvl w:val="0"/>
          <w:numId w:val="2"/>
        </w:numPr>
        <w:spacing w:after="80"/>
      </w:pPr>
      <w:r>
        <w:rPr>
          <w:b/>
          <w:bCs/>
        </w:rPr>
        <w:t xml:space="preserve">Warm but direct. </w:t>
      </w:r>
      <w:r>
        <w:t xml:space="preserve">The Goxira voice is a sensei at a Go club: tells you what you missed and why, doesn’t sugarcoat, but is never cold.</w:t>
      </w:r>
    </w:p>
    <w:p>
      <w:pPr>
        <w:pStyle w:val="ListParagraph"/>
        <w:numPr>
          <w:ilvl w:val="0"/>
          <w:numId w:val="2"/>
        </w:numPr>
        <w:spacing w:after="80"/>
      </w:pPr>
      <w:r>
        <w:rPr>
          <w:b/>
          <w:bCs/>
        </w:rPr>
        <w:t xml:space="preserve">Player agency first. </w:t>
      </w:r>
      <w:r>
        <w:t xml:space="preserve">The student always chooses whether to continue, review, or move on. Goxira never forces a pedagogical decision.</w:t>
      </w:r>
    </w:p>
    <w:p>
      <w:pPr>
        <w:pStyle w:val="ListParagraph"/>
        <w:numPr>
          <w:ilvl w:val="0"/>
          <w:numId w:val="2"/>
        </w:numPr>
        <w:spacing w:after="80"/>
      </w:pPr>
      <w:r>
        <w:rPr>
          <w:b/>
          <w:bCs/>
        </w:rPr>
        <w:t xml:space="preserve">Compute efficiency is a first-class concern. </w:t>
      </w:r>
      <w:r>
        <w:t xml:space="preserve">A feature costing $0.001/user at 1,000 users costs $1,000/day at 1,000,000. Design for low cost per user from the start.</w:t>
      </w:r>
    </w:p>
    <w:p>
      <w:pPr>
        <w:pStyle w:val="ListParagraph"/>
        <w:numPr>
          <w:ilvl w:val="0"/>
          <w:numId w:val="2"/>
        </w:numPr>
        <w:spacing w:after="80"/>
      </w:pPr>
      <w:r>
        <w:rPr>
          <w:b/>
          <w:bCs/>
        </w:rPr>
        <w:t xml:space="preserve">Permanently free core experience. </w:t>
      </w:r>
      <w:r>
        <w:t xml:space="preserve">The full pedagogical experience is free. Paid features are limited to cosmetic and non-essential items.</w:t>
      </w:r>
    </w:p>
    <w:p>
      <w:pPr>
        <w:pStyle w:val="ListParagraph"/>
        <w:numPr>
          <w:ilvl w:val="0"/>
          <w:numId w:val="2"/>
        </w:numPr>
        <w:spacing w:after="80"/>
      </w:pPr>
      <w:r>
        <w:rPr>
          <w:b/>
          <w:bCs/>
        </w:rPr>
        <w:t xml:space="preserve">No hallucinated content. </w:t>
      </w:r>
      <w:r>
        <w:t xml:space="preserve">This applies to Go commentary (grounded in KataGo data) and to wisdom content (only verified, properly attributed texts from public domain or licensed sources).</w:t>
      </w:r>
    </w:p>
    <w:p>
      <w:pPr>
        <w:pStyle w:val="Heading1"/>
      </w:pPr>
      <w:r>
        <w:t xml:space="preserve">2. Target User</w:t>
      </w:r>
    </w:p>
    <w:p>
      <w:pPr>
        <w:pStyle w:val="Heading2"/>
      </w:pPr>
      <w:r>
        <w:t xml:space="preserve">2.1 Primary Persona</w:t>
      </w:r>
    </w:p>
    <w:p>
      <w:pPr>
        <w:spacing w:after="160"/>
      </w:pPr>
      <w:r>
        <w:t xml:space="preserve">The primary user is a beginner to early intermediate Go player (30 kyu through 10 kyu) who is:</w:t>
      </w:r>
    </w:p>
    <w:p>
      <w:pPr>
        <w:pStyle w:val="ListParagraph"/>
        <w:numPr>
          <w:ilvl w:val="0"/>
          <w:numId w:val="2"/>
        </w:numPr>
        <w:spacing w:after="80"/>
      </w:pPr>
      <w:r>
        <w:t xml:space="preserve">Transitioning from Atari Go to 9×9, then to full-board play</w:t>
      </w:r>
    </w:p>
    <w:p>
      <w:pPr>
        <w:pStyle w:val="ListParagraph"/>
        <w:numPr>
          <w:ilvl w:val="0"/>
          <w:numId w:val="2"/>
        </w:numPr>
        <w:spacing w:after="80"/>
      </w:pPr>
      <w:r>
        <w:t xml:space="preserve">Interested in learning openings, shapes, and fundamental strategy</w:t>
      </w:r>
    </w:p>
    <w:p>
      <w:pPr>
        <w:pStyle w:val="ListParagraph"/>
        <w:numPr>
          <w:ilvl w:val="0"/>
          <w:numId w:val="2"/>
        </w:numPr>
        <w:spacing w:after="80"/>
      </w:pPr>
      <w:r>
        <w:t xml:space="preserve">Looking for structured, progressive instruction rather than just playing against a bot</w:t>
      </w:r>
    </w:p>
    <w:p>
      <w:pPr>
        <w:pStyle w:val="ListParagraph"/>
        <w:numPr>
          <w:ilvl w:val="0"/>
          <w:numId w:val="2"/>
        </w:numPr>
        <w:spacing w:after="80"/>
      </w:pPr>
      <w:r>
        <w:t xml:space="preserve">Possibly new to Go entirely (may not yet know the rules)</w:t>
      </w:r>
    </w:p>
    <w:p>
      <w:pPr>
        <w:pStyle w:val="Heading2"/>
      </w:pPr>
      <w:r>
        <w:t xml:space="preserve">2.2 Typical Session</w:t>
      </w:r>
    </w:p>
    <w:p>
      <w:pPr>
        <w:spacing w:after="160"/>
      </w:pPr>
      <w:r>
        <w:t xml:space="preserve">A typical Goxira session for this user might involve: completing the rank assessment (first visit), solving 3–5 tsumego problems at their level, playing a 9×9 game against Goxira with live commentary, and reviewing the game afterward to understand key moments. Sessions are expected to be 15–45 minutes.</w:t>
      </w:r>
    </w:p>
    <w:p>
      <w:pPr>
        <w:pStyle w:val="Heading2"/>
      </w:pPr>
      <w:r>
        <w:t xml:space="preserve">2.3 What Frustrates This User Today</w:t>
      </w:r>
    </w:p>
    <w:p>
      <w:pPr>
        <w:pStyle w:val="ListParagraph"/>
        <w:numPr>
          <w:ilvl w:val="0"/>
          <w:numId w:val="2"/>
        </w:numPr>
        <w:spacing w:after="80"/>
      </w:pPr>
      <w:r>
        <w:t xml:space="preserve">Existing Go apps provide engine-strength opponents but no teaching</w:t>
      </w:r>
    </w:p>
    <w:p>
      <w:pPr>
        <w:pStyle w:val="ListParagraph"/>
        <w:numPr>
          <w:ilvl w:val="0"/>
          <w:numId w:val="2"/>
        </w:numPr>
        <w:spacing w:after="80"/>
      </w:pPr>
      <w:r>
        <w:t xml:space="preserve">Commentary on other platforms is generic, vague, or hallucinated</w:t>
      </w:r>
    </w:p>
    <w:p>
      <w:pPr>
        <w:pStyle w:val="ListParagraph"/>
        <w:numPr>
          <w:ilvl w:val="0"/>
          <w:numId w:val="2"/>
        </w:numPr>
        <w:spacing w:after="80"/>
      </w:pPr>
      <w:r>
        <w:t xml:space="preserve">Joseki databases are overwhelming and irrelevant to beginners</w:t>
      </w:r>
    </w:p>
    <w:p>
      <w:pPr>
        <w:pStyle w:val="ListParagraph"/>
        <w:numPr>
          <w:ilvl w:val="0"/>
          <w:numId w:val="2"/>
        </w:numPr>
        <w:spacing w:after="80"/>
      </w:pPr>
      <w:r>
        <w:t xml:space="preserve">Game review is either unavailable, paywalled, or requires manual effort</w:t>
      </w:r>
    </w:p>
    <w:p>
      <w:pPr>
        <w:pStyle w:val="Heading1"/>
      </w:pPr>
      <w:r>
        <w:t xml:space="preserve">3. Current State Assessment</w:t>
      </w:r>
    </w:p>
    <w:p>
      <w:pPr>
        <w:pStyle w:val="Heading2"/>
      </w:pPr>
      <w:r>
        <w:t xml:space="preserve">3.1 What Exists and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16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9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Rank assessment (conversational)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Places users from 30 kyu to dan level via chat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 tsumego (~4,000 problems)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Rank-mapped difficulty, AI hints, spaced repetition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play vs KataGo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Rank-scaled opponent, teaching pauses, live commentary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Game review with winrate chart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(unstable)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Works when pipeline completes; frequently hangs or times out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KataGo engine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Running on Hetzner VPS with HTTP wrapper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Profile and rank 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Tracks progress over time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OAuth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Authentication working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Joseki dictionary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Functional but not useful for beginner audience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 / pattern analysis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Aggregates errors across games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Goxira mascot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creative brief exists; assets not yet generated</w:t>
            </w:r>
          </w:p>
        </w:tc>
      </w:tr>
    </w:tbl>
    <w:p>
      <w:pPr>
        <w:spacing w:after="200"/>
      </w:pPr>
    </w:p>
    <w:p>
      <w:pPr>
        <w:pStyle w:val="Heading2"/>
      </w:pPr>
      <w:r>
        <w:t xml:space="preserve">3.2 Critical Problems</w:t>
      </w:r>
    </w:p>
    <w:p>
      <w:pPr>
        <w:pStyle w:val="Heading3"/>
      </w:pPr>
      <w:r>
        <w:t xml:space="preserve">3.2.1 Game Review Pipeline Reliability</w:t>
      </w:r>
    </w:p>
    <w:p>
      <w:pPr>
        <w:spacing w:after="160"/>
      </w:pPr>
      <w:r>
        <w:t xml:space="preserve">This is the single most important technical problem. The game-summary.js serverless function attempts up to 5 sequential network calls (1 KataGo full-game analysis at 14s timeout + up to 3 per-moment KataGo position lookups at 8s each + 1 Claude API call) within Netlify’s 26-second function timeout. The result:</w:t>
      </w:r>
    </w:p>
    <w:p>
      <w:pPr>
        <w:pStyle w:val="ListParagraph"/>
        <w:numPr>
          <w:ilvl w:val="0"/>
          <w:numId w:val="2"/>
        </w:numPr>
        <w:spacing w:after="80"/>
      </w:pPr>
      <w:r>
        <w:t xml:space="preserve">KataGo analysis alone can consume the entire timeout budget</w:t>
      </w:r>
    </w:p>
    <w:p>
      <w:pPr>
        <w:pStyle w:val="ListParagraph"/>
        <w:numPr>
          <w:ilvl w:val="0"/>
          <w:numId w:val="2"/>
        </w:numPr>
        <w:spacing w:after="80"/>
      </w:pPr>
      <w:r>
        <w:t xml:space="preserve">Claude API call gets whatever time remains (sometimes as little as 4 seconds)</w:t>
      </w:r>
    </w:p>
    <w:p>
      <w:pPr>
        <w:pStyle w:val="ListParagraph"/>
        <w:numPr>
          <w:ilvl w:val="0"/>
          <w:numId w:val="2"/>
        </w:numPr>
        <w:spacing w:after="80"/>
      </w:pPr>
      <w:r>
        <w:t xml:space="preserve">Users see “Engine analysis unavailable, try again later” after 30 seconds of waiting</w:t>
      </w:r>
    </w:p>
    <w:p>
      <w:pPr>
        <w:pStyle w:val="ListParagraph"/>
        <w:numPr>
          <w:ilvl w:val="0"/>
          <w:numId w:val="2"/>
        </w:numPr>
        <w:spacing w:after="80"/>
      </w:pPr>
      <w:r>
        <w:t xml:space="preserve">When it works, the quality is good — the architecture is sound, the execution pipeline is too fragile</w:t>
      </w:r>
    </w:p>
    <w:p>
      <w:pPr>
        <w:pStyle w:val="Heading3"/>
      </w:pPr>
      <w:r>
        <w:t xml:space="preserve">3.2.2 Commentary Quality</w:t>
      </w:r>
    </w:p>
    <w:p>
      <w:pPr>
        <w:spacing w:after="160"/>
      </w:pPr>
      <w:r>
        <w:t xml:space="preserve">When commentary does arrive, it sometimes produces generic encouragement rather than concrete Go advice. The desired voice is a sensei at a Go club: warm but direct, telling the student what they missed and why. The current prompts are close but need tightening to eliminate filler and ensure every sentence carries teaching value.</w:t>
      </w:r>
    </w:p>
    <w:p>
      <w:pPr>
        <w:pStyle w:val="Heading3"/>
      </w:pPr>
      <w:r>
        <w:t xml:space="preserve">3.2.3 Joseki Page Misfit</w:t>
      </w:r>
    </w:p>
    <w:p>
      <w:pPr>
        <w:spacing w:after="160"/>
      </w:pPr>
      <w:r>
        <w:t xml:space="preserve">The joseki dictionary is a pattern database aimed at intermediate-to-advanced players. For beginners (the primary audience), this is confusing and unhelpful. The page needs to be rethought as an introduction to opening principles: why the third and fourth lines matter, what star point openings look like, basic whole-board thinking.</w:t>
      </w:r>
    </w:p>
    <w:p>
      <w:pPr>
        <w:pStyle w:val="Heading3"/>
      </w:pPr>
      <w:r>
        <w:t xml:space="preserve">3.2.4 Mobile UX Issues</w:t>
      </w:r>
    </w:p>
    <w:p>
      <w:pPr>
        <w:pStyle w:val="ListParagraph"/>
        <w:numPr>
          <w:ilvl w:val="0"/>
          <w:numId w:val="2"/>
        </w:numPr>
        <w:spacing w:after="80"/>
      </w:pPr>
      <w:r>
        <w:t xml:space="preserve">Ghost stone slightly undersized on some devices</w:t>
      </w:r>
    </w:p>
    <w:p>
      <w:pPr>
        <w:pStyle w:val="ListParagraph"/>
        <w:numPr>
          <w:ilvl w:val="0"/>
          <w:numId w:val="2"/>
        </w:numPr>
        <w:spacing w:after="80"/>
      </w:pPr>
      <w:r>
        <w:t xml:space="preserve">No way to cancel a stone placement in progress (drag-off-board cancellation not implemented)</w:t>
      </w:r>
    </w:p>
    <w:p>
      <w:pPr>
        <w:pStyle w:val="ListParagraph"/>
        <w:numPr>
          <w:ilvl w:val="0"/>
          <w:numId w:val="2"/>
        </w:numPr>
        <w:spacing w:after="80"/>
      </w:pPr>
      <w:r>
        <w:t xml:space="preserve">Fat-finger placement on smaller boards partially improved but unresolved</w:t>
      </w:r>
    </w:p>
    <w:p>
      <w:pPr>
        <w:pStyle w:val="Heading3"/>
      </w:pPr>
      <w:r>
        <w:t xml:space="preserve">3.2.5 Thin Learning Resources</w:t>
      </w:r>
    </w:p>
    <w:p>
      <w:pPr>
        <w:spacing w:after="160"/>
      </w:pPr>
      <w:r>
        <w:t xml:space="preserve">Game review currently links to Sensei’s Library for study topics. While accurate, this feels thin. The plan is to curate links to quality external resources (YouTube videos, articles, books) in the near term, then build custom animated/interactive micro-lessons inside Goxira over time.</w:t>
      </w:r>
    </w:p>
    <w:p>
      <w:pPr>
        <w:pStyle w:val="Heading1"/>
      </w:pPr>
      <w:r>
        <w:t xml:space="preserve">4. Architecture</w:t>
      </w:r>
    </w:p>
    <w:p>
      <w:pPr>
        <w:pStyle w:val="Heading2"/>
      </w:pPr>
      <w:r>
        <w:t xml:space="preserve">4.1 The Two-System Rule</w:t>
      </w:r>
    </w:p>
    <w:p>
      <w:pPr>
        <w:spacing w:after="160"/>
      </w:pPr>
      <w:r>
        <w:t xml:space="preserve">Goxira has exactly two AI systems with non-overlapping roles. This is a hard architectural constraint that must never be violated: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18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2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What It Produces</w:t>
            </w:r>
          </w:p>
        </w:tc>
        <w:tc>
          <w:tcPr>
            <w:tcW w:type="dxa" w:w="29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What It Cannot Do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KataGo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Moves, win rates, score leads, top-5 candidates with principal variations, ownership maps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Teach, explain, generate natural language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Teaching interpreter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Natural-language explanations of KataGo output, calibrated to student rank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Play Go, evaluate positions, generate moves, estimate win rates, fabricate tactical sequences</w:t>
            </w:r>
          </w:p>
        </w:tc>
      </w:tr>
    </w:tbl>
    <w:p>
      <w:pPr>
        <w:spacing w:after="200"/>
      </w:pPr>
    </w:p>
    <w:p>
      <w:pPr>
        <w:pStyle w:val="Heading2"/>
      </w:pPr>
      <w:r>
        <w:t xml:space="preserve">4.2 Current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8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3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Replaceable With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Vanilla HTML/CSS/JS + SVG board renderer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static host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Netlify (auto-deploy from GitHub)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static host + serverless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logic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Netlify serverless functions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serverless / Node.js server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 + Auth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(PostgreSQL + RLS)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Postgres + auth provider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 engine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KataGo on Hetzner VPS (HTTP wrapper)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Any server running KataGo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teaching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Anthropic API (Claude Sonnet 4.6)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(core dependency)</w:t>
            </w:r>
          </w:p>
        </w:tc>
      </w:tr>
    </w:tbl>
    <w:p>
      <w:pPr>
        <w:spacing w:after="200"/>
      </w:pPr>
    </w:p>
    <w:p>
      <w:pPr>
        <w:pStyle w:val="Heading2"/>
      </w:pPr>
      <w:r>
        <w:t xml:space="preserve">4.3 Hard Architectural Rules</w:t>
      </w:r>
    </w:p>
    <w:p>
      <w:pPr>
        <w:pStyle w:val="ListParagraph"/>
        <w:numPr>
          <w:ilvl w:val="0"/>
          <w:numId w:val="2"/>
        </w:numPr>
        <w:spacing w:after="80"/>
      </w:pPr>
      <w:r>
        <w:rPr>
          <w:b/>
          <w:bCs/>
        </w:rPr>
        <w:t xml:space="preserve">Never add a Claude-as-engine fallback. </w:t>
      </w:r>
      <w:r>
        <w:t xml:space="preserve">If KataGo is down, degrade gracefully with an honest message. Never call Claude to generate moves or evaluate positions.</w:t>
      </w:r>
    </w:p>
    <w:p>
      <w:pPr>
        <w:pStyle w:val="ListParagraph"/>
        <w:numPr>
          <w:ilvl w:val="0"/>
          <w:numId w:val="2"/>
        </w:numPr>
        <w:spacing w:after="80"/>
      </w:pPr>
      <w:r>
        <w:rPr>
          <w:b/>
          <w:bCs/>
        </w:rPr>
        <w:t xml:space="preserve">Never have Claude generate move coordinates. </w:t>
      </w:r>
      <w:r>
        <w:t xml:space="preserve">Any GTP coordinates in Claude’s output must originate from KataGo data.</w:t>
      </w:r>
    </w:p>
    <w:p>
      <w:pPr>
        <w:pStyle w:val="ListParagraph"/>
        <w:numPr>
          <w:ilvl w:val="0"/>
          <w:numId w:val="2"/>
        </w:numPr>
        <w:spacing w:after="80"/>
      </w:pPr>
      <w:r>
        <w:rPr>
          <w:b/>
          <w:bCs/>
        </w:rPr>
        <w:t xml:space="preserve">Never silently degrade. </w:t>
      </w:r>
      <w:r>
        <w:t xml:space="preserve">If KataGo is down, tell the user.</w:t>
      </w:r>
    </w:p>
    <w:p>
      <w:pPr>
        <w:pStyle w:val="ListParagraph"/>
        <w:numPr>
          <w:ilvl w:val="0"/>
          <w:numId w:val="2"/>
        </w:numPr>
        <w:spacing w:after="80"/>
      </w:pPr>
      <w:r>
        <w:rPr>
          <w:b/>
          <w:bCs/>
        </w:rPr>
        <w:t xml:space="preserve">Never let Claude claim confidence it doesn’t have. </w:t>
      </w:r>
      <w:r>
        <w:t xml:space="preserve">If KataGo data is missing, Claude must disclaim.</w:t>
      </w:r>
    </w:p>
    <w:p>
      <w:pPr>
        <w:pStyle w:val="ListParagraph"/>
        <w:numPr>
          <w:ilvl w:val="0"/>
          <w:numId w:val="2"/>
        </w:numPr>
        <w:spacing w:after="80"/>
      </w:pPr>
      <w:r>
        <w:rPr>
          <w:b/>
          <w:bCs/>
        </w:rPr>
        <w:t xml:space="preserve">No invented key moments. </w:t>
      </w:r>
      <w:r>
        <w:t xml:space="preserve">If KataGo data isn’t available, return an empty keyMoments array.</w:t>
      </w:r>
    </w:p>
    <w:p>
      <w:pPr>
        <w:pStyle w:val="ListParagraph"/>
        <w:numPr>
          <w:ilvl w:val="0"/>
          <w:numId w:val="2"/>
        </w:numPr>
        <w:spacing w:after="80"/>
      </w:pPr>
      <w:r>
        <w:rPr>
          <w:b/>
          <w:bCs/>
        </w:rPr>
        <w:t xml:space="preserve">Pre-filter KataGo output server-side </w:t>
      </w:r>
      <w:r>
        <w:t xml:space="preserve">before passing to Claude API to avoid unnecessary token consumption.</w:t>
      </w:r>
    </w:p>
    <w:p>
      <w:pPr>
        <w:pStyle w:val="Heading1"/>
      </w:pPr>
      <w:r>
        <w:t xml:space="preserve">5. Requirements by Priority</w:t>
      </w:r>
    </w:p>
    <w:p>
      <w:pPr>
        <w:pStyle w:val="Heading2"/>
      </w:pPr>
      <w:r>
        <w:t xml:space="preserve">5.1 P0 — Fix What’s Broken (Now)</w:t>
      </w:r>
    </w:p>
    <w:p>
      <w:pPr>
        <w:pStyle w:val="Heading3"/>
      </w:pPr>
      <w:r>
        <w:t xml:space="preserve">5.1.1 Redesign the Game Review Pipeline</w:t>
      </w:r>
    </w:p>
    <w:p>
      <w:pPr>
        <w:spacing w:after="160"/>
      </w:pPr>
      <w:r>
        <w:rPr>
          <w:b/>
          <w:bCs/>
        </w:rPr>
        <w:t xml:space="preserve">Problem: </w:t>
      </w:r>
      <w:r>
        <w:t xml:space="preserve">The game-summary.js function tries to do too much in one 26-second serverless invocation.</w:t>
      </w:r>
    </w:p>
    <w:p>
      <w:pPr>
        <w:spacing w:after="160"/>
      </w:pPr>
      <w:r>
        <w:rPr>
          <w:b/>
          <w:bCs/>
        </w:rPr>
        <w:t xml:space="preserve">Solution: </w:t>
      </w:r>
      <w:r>
        <w:t xml:space="preserve">Break the pipeline into stages. Recommended approach:</w:t>
      </w:r>
    </w:p>
    <w:p>
      <w:pPr>
        <w:pStyle w:val="ListParagraph"/>
        <w:numPr>
          <w:ilvl w:val="0"/>
          <w:numId w:val="2"/>
        </w:numPr>
        <w:spacing w:after="80"/>
      </w:pPr>
      <w:r>
        <w:rPr>
          <w:b/>
          <w:bCs/>
        </w:rPr>
        <w:t xml:space="preserve">Stage 1 (instant): </w:t>
      </w:r>
      <w:r>
        <w:t xml:space="preserve">If cached turn data exists (from live play), render the winrate chart immediately. No KataGo call needed.</w:t>
      </w:r>
    </w:p>
    <w:p>
      <w:pPr>
        <w:pStyle w:val="ListParagraph"/>
        <w:numPr>
          <w:ilvl w:val="0"/>
          <w:numId w:val="2"/>
        </w:numPr>
        <w:spacing w:after="80"/>
      </w:pPr>
      <w:r>
        <w:rPr>
          <w:b/>
          <w:bCs/>
        </w:rPr>
        <w:t xml:space="preserve">Stage 2 (async): </w:t>
      </w:r>
      <w:r>
        <w:t xml:space="preserve">Request KataGo full-game analysis and per-moment position lookups as a background job. Poll for completion or use Supabase Realtime to push updates.</w:t>
      </w:r>
    </w:p>
    <w:p>
      <w:pPr>
        <w:pStyle w:val="ListParagraph"/>
        <w:numPr>
          <w:ilvl w:val="0"/>
          <w:numId w:val="2"/>
        </w:numPr>
        <w:spacing w:after="80"/>
      </w:pPr>
      <w:r>
        <w:rPr>
          <w:b/>
          <w:bCs/>
        </w:rPr>
        <w:t xml:space="preserve">Stage 3 (on KataGo complete): </w:t>
      </w:r>
      <w:r>
        <w:t xml:space="preserve">Send structured KataGo data to Claude for commentary. Write result to saved_games.ai_summary.</w:t>
      </w:r>
    </w:p>
    <w:p>
      <w:pPr>
        <w:pStyle w:val="ListParagraph"/>
        <w:numPr>
          <w:ilvl w:val="0"/>
          <w:numId w:val="2"/>
        </w:numPr>
        <w:spacing w:after="80"/>
      </w:pPr>
      <w:r>
        <w:rPr>
          <w:b/>
          <w:bCs/>
        </w:rPr>
        <w:t xml:space="preserve">Fallback: </w:t>
      </w:r>
      <w:r>
        <w:t xml:space="preserve">If KataGo is unavailable, show winrate chart (from cached turns) with an honest message. Never fabricate commentary.</w:t>
      </w:r>
    </w:p>
    <w:p>
      <w:pPr>
        <w:spacing w:after="160"/>
      </w:pPr>
      <w:r>
        <w:rPr>
          <w:b/>
          <w:bCs/>
        </w:rPr>
        <w:t xml:space="preserve">Acceptance criteria: </w:t>
      </w:r>
      <w:r>
        <w:t xml:space="preserve">A 9×9 game review completes in under 30 seconds with a visible progress indicator at each stage. The user sees the winrate chart within 2 seconds if turn data is cached.</w:t>
      </w:r>
    </w:p>
    <w:p>
      <w:pPr>
        <w:pStyle w:val="Heading3"/>
      </w:pPr>
      <w:r>
        <w:t xml:space="preserve">5.1.2 Tighten Commentary Prompts</w:t>
      </w:r>
    </w:p>
    <w:p>
      <w:pPr>
        <w:spacing w:after="160"/>
      </w:pPr>
      <w:r>
        <w:rPr>
          <w:b/>
          <w:bCs/>
        </w:rPr>
        <w:t xml:space="preserve">Problem: </w:t>
      </w:r>
      <w:r>
        <w:t xml:space="preserve">Claude sometimes produces generic encouragement instead of concrete Go teaching.</w:t>
      </w:r>
    </w:p>
    <w:p>
      <w:pPr>
        <w:spacing w:after="160"/>
      </w:pPr>
      <w:r>
        <w:rPr>
          <w:b/>
          <w:bCs/>
        </w:rPr>
        <w:t xml:space="preserve">Solution: </w:t>
      </w:r>
      <w:r>
        <w:t xml:space="preserve">Revise all Claude system prompts to enforce the “sensei at a Go club” voice:</w:t>
      </w:r>
    </w:p>
    <w:p>
      <w:pPr>
        <w:pStyle w:val="ListParagraph"/>
        <w:numPr>
          <w:ilvl w:val="0"/>
          <w:numId w:val="2"/>
        </w:numPr>
        <w:spacing w:after="80"/>
      </w:pPr>
      <w:r>
        <w:t xml:space="preserve">Every sentence must contain a specific, verifiable Go concept or reference to KataGo data</w:t>
      </w:r>
    </w:p>
    <w:p>
      <w:pPr>
        <w:pStyle w:val="ListParagraph"/>
        <w:numPr>
          <w:ilvl w:val="0"/>
          <w:numId w:val="2"/>
        </w:numPr>
        <w:spacing w:after="80"/>
      </w:pPr>
      <w:r>
        <w:t xml:space="preserve">No filler phrases (“Great effort!”, “Keep practicing!”) unless accompanied by a concrete observation</w:t>
      </w:r>
    </w:p>
    <w:p>
      <w:pPr>
        <w:pStyle w:val="ListParagraph"/>
        <w:numPr>
          <w:ilvl w:val="0"/>
          <w:numId w:val="2"/>
        </w:numPr>
        <w:spacing w:after="80"/>
      </w:pPr>
      <w:r>
        <w:t xml:space="preserve">Rank calibration: 25k–15k = simple tactical facts, one concept; 15k–5k = strategic reasoning; 5k+ = full strategic discussion</w:t>
      </w:r>
    </w:p>
    <w:p>
      <w:pPr>
        <w:pStyle w:val="ListParagraph"/>
        <w:numPr>
          <w:ilvl w:val="0"/>
          <w:numId w:val="2"/>
        </w:numPr>
        <w:spacing w:after="80"/>
      </w:pPr>
      <w:r>
        <w:t xml:space="preserve">Maximum token budget enforced to prevent rambling</w:t>
      </w:r>
    </w:p>
    <w:p>
      <w:pPr>
        <w:pStyle w:val="Heading3"/>
      </w:pPr>
      <w:r>
        <w:t xml:space="preserve">5.1.3 Mobile UX Fixes</w:t>
      </w:r>
    </w:p>
    <w:p>
      <w:pPr>
        <w:pStyle w:val="ListParagraph"/>
        <w:numPr>
          <w:ilvl w:val="0"/>
          <w:numId w:val="2"/>
        </w:numPr>
        <w:spacing w:after="80"/>
      </w:pPr>
      <w:r>
        <w:t xml:space="preserve">Implement drag-off-board cancellation for stone placement</w:t>
      </w:r>
    </w:p>
    <w:p>
      <w:pPr>
        <w:pStyle w:val="ListParagraph"/>
        <w:numPr>
          <w:ilvl w:val="0"/>
          <w:numId w:val="2"/>
        </w:numPr>
        <w:spacing w:after="80"/>
      </w:pPr>
      <w:r>
        <w:t xml:space="preserve">Verify ghost stone sizing on physical devices across screen sizes</w:t>
      </w:r>
    </w:p>
    <w:p>
      <w:pPr>
        <w:pStyle w:val="ListParagraph"/>
        <w:numPr>
          <w:ilvl w:val="0"/>
          <w:numId w:val="2"/>
        </w:numPr>
        <w:spacing w:after="80"/>
      </w:pPr>
      <w:r>
        <w:t xml:space="preserve">Test and fix fat-finger placement on 9×9 boards</w:t>
      </w:r>
    </w:p>
    <w:p>
      <w:pPr>
        <w:pStyle w:val="Heading2"/>
      </w:pPr>
      <w:r>
        <w:t xml:space="preserve">5.2 P1 — Near-Term Enhancements (1–3 Months)</w:t>
      </w:r>
    </w:p>
    <w:p>
      <w:pPr>
        <w:pStyle w:val="Heading3"/>
      </w:pPr>
      <w:r>
        <w:t xml:space="preserve">5.2.1 Goxira Mascot Integration</w:t>
      </w:r>
    </w:p>
    <w:p>
      <w:pPr>
        <w:spacing w:after="160"/>
      </w:pPr>
      <w:r>
        <w:t xml:space="preserve">The mascot gives the app personality and emotional warmth. A full creative brief exists (Go stone body, coral/amber dorsal spines, sumi-e ink brush style, six core expressions mapped to app states). Implementation:</w:t>
      </w:r>
    </w:p>
    <w:p>
      <w:pPr>
        <w:pStyle w:val="ListParagraph"/>
        <w:numPr>
          <w:ilvl w:val="0"/>
          <w:numId w:val="2"/>
        </w:numPr>
        <w:spacing w:after="80"/>
      </w:pPr>
      <w:r>
        <w:t xml:space="preserve">Generate assets via Nano Banana from existing creative brief</w:t>
      </w:r>
    </w:p>
    <w:p>
      <w:pPr>
        <w:pStyle w:val="ListParagraph"/>
        <w:numPr>
          <w:ilvl w:val="0"/>
          <w:numId w:val="2"/>
        </w:numPr>
        <w:spacing w:after="80"/>
      </w:pPr>
      <w:r>
        <w:t xml:space="preserve">Integrate mascot expressions into app states (thinking, celebrating, encouraging, puzzled, teaching, resting)</w:t>
      </w:r>
    </w:p>
    <w:p>
      <w:pPr>
        <w:pStyle w:val="ListParagraph"/>
        <w:numPr>
          <w:ilvl w:val="0"/>
          <w:numId w:val="2"/>
        </w:numPr>
        <w:spacing w:after="80"/>
      </w:pPr>
      <w:r>
        <w:t xml:space="preserve">SVG/PNG format, CSS class naming conventions per the brief</w:t>
      </w:r>
    </w:p>
    <w:p>
      <w:pPr>
        <w:pStyle w:val="ListParagraph"/>
        <w:numPr>
          <w:ilvl w:val="0"/>
          <w:numId w:val="2"/>
        </w:numPr>
        <w:spacing w:after="80"/>
      </w:pPr>
      <w:r>
        <w:t xml:space="preserve">Alternate style variants (8-bit, chibi, golden, seasonal) scoped as paid cosmetic unlocks</w:t>
      </w:r>
    </w:p>
    <w:p>
      <w:pPr>
        <w:pStyle w:val="Heading3"/>
      </w:pPr>
      <w:r>
        <w:t xml:space="preserve">5.2.2 Rethink Joseki Page as Opening Principles</w:t>
      </w:r>
    </w:p>
    <w:p>
      <w:pPr>
        <w:spacing w:after="160"/>
      </w:pPr>
      <w:r>
        <w:t xml:space="preserve">Replace the current joseki database with beginner-appropriate opening instruction:</w:t>
      </w:r>
    </w:p>
    <w:p>
      <w:pPr>
        <w:pStyle w:val="ListParagraph"/>
        <w:numPr>
          <w:ilvl w:val="0"/>
          <w:numId w:val="2"/>
        </w:numPr>
        <w:spacing w:after="80"/>
      </w:pPr>
      <w:r>
        <w:t xml:space="preserve">Why the third and fourth lines matter</w:t>
      </w:r>
    </w:p>
    <w:p>
      <w:pPr>
        <w:pStyle w:val="ListParagraph"/>
        <w:numPr>
          <w:ilvl w:val="0"/>
          <w:numId w:val="2"/>
        </w:numPr>
        <w:spacing w:after="80"/>
      </w:pPr>
      <w:r>
        <w:t xml:space="preserve">Star point vs. 3–3 point: what each gives you</w:t>
      </w:r>
    </w:p>
    <w:p>
      <w:pPr>
        <w:pStyle w:val="ListParagraph"/>
        <w:numPr>
          <w:ilvl w:val="0"/>
          <w:numId w:val="2"/>
        </w:numPr>
        <w:spacing w:after="80"/>
      </w:pPr>
      <w:r>
        <w:t xml:space="preserve">Basic whole-board thinking for 9×9 and 13×13</w:t>
      </w:r>
    </w:p>
    <w:p>
      <w:pPr>
        <w:pStyle w:val="ListParagraph"/>
        <w:numPr>
          <w:ilvl w:val="0"/>
          <w:numId w:val="2"/>
        </w:numPr>
        <w:spacing w:after="80"/>
      </w:pPr>
      <w:r>
        <w:t xml:space="preserve">Interactive board showing common opening patterns with explanations</w:t>
      </w:r>
    </w:p>
    <w:p>
      <w:pPr>
        <w:pStyle w:val="ListParagraph"/>
        <w:numPr>
          <w:ilvl w:val="0"/>
          <w:numId w:val="2"/>
        </w:numPr>
        <w:spacing w:after="80"/>
      </w:pPr>
      <w:r>
        <w:t xml:space="preserve">Hide advanced joseki content until user reaches ~10 kyu</w:t>
      </w:r>
    </w:p>
    <w:p>
      <w:pPr>
        <w:pStyle w:val="Heading3"/>
      </w:pPr>
      <w:r>
        <w:t xml:space="preserve">5.2.3 Curated Learning Resources</w:t>
      </w:r>
    </w:p>
    <w:p>
      <w:pPr>
        <w:spacing w:after="160"/>
      </w:pPr>
      <w:r>
        <w:t xml:space="preserve">Build a resource library linking to quality external content, organized by topic (the same topics used in game review: Atari, Life and Death, Shape, etc.):</w:t>
      </w:r>
    </w:p>
    <w:p>
      <w:pPr>
        <w:pStyle w:val="ListParagraph"/>
        <w:numPr>
          <w:ilvl w:val="0"/>
          <w:numId w:val="2"/>
        </w:numPr>
        <w:spacing w:after="80"/>
      </w:pPr>
      <w:r>
        <w:t xml:space="preserve">YouTube video recommendations (e.g., Dwyrin, Nick Sibicky, Shawn Ray)</w:t>
      </w:r>
    </w:p>
    <w:p>
      <w:pPr>
        <w:pStyle w:val="ListParagraph"/>
        <w:numPr>
          <w:ilvl w:val="0"/>
          <w:numId w:val="2"/>
        </w:numPr>
        <w:spacing w:after="80"/>
      </w:pPr>
      <w:r>
        <w:t xml:space="preserve">Sensei’s Library articles (already partially integrated)</w:t>
      </w:r>
    </w:p>
    <w:p>
      <w:pPr>
        <w:pStyle w:val="ListParagraph"/>
        <w:numPr>
          <w:ilvl w:val="0"/>
          <w:numId w:val="2"/>
        </w:numPr>
        <w:spacing w:after="80"/>
      </w:pPr>
      <w:r>
        <w:t xml:space="preserve">Book recommendations by rank level</w:t>
      </w:r>
    </w:p>
    <w:p>
      <w:pPr>
        <w:pStyle w:val="ListParagraph"/>
        <w:numPr>
          <w:ilvl w:val="0"/>
          <w:numId w:val="2"/>
        </w:numPr>
        <w:spacing w:after="80"/>
      </w:pPr>
      <w:r>
        <w:t xml:space="preserve">Surface relevant resources after game review, problem solving, and in the progress page</w:t>
      </w:r>
    </w:p>
    <w:p>
      <w:pPr>
        <w:pStyle w:val="Heading3"/>
      </w:pPr>
      <w:r>
        <w:t xml:space="preserve">5.2.4 Optional Rules Tutorial</w:t>
      </w:r>
    </w:p>
    <w:p>
      <w:pPr>
        <w:spacing w:after="160"/>
      </w:pPr>
      <w:r>
        <w:t xml:space="preserve">Offer (but don’t require) an interactive rules tutorial for absolute beginners:</w:t>
      </w:r>
    </w:p>
    <w:p>
      <w:pPr>
        <w:pStyle w:val="ListParagraph"/>
        <w:numPr>
          <w:ilvl w:val="0"/>
          <w:numId w:val="2"/>
        </w:numPr>
        <w:spacing w:after="80"/>
      </w:pPr>
      <w:r>
        <w:t xml:space="preserve">Capture mechanics (Atari Go as an on-ramp)</w:t>
      </w:r>
    </w:p>
    <w:p>
      <w:pPr>
        <w:pStyle w:val="ListParagraph"/>
        <w:numPr>
          <w:ilvl w:val="0"/>
          <w:numId w:val="2"/>
        </w:numPr>
        <w:spacing w:after="80"/>
      </w:pPr>
      <w:r>
        <w:t xml:space="preserve">Territory and scoring</w:t>
      </w:r>
    </w:p>
    <w:p>
      <w:pPr>
        <w:pStyle w:val="ListParagraph"/>
        <w:numPr>
          <w:ilvl w:val="0"/>
          <w:numId w:val="2"/>
        </w:numPr>
        <w:spacing w:after="80"/>
      </w:pPr>
      <w:r>
        <w:t xml:space="preserve">Ko rule</w:t>
      </w:r>
    </w:p>
    <w:p>
      <w:pPr>
        <w:pStyle w:val="ListParagraph"/>
        <w:numPr>
          <w:ilvl w:val="0"/>
          <w:numId w:val="2"/>
        </w:numPr>
        <w:spacing w:after="80"/>
      </w:pPr>
      <w:r>
        <w:t xml:space="preserve">When and why to pass</w:t>
      </w:r>
    </w:p>
    <w:p>
      <w:pPr>
        <w:pStyle w:val="ListParagraph"/>
        <w:numPr>
          <w:ilvl w:val="0"/>
          <w:numId w:val="2"/>
        </w:numPr>
        <w:spacing w:after="80"/>
      </w:pPr>
      <w:r>
        <w:t xml:space="preserve">Progressive: can exit at any time if the user already knows the rules</w:t>
      </w:r>
    </w:p>
    <w:p>
      <w:pPr>
        <w:pStyle w:val="Heading3"/>
      </w:pPr>
      <w:r>
        <w:t xml:space="preserve">5.2.5 Dark Mode</w:t>
      </w:r>
    </w:p>
    <w:p>
      <w:pPr>
        <w:spacing w:after="160"/>
      </w:pPr>
      <w:r>
        <w:t xml:space="preserve">Implement a dark mode theme toggle. The existing design system (CSS custom properties) is well-structured for this — swap the paper/ink variables. The board itself stays wood-colored.</w:t>
      </w:r>
    </w:p>
    <w:p>
      <w:pPr>
        <w:pStyle w:val="Heading2"/>
      </w:pPr>
      <w:r>
        <w:t xml:space="preserve">5.3 P2 — Medium-Term (3–6 Months)</w:t>
      </w:r>
    </w:p>
    <w:p>
      <w:pPr>
        <w:pStyle w:val="Heading3"/>
      </w:pPr>
      <w:r>
        <w:t xml:space="preserve">5.3.1 Wisdom Layer</w:t>
      </w:r>
    </w:p>
    <w:p>
      <w:pPr>
        <w:spacing w:after="160"/>
      </w:pPr>
      <w:r>
        <w:t xml:space="preserve">Integrate contemplative content from canonical sources into the app experience. This is a core part of the Goxira vision, not an afterthought. Three surface modes, layered in over time:</w:t>
      </w:r>
    </w:p>
    <w:p>
      <w:pPr>
        <w:pStyle w:val="ListParagraph"/>
        <w:numPr>
          <w:ilvl w:val="0"/>
          <w:numId w:val="2"/>
        </w:numPr>
        <w:spacing w:after="80"/>
      </w:pPr>
      <w:r>
        <w:rPr>
          <w:b/>
          <w:bCs/>
        </w:rPr>
        <w:t xml:space="preserve">Ambient: </w:t>
      </w:r>
      <w:r>
        <w:t xml:space="preserve">Subtle quotes on loading screens, after solving a problem, between sessions.</w:t>
      </w:r>
    </w:p>
    <w:p>
      <w:pPr>
        <w:pStyle w:val="ListParagraph"/>
        <w:numPr>
          <w:ilvl w:val="0"/>
          <w:numId w:val="2"/>
        </w:numPr>
        <w:spacing w:after="80"/>
      </w:pPr>
      <w:r>
        <w:rPr>
          <w:b/>
          <w:bCs/>
        </w:rPr>
        <w:t xml:space="preserve">Integrated: </w:t>
      </w:r>
      <w:r>
        <w:t xml:space="preserve">Wisdom tied to what just happened in the game (e.g., a koan about letting go after losing a group, a passage on emptiness after a close endgame).</w:t>
      </w:r>
    </w:p>
    <w:p>
      <w:pPr>
        <w:pStyle w:val="ListParagraph"/>
        <w:numPr>
          <w:ilvl w:val="0"/>
          <w:numId w:val="2"/>
        </w:numPr>
        <w:spacing w:after="80"/>
      </w:pPr>
      <w:r>
        <w:rPr>
          <w:b/>
          <w:bCs/>
        </w:rPr>
        <w:t xml:space="preserve">Dedicated: </w:t>
      </w:r>
      <w:r>
        <w:t xml:space="preserve">A reading or wisdom section in the app where users can browse curated texts.</w:t>
      </w:r>
    </w:p>
    <w:p>
      <w:pPr>
        <w:spacing w:after="160"/>
      </w:pPr>
      <w:r>
        <w:rPr>
          <w:b/>
          <w:bCs/>
        </w:rPr>
        <w:t xml:space="preserve">Sources (all public domain or properly attributed): </w:t>
      </w:r>
    </w:p>
    <w:p>
      <w:pPr>
        <w:pStyle w:val="ListParagraph"/>
        <w:numPr>
          <w:ilvl w:val="0"/>
          <w:numId w:val="2"/>
        </w:numPr>
        <w:spacing w:after="80"/>
      </w:pPr>
      <w:r>
        <w:t xml:space="preserve">Zen koan collections: Gateless Gate (Mumonkan), Blue Cliff Record, Book of Serenity, 101 Zen Stories</w:t>
      </w:r>
    </w:p>
    <w:p>
      <w:pPr>
        <w:pStyle w:val="ListParagraph"/>
        <w:numPr>
          <w:ilvl w:val="0"/>
          <w:numId w:val="2"/>
        </w:numPr>
        <w:spacing w:after="80"/>
      </w:pPr>
      <w:r>
        <w:t xml:space="preserve">Classical Japanese literature: Hōjōki (Ten Foot Square Hut) by Kamo no Chōmei</w:t>
      </w:r>
    </w:p>
    <w:p>
      <w:pPr>
        <w:pStyle w:val="ListParagraph"/>
        <w:numPr>
          <w:ilvl w:val="0"/>
          <w:numId w:val="2"/>
        </w:numPr>
        <w:spacing w:after="80"/>
      </w:pPr>
      <w:r>
        <w:t xml:space="preserve">Buddhist suttas (Pali Canon selections)</w:t>
      </w:r>
    </w:p>
    <w:p>
      <w:pPr>
        <w:pStyle w:val="ListParagraph"/>
        <w:numPr>
          <w:ilvl w:val="0"/>
          <w:numId w:val="2"/>
        </w:numPr>
        <w:spacing w:after="80"/>
      </w:pPr>
      <w:r>
        <w:t xml:space="preserve">Alan Watts quotes and passages (properly licensed/attributed)</w:t>
      </w:r>
    </w:p>
    <w:p>
      <w:pPr>
        <w:spacing w:after="160"/>
      </w:pPr>
      <w:r>
        <w:rPr>
          <w:b/>
          <w:bCs/>
        </w:rPr>
        <w:t xml:space="preserve">Hard constraint: </w:t>
      </w:r>
      <w:r>
        <w:t xml:space="preserve">All wisdom content is personally curated by the creator. No AI-generated spiritual content. No hallucinated attributions. Every quote must be verified against a source text.</w:t>
      </w:r>
    </w:p>
    <w:p>
      <w:pPr>
        <w:spacing w:after="160"/>
      </w:pPr>
      <w:r>
        <w:t xml:space="preserve">Database schema for the wisdom library is already drafted (five themes: Emptiness/Non-Duality, Illusion of Self, Radical Presence, Limits of Conceptual Frameworks, Cause and Effect). Build when core app stability is achieved.</w:t>
      </w:r>
    </w:p>
    <w:p>
      <w:pPr>
        <w:pStyle w:val="Heading3"/>
      </w:pPr>
      <w:r>
        <w:t xml:space="preserve">5.3.2 PWA / Mobile App</w:t>
      </w:r>
    </w:p>
    <w:p>
      <w:pPr>
        <w:spacing w:after="160"/>
      </w:pPr>
      <w:r>
        <w:t xml:space="preserve">Convert Goxira to a Progressive Web App for install-to-homescreen on iOS and Android:</w:t>
      </w:r>
    </w:p>
    <w:p>
      <w:pPr>
        <w:pStyle w:val="ListParagraph"/>
        <w:numPr>
          <w:ilvl w:val="0"/>
          <w:numId w:val="2"/>
        </w:numPr>
        <w:spacing w:after="80"/>
      </w:pPr>
      <w:r>
        <w:t xml:space="preserve">Service worker for offline capability</w:t>
      </w:r>
    </w:p>
    <w:p>
      <w:pPr>
        <w:pStyle w:val="ListParagraph"/>
        <w:numPr>
          <w:ilvl w:val="0"/>
          <w:numId w:val="2"/>
        </w:numPr>
        <w:spacing w:after="80"/>
      </w:pPr>
      <w:r>
        <w:t xml:space="preserve">App manifest with mascot icon</w:t>
      </w:r>
    </w:p>
    <w:p>
      <w:pPr>
        <w:pStyle w:val="ListParagraph"/>
        <w:numPr>
          <w:ilvl w:val="0"/>
          <w:numId w:val="2"/>
        </w:numPr>
        <w:spacing w:after="80"/>
      </w:pPr>
      <w:r>
        <w:t xml:space="preserve">Offline tsumego (cache problem set locally for solving without internet)</w:t>
      </w:r>
    </w:p>
    <w:p>
      <w:pPr>
        <w:pStyle w:val="Heading3"/>
      </w:pPr>
      <w:r>
        <w:t xml:space="preserve">5.3.3 Accessibility</w:t>
      </w:r>
    </w:p>
    <w:p>
      <w:pPr>
        <w:pStyle w:val="ListParagraph"/>
        <w:numPr>
          <w:ilvl w:val="0"/>
          <w:numId w:val="2"/>
        </w:numPr>
        <w:spacing w:after="80"/>
      </w:pPr>
      <w:r>
        <w:t xml:space="preserve">Keyboard navigation for board interaction</w:t>
      </w:r>
    </w:p>
    <w:p>
      <w:pPr>
        <w:pStyle w:val="ListParagraph"/>
        <w:numPr>
          <w:ilvl w:val="0"/>
          <w:numId w:val="2"/>
        </w:numPr>
        <w:spacing w:after="80"/>
      </w:pPr>
      <w:r>
        <w:t xml:space="preserve">Screen reader support (ARIA labels for board state, stones, coordinates)</w:t>
      </w:r>
    </w:p>
    <w:p>
      <w:pPr>
        <w:pStyle w:val="ListParagraph"/>
        <w:numPr>
          <w:ilvl w:val="0"/>
          <w:numId w:val="2"/>
        </w:numPr>
        <w:spacing w:after="80"/>
      </w:pPr>
      <w:r>
        <w:t xml:space="preserve">High contrast mode</w:t>
      </w:r>
    </w:p>
    <w:p>
      <w:pPr>
        <w:pStyle w:val="ListParagraph"/>
        <w:numPr>
          <w:ilvl w:val="0"/>
          <w:numId w:val="2"/>
        </w:numPr>
        <w:spacing w:after="80"/>
      </w:pPr>
      <w:r>
        <w:t xml:space="preserve">Coordinate announcements for visually impaired players</w:t>
      </w:r>
    </w:p>
    <w:p>
      <w:pPr>
        <w:pStyle w:val="Heading3"/>
      </w:pPr>
      <w:r>
        <w:t xml:space="preserve">5.3.4 Internationalization</w:t>
      </w:r>
    </w:p>
    <w:p>
      <w:pPr>
        <w:spacing w:after="160"/>
      </w:pPr>
      <w:r>
        <w:t xml:space="preserve">Multi-language support, starting with the languages most common in the Go-playing world:</w:t>
      </w:r>
    </w:p>
    <w:p>
      <w:pPr>
        <w:pStyle w:val="ListParagraph"/>
        <w:numPr>
          <w:ilvl w:val="0"/>
          <w:numId w:val="2"/>
        </w:numPr>
        <w:spacing w:after="80"/>
      </w:pPr>
      <w:r>
        <w:t xml:space="preserve">UI string extraction into translation files</w:t>
      </w:r>
    </w:p>
    <w:p>
      <w:pPr>
        <w:pStyle w:val="ListParagraph"/>
        <w:numPr>
          <w:ilvl w:val="0"/>
          <w:numId w:val="2"/>
        </w:numPr>
        <w:spacing w:after="80"/>
      </w:pPr>
      <w:r>
        <w:t xml:space="preserve">Claude commentary language matching (instruct Claude to respond in the user’s language)</w:t>
      </w:r>
    </w:p>
    <w:p>
      <w:pPr>
        <w:pStyle w:val="ListParagraph"/>
        <w:numPr>
          <w:ilvl w:val="0"/>
          <w:numId w:val="2"/>
        </w:numPr>
        <w:spacing w:after="80"/>
      </w:pPr>
      <w:r>
        <w:t xml:space="preserve">Priority languages TBD based on user demographics</w:t>
      </w:r>
    </w:p>
    <w:p>
      <w:pPr>
        <w:pStyle w:val="Heading2"/>
      </w:pPr>
      <w:r>
        <w:t xml:space="preserve">5.4 P3 — Long-Term Vision (6–12+ Months)</w:t>
      </w:r>
    </w:p>
    <w:p>
      <w:pPr>
        <w:pStyle w:val="Heading3"/>
      </w:pPr>
      <w:r>
        <w:t xml:space="preserve">5.4.1 Multiplayer</w:t>
      </w:r>
    </w:p>
    <w:p>
      <w:pPr>
        <w:spacing w:after="160"/>
      </w:pPr>
      <w:r>
        <w:t xml:space="preserve">Human-vs-human play within Goxira. The differentiator vs. existing platforms (OGS, KGS) is not yet defined — this should only be built when there’s a clear answer to “why play here instead of OGS?” Possible angles:</w:t>
      </w:r>
    </w:p>
    <w:p>
      <w:pPr>
        <w:pStyle w:val="ListParagraph"/>
        <w:numPr>
          <w:ilvl w:val="0"/>
          <w:numId w:val="2"/>
        </w:numPr>
        <w:spacing w:after="80"/>
      </w:pPr>
      <w:r>
        <w:t xml:space="preserve">Teaching multiplayer: both players get AI commentary during/after the game</w:t>
      </w:r>
    </w:p>
    <w:p>
      <w:pPr>
        <w:pStyle w:val="ListParagraph"/>
        <w:numPr>
          <w:ilvl w:val="0"/>
          <w:numId w:val="2"/>
        </w:numPr>
        <w:spacing w:after="80"/>
      </w:pPr>
      <w:r>
        <w:t xml:space="preserve">Casual/friendly: play friends with Goxira’s nice UI, no competitive ladders</w:t>
      </w:r>
    </w:p>
    <w:p>
      <w:pPr>
        <w:pStyle w:val="ListParagraph"/>
        <w:numPr>
          <w:ilvl w:val="0"/>
          <w:numId w:val="2"/>
        </w:numPr>
        <w:spacing w:after="80"/>
      </w:pPr>
      <w:r>
        <w:t xml:space="preserve">Auto-reviewed matches: every game analyzed so both players learn</w:t>
      </w:r>
    </w:p>
    <w:p>
      <w:pPr>
        <w:spacing w:after="160"/>
      </w:pPr>
      <w:r>
        <w:t xml:space="preserve">Requires: WebSocket infrastructure, matchmaking, real-time board sync, spectating.</w:t>
      </w:r>
    </w:p>
    <w:p>
      <w:pPr>
        <w:pStyle w:val="Heading3"/>
      </w:pPr>
      <w:r>
        <w:t xml:space="preserve">5.4.2 Social Features</w:t>
      </w:r>
    </w:p>
    <w:p>
      <w:pPr>
        <w:pStyle w:val="ListParagraph"/>
        <w:numPr>
          <w:ilvl w:val="0"/>
          <w:numId w:val="2"/>
        </w:numPr>
        <w:spacing w:after="80"/>
      </w:pPr>
      <w:r>
        <w:t xml:space="preserve">Friends list and game invitations</w:t>
      </w:r>
    </w:p>
    <w:p>
      <w:pPr>
        <w:pStyle w:val="ListParagraph"/>
        <w:numPr>
          <w:ilvl w:val="0"/>
          <w:numId w:val="2"/>
        </w:numPr>
        <w:spacing w:after="80"/>
      </w:pPr>
      <w:r>
        <w:t xml:space="preserve">Shared game collections</w:t>
      </w:r>
    </w:p>
    <w:p>
      <w:pPr>
        <w:pStyle w:val="ListParagraph"/>
        <w:numPr>
          <w:ilvl w:val="0"/>
          <w:numId w:val="2"/>
        </w:numPr>
        <w:spacing w:after="80"/>
      </w:pPr>
      <w:r>
        <w:t xml:space="preserve">Challenge system</w:t>
      </w:r>
    </w:p>
    <w:p>
      <w:pPr>
        <w:pStyle w:val="Heading3"/>
      </w:pPr>
      <w:r>
        <w:t xml:space="preserve">5.4.3 Custom Interactive Lessons</w:t>
      </w:r>
    </w:p>
    <w:p>
      <w:pPr>
        <w:spacing w:after="160"/>
      </w:pPr>
      <w:r>
        <w:t xml:space="preserve">Build Goxira’s own animated/interactive micro-lessons for core Go concepts. These replace the curated external links (P1) with in-app experiences:</w:t>
      </w:r>
    </w:p>
    <w:p>
      <w:pPr>
        <w:pStyle w:val="ListParagraph"/>
        <w:numPr>
          <w:ilvl w:val="0"/>
          <w:numId w:val="2"/>
        </w:numPr>
        <w:spacing w:after="80"/>
      </w:pPr>
      <w:r>
        <w:t xml:space="preserve">Interactive board walkthroughs for concepts (captures, ladders, life and death)</w:t>
      </w:r>
    </w:p>
    <w:p>
      <w:pPr>
        <w:pStyle w:val="ListParagraph"/>
        <w:numPr>
          <w:ilvl w:val="0"/>
          <w:numId w:val="2"/>
        </w:numPr>
        <w:spacing w:after="80"/>
      </w:pPr>
      <w:r>
        <w:t xml:space="preserve">Animated sequences showing why a shape is good or bad</w:t>
      </w:r>
    </w:p>
    <w:p>
      <w:pPr>
        <w:pStyle w:val="ListParagraph"/>
        <w:numPr>
          <w:ilvl w:val="0"/>
          <w:numId w:val="2"/>
        </w:numPr>
        <w:spacing w:after="80"/>
      </w:pPr>
      <w:r>
        <w:t xml:space="preserve">Progressive curriculum from rules through intermediate strategy</w:t>
      </w:r>
    </w:p>
    <w:p>
      <w:pPr>
        <w:pStyle w:val="Heading1"/>
      </w:pPr>
      <w:r>
        <w:t xml:space="preserve">6. Commentary Voice Specification</w:t>
      </w:r>
    </w:p>
    <w:p>
      <w:pPr>
        <w:spacing w:after="160"/>
      </w:pPr>
      <w:r>
        <w:t xml:space="preserve">The Goxira voice across all AI-generated content (game review, problem hints, live commentary) is modeled on a sensei at a Go club. The following rules define this voice:</w:t>
      </w:r>
    </w:p>
    <w:p>
      <w:pPr>
        <w:pStyle w:val="Heading2"/>
      </w:pPr>
      <w:r>
        <w:t xml:space="preserve">6.1 Voice Rules</w:t>
      </w:r>
    </w:p>
    <w:p>
      <w:pPr>
        <w:pStyle w:val="ListParagraph"/>
        <w:numPr>
          <w:ilvl w:val="0"/>
          <w:numId w:val="2"/>
        </w:numPr>
        <w:spacing w:after="80"/>
      </w:pPr>
      <w:r>
        <w:rPr>
          <w:b/>
          <w:bCs/>
        </w:rPr>
        <w:t xml:space="preserve">Direct and specific. </w:t>
      </w:r>
      <w:r>
        <w:t xml:space="preserve">Every sentence references a concrete position, move, or concept. “You played on the second line too early. In the opening, the third and fourth lines balance territory and influence.”</w:t>
      </w:r>
    </w:p>
    <w:p>
      <w:pPr>
        <w:pStyle w:val="ListParagraph"/>
        <w:numPr>
          <w:ilvl w:val="0"/>
          <w:numId w:val="2"/>
        </w:numPr>
        <w:spacing w:after="80"/>
      </w:pPr>
      <w:r>
        <w:rPr>
          <w:b/>
          <w:bCs/>
        </w:rPr>
        <w:t xml:space="preserve">Warm but not soft. </w:t>
      </w:r>
      <w:r>
        <w:t xml:space="preserve">Acknowledges effort without empty praise. Never “Great job!” without a reason. “That’s a solid connection — it protects the cutting point at E5.”</w:t>
      </w:r>
    </w:p>
    <w:p>
      <w:pPr>
        <w:pStyle w:val="ListParagraph"/>
        <w:numPr>
          <w:ilvl w:val="0"/>
          <w:numId w:val="2"/>
        </w:numPr>
        <w:spacing w:after="80"/>
      </w:pPr>
      <w:r>
        <w:rPr>
          <w:b/>
          <w:bCs/>
        </w:rPr>
        <w:t xml:space="preserve">One concept at a time </w:t>
      </w:r>
      <w:r>
        <w:t xml:space="preserve">(for beginners). Don’t explain influence, territory, and shape in the same breath.</w:t>
      </w:r>
    </w:p>
    <w:p>
      <w:pPr>
        <w:pStyle w:val="ListParagraph"/>
        <w:numPr>
          <w:ilvl w:val="0"/>
          <w:numId w:val="2"/>
        </w:numPr>
        <w:spacing w:after="80"/>
      </w:pPr>
      <w:r>
        <w:rPr>
          <w:b/>
          <w:bCs/>
        </w:rPr>
        <w:t xml:space="preserve">Grounded. </w:t>
      </w:r>
      <w:r>
        <w:t xml:space="preserve">Every evaluative claim must trace back to KataGo data. If KataGo data is absent, say so.</w:t>
      </w:r>
    </w:p>
    <w:p>
      <w:pPr>
        <w:pStyle w:val="ListParagraph"/>
        <w:numPr>
          <w:ilvl w:val="0"/>
          <w:numId w:val="2"/>
        </w:numPr>
        <w:spacing w:after="80"/>
      </w:pPr>
      <w:r>
        <w:rPr>
          <w:b/>
          <w:bCs/>
        </w:rPr>
        <w:t xml:space="preserve">Concise. </w:t>
      </w:r>
      <w:r>
        <w:t xml:space="preserve">Game review comments are 1–2 sentences per key moment. Overall summary is 2–3 sentences. Longer is not better.</w:t>
      </w:r>
    </w:p>
    <w:p>
      <w:pPr>
        <w:pStyle w:val="Heading2"/>
      </w:pPr>
      <w:r>
        <w:t xml:space="preserve">6.2 Rank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Rank Range</w:t>
            </w:r>
          </w:p>
        </w:tc>
        <w:tc>
          <w:tcPr>
            <w:tcW w:type="dxa" w:w="25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Language Level</w:t>
            </w:r>
          </w:p>
        </w:tc>
        <w:tc>
          <w:tcPr>
            <w:tcW w:type="dxa" w:w="48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Focus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25k–15k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 concrete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happened tactically. Captures, atari, life/death.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15k–5k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Strategic reasoning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Why a move was directionally wrong. Shape, influence, territory balance.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5k–1d+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strategic discussion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Aji, thickness, direction of play, reading depth.</w:t>
            </w:r>
          </w:p>
        </w:tc>
      </w:tr>
    </w:tbl>
    <w:p>
      <w:pPr>
        <w:spacing w:after="200"/>
      </w:pPr>
    </w:p>
    <w:p>
      <w:pPr>
        <w:pStyle w:val="Heading2"/>
      </w:pPr>
      <w:r>
        <w:t xml:space="preserve">6.3 Anti-Patterns (Never Do These)</w:t>
      </w:r>
    </w:p>
    <w:p>
      <w:pPr>
        <w:pStyle w:val="ListParagraph"/>
        <w:numPr>
          <w:ilvl w:val="0"/>
          <w:numId w:val="2"/>
        </w:numPr>
        <w:spacing w:after="80"/>
      </w:pPr>
      <w:r>
        <w:t xml:space="preserve">Generic encouragement without a specific observation</w:t>
      </w:r>
    </w:p>
    <w:p>
      <w:pPr>
        <w:pStyle w:val="ListParagraph"/>
        <w:numPr>
          <w:ilvl w:val="0"/>
          <w:numId w:val="2"/>
        </w:numPr>
        <w:spacing w:after="80"/>
      </w:pPr>
      <w:r>
        <w:t xml:space="preserve">Inventing variations or sequences not in KataGo data</w:t>
      </w:r>
    </w:p>
    <w:p>
      <w:pPr>
        <w:pStyle w:val="ListParagraph"/>
        <w:numPr>
          <w:ilvl w:val="0"/>
          <w:numId w:val="2"/>
        </w:numPr>
        <w:spacing w:after="80"/>
      </w:pPr>
      <w:r>
        <w:t xml:space="preserve">Claiming confidence about a position without engine backing</w:t>
      </w:r>
    </w:p>
    <w:p>
      <w:pPr>
        <w:pStyle w:val="ListParagraph"/>
        <w:numPr>
          <w:ilvl w:val="0"/>
          <w:numId w:val="2"/>
        </w:numPr>
        <w:spacing w:after="80"/>
      </w:pPr>
      <w:r>
        <w:t xml:space="preserve">Multi-paragraph explanations when one sentence suffices</w:t>
      </w:r>
    </w:p>
    <w:p>
      <w:pPr>
        <w:pStyle w:val="ListParagraph"/>
        <w:numPr>
          <w:ilvl w:val="0"/>
          <w:numId w:val="2"/>
        </w:numPr>
        <w:spacing w:after="80"/>
      </w:pPr>
      <w:r>
        <w:t xml:space="preserve">Using Go jargon above the student’s rank level without definition</w:t>
      </w:r>
    </w:p>
    <w:p>
      <w:pPr>
        <w:pStyle w:val="Heading1"/>
      </w:pPr>
      <w:r>
        <w:t xml:space="preserve">7. Business Model and Sustainability</w:t>
      </w:r>
    </w:p>
    <w:p>
      <w:pPr>
        <w:pStyle w:val="Heading2"/>
      </w:pPr>
      <w:r>
        <w:t xml:space="preserve">7.1 Pricing Philosophy</w:t>
      </w:r>
    </w:p>
    <w:p>
      <w:pPr>
        <w:spacing w:after="160"/>
      </w:pPr>
      <w:r>
        <w:t xml:space="preserve">The complete pedagogical experience is permanently free. Paid features are strictly cosmetic and non-essential:</w:t>
      </w:r>
    </w:p>
    <w:p>
      <w:pPr>
        <w:pStyle w:val="ListParagraph"/>
        <w:numPr>
          <w:ilvl w:val="0"/>
          <w:numId w:val="2"/>
        </w:numPr>
        <w:spacing w:after="80"/>
      </w:pPr>
      <w:r>
        <w:t xml:space="preserve">Mascot style variants (8-bit, chibi, golden, seasonal skins)</w:t>
      </w:r>
    </w:p>
    <w:p>
      <w:pPr>
        <w:pStyle w:val="ListParagraph"/>
        <w:numPr>
          <w:ilvl w:val="0"/>
          <w:numId w:val="2"/>
        </w:numPr>
        <w:spacing w:after="80"/>
      </w:pPr>
      <w:r>
        <w:t xml:space="preserve">Board themes and stone styles</w:t>
      </w:r>
    </w:p>
    <w:p>
      <w:pPr>
        <w:pStyle w:val="ListParagraph"/>
        <w:numPr>
          <w:ilvl w:val="0"/>
          <w:numId w:val="2"/>
        </w:numPr>
        <w:spacing w:after="80"/>
      </w:pPr>
      <w:r>
        <w:t xml:space="preserve">Profile customization</w:t>
      </w:r>
    </w:p>
    <w:p>
      <w:pPr>
        <w:pStyle w:val="Heading2"/>
      </w:pPr>
      <w:r>
        <w:t xml:space="preserve">7.2 Funding Path</w:t>
      </w:r>
    </w:p>
    <w:p>
      <w:pPr>
        <w:spacing w:after="160"/>
      </w:pPr>
      <w:r>
        <w:t xml:space="preserve">Primary funding strategy is grants and institutional support:</w:t>
      </w:r>
    </w:p>
    <w:p>
      <w:pPr>
        <w:pStyle w:val="ListParagraph"/>
        <w:numPr>
          <w:ilvl w:val="0"/>
          <w:numId w:val="2"/>
        </w:numPr>
        <w:spacing w:after="80"/>
      </w:pPr>
      <w:r>
        <w:rPr>
          <w:b/>
          <w:bCs/>
        </w:rPr>
        <w:t xml:space="preserve">Go federations: </w:t>
      </w:r>
      <w:r>
        <w:t xml:space="preserve">National and international Go organizations that fund educational tools</w:t>
      </w:r>
    </w:p>
    <w:p>
      <w:pPr>
        <w:pStyle w:val="ListParagraph"/>
        <w:numPr>
          <w:ilvl w:val="0"/>
          <w:numId w:val="2"/>
        </w:numPr>
        <w:spacing w:after="80"/>
      </w:pPr>
      <w:r>
        <w:rPr>
          <w:b/>
          <w:bCs/>
        </w:rPr>
        <w:t xml:space="preserve">Educational nonprofits: </w:t>
      </w:r>
      <w:r>
        <w:t xml:space="preserve">Organizations supporting STEM/logic/strategy education</w:t>
      </w:r>
    </w:p>
    <w:p>
      <w:pPr>
        <w:pStyle w:val="ListParagraph"/>
        <w:numPr>
          <w:ilvl w:val="0"/>
          <w:numId w:val="2"/>
        </w:numPr>
        <w:spacing w:after="80"/>
      </w:pPr>
      <w:r>
        <w:rPr>
          <w:b/>
          <w:bCs/>
        </w:rPr>
        <w:t xml:space="preserve">Donations: </w:t>
      </w:r>
      <w:r>
        <w:t xml:space="preserve">Open-source sustainability model as a secondary path</w:t>
      </w:r>
    </w:p>
    <w:p>
      <w:pPr>
        <w:spacing w:after="160"/>
      </w:pPr>
      <w:r>
        <w:t xml:space="preserve">Current infrastructure cost is under $20/month (Hetzner VPS + Anthropic API + Supabase free tier). This scales linearly with users, making the grant case straightforward: cost per user is demonstrably low.</w:t>
      </w:r>
    </w:p>
    <w:p>
      <w:pPr>
        <w:pStyle w:val="Heading2"/>
      </w:pPr>
      <w:r>
        <w:t xml:space="preserve">7.3 Realistic Success Metrics</w:t>
      </w:r>
    </w:p>
    <w:p>
      <w:pPr>
        <w:spacing w:after="160"/>
      </w:pPr>
      <w:r>
        <w:t xml:space="preserve">Realistic success at the 12-month horizon means:</w:t>
      </w:r>
    </w:p>
    <w:p>
      <w:pPr>
        <w:pStyle w:val="ListParagraph"/>
        <w:numPr>
          <w:ilvl w:val="0"/>
          <w:numId w:val="2"/>
        </w:numPr>
        <w:spacing w:after="80"/>
      </w:pPr>
      <w:r>
        <w:t xml:space="preserve">A few thousand to low tens of thousands of active users</w:t>
      </w:r>
    </w:p>
    <w:p>
      <w:pPr>
        <w:pStyle w:val="ListParagraph"/>
        <w:numPr>
          <w:ilvl w:val="0"/>
          <w:numId w:val="2"/>
        </w:numPr>
        <w:spacing w:after="80"/>
      </w:pPr>
      <w:r>
        <w:t xml:space="preserve">Infrastructure costs covered by grants or institutional funding</w:t>
      </w:r>
    </w:p>
    <w:p>
      <w:pPr>
        <w:pStyle w:val="ListParagraph"/>
        <w:numPr>
          <w:ilvl w:val="0"/>
          <w:numId w:val="2"/>
        </w:numPr>
        <w:spacing w:after="80"/>
      </w:pPr>
      <w:r>
        <w:t xml:space="preserve">At least one Go federation or educational institution actively using or endorsing Goxira</w:t>
      </w:r>
    </w:p>
    <w:p>
      <w:pPr>
        <w:pStyle w:val="ListParagraph"/>
        <w:numPr>
          <w:ilvl w:val="0"/>
          <w:numId w:val="2"/>
        </w:numPr>
        <w:spacing w:after="80"/>
      </w:pPr>
      <w:r>
        <w:t xml:space="preserve">Measurable student outcomes: users who started as beginners reaching 15–10 kyu</w:t>
      </w:r>
    </w:p>
    <w:p>
      <w:pPr>
        <w:spacing w:after="160"/>
      </w:pPr>
      <w:r>
        <w:t xml:space="preserve">The larger strategic upside is Goxira as a proof-of-concept for an AI-native teaching platform architecture transferable to larger markets (chess, language learning, music).</w:t>
      </w:r>
    </w:p>
    <w:p>
      <w:pPr>
        <w:pStyle w:val="Heading1"/>
      </w:pPr>
      <w:r>
        <w:t xml:space="preserve">8. Known Technical Debt</w:t>
      </w:r>
    </w:p>
    <w:p>
      <w:pPr>
        <w:pStyle w:val="ListParagraph"/>
        <w:numPr>
          <w:ilvl w:val="0"/>
          <w:numId w:val="2"/>
        </w:numPr>
        <w:spacing w:after="80"/>
      </w:pPr>
      <w:r>
        <w:rPr>
          <w:b/>
          <w:bCs/>
        </w:rPr>
        <w:t xml:space="preserve">supabase-schema.sql incomplete: </w:t>
      </w:r>
      <w:r>
        <w:t xml:space="preserve">The tsumego_problems table and several ALTER TABLE migrations are documented in comments but not in the base schema. Self-hosters would fail to set up the problem library.</w:t>
      </w:r>
    </w:p>
    <w:p>
      <w:pPr>
        <w:pStyle w:val="ListParagraph"/>
        <w:numPr>
          <w:ilvl w:val="0"/>
          <w:numId w:val="2"/>
        </w:numPr>
        <w:spacing w:after="80"/>
      </w:pPr>
      <w:r>
        <w:rPr>
          <w:b/>
          <w:bCs/>
        </w:rPr>
        <w:t xml:space="preserve">Streak tracking stubbed: </w:t>
      </w:r>
      <w:r>
        <w:t xml:space="preserve">Home dashboard shows “—” for streak. Data exists in problem_attempts.created_at but isn’t wired up.</w:t>
      </w:r>
    </w:p>
    <w:p>
      <w:pPr>
        <w:pStyle w:val="ListParagraph"/>
        <w:numPr>
          <w:ilvl w:val="0"/>
          <w:numId w:val="2"/>
        </w:numPr>
        <w:spacing w:after="80"/>
      </w:pPr>
      <w:r>
        <w:rPr>
          <w:b/>
          <w:bCs/>
        </w:rPr>
        <w:t xml:space="preserve">evaluate-move.js fabrication: </w:t>
      </w:r>
      <w:r>
        <w:t xml:space="preserve">Known issue where this function could fabricate tactical sequences. Needs to be fully replaced with KataGo-grounded output.</w:t>
      </w:r>
    </w:p>
    <w:p>
      <w:pPr>
        <w:pStyle w:val="ListParagraph"/>
        <w:numPr>
          <w:ilvl w:val="0"/>
          <w:numId w:val="2"/>
        </w:numPr>
        <w:spacing w:after="80"/>
      </w:pPr>
      <w:r>
        <w:rPr>
          <w:b/>
          <w:bCs/>
        </w:rPr>
        <w:t xml:space="preserve">Rank persistence: </w:t>
      </w:r>
      <w:r>
        <w:t xml:space="preserve">Investigation pending on whether updateRank and logAttempt write to Supabase or only local state.</w:t>
      </w:r>
    </w:p>
    <w:p>
      <w:pPr>
        <w:pStyle w:val="ListParagraph"/>
        <w:numPr>
          <w:ilvl w:val="0"/>
          <w:numId w:val="2"/>
        </w:numPr>
        <w:spacing w:after="80"/>
      </w:pPr>
      <w:r>
        <w:rPr>
          <w:b/>
          <w:bCs/>
        </w:rPr>
        <w:t xml:space="preserve">CLAUDE.md / PLAN.md divergence: </w:t>
      </w:r>
      <w:r>
        <w:t xml:space="preserve">These project context files need to be reconciled and kept as a single source of truth.</w:t>
      </w:r>
    </w:p>
    <w:p>
      <w:pPr>
        <w:pStyle w:val="Heading1"/>
      </w:pPr>
      <w:r>
        <w:t xml:space="preserve">9. Development Workflow</w:t>
      </w:r>
    </w:p>
    <w:p>
      <w:pPr>
        <w:pStyle w:val="ListParagraph"/>
        <w:numPr>
          <w:ilvl w:val="0"/>
          <w:numId w:val="2"/>
        </w:numPr>
        <w:spacing w:after="80"/>
      </w:pPr>
      <w:r>
        <w:rPr>
          <w:b/>
          <w:bCs/>
        </w:rPr>
        <w:t xml:space="preserve">This chat (Claude.ai): </w:t>
      </w:r>
      <w:r>
        <w:t xml:space="preserve">Architecture decisions, planning, requirements, design review.</w:t>
      </w:r>
    </w:p>
    <w:p>
      <w:pPr>
        <w:pStyle w:val="ListParagraph"/>
        <w:numPr>
          <w:ilvl w:val="0"/>
          <w:numId w:val="2"/>
        </w:numPr>
        <w:spacing w:after="80"/>
      </w:pPr>
      <w:r>
        <w:rPr>
          <w:b/>
          <w:bCs/>
        </w:rPr>
        <w:t xml:space="preserve">Claude Code CLI: </w:t>
      </w:r>
      <w:r>
        <w:t xml:space="preserve">All implementation work. Push directly to main branch.</w:t>
      </w:r>
    </w:p>
    <w:p>
      <w:pPr>
        <w:pStyle w:val="ListParagraph"/>
        <w:numPr>
          <w:ilvl w:val="0"/>
          <w:numId w:val="2"/>
        </w:numPr>
        <w:spacing w:after="80"/>
      </w:pPr>
      <w:r>
        <w:rPr>
          <w:b/>
          <w:bCs/>
        </w:rPr>
        <w:t xml:space="preserve">CLAUDE.md: </w:t>
      </w:r>
      <w:r>
        <w:t xml:space="preserve">Source of truth for project context across Claude Code sessions.</w:t>
      </w:r>
    </w:p>
    <w:p>
      <w:pPr>
        <w:pStyle w:val="ListParagraph"/>
        <w:numPr>
          <w:ilvl w:val="0"/>
          <w:numId w:val="2"/>
        </w:numPr>
        <w:spacing w:after="80"/>
      </w:pPr>
      <w:r>
        <w:rPr>
          <w:b/>
          <w:bCs/>
        </w:rPr>
        <w:t xml:space="preserve">GitHub: </w:t>
      </w:r>
      <w:r>
        <w:t xml:space="preserve">Version control. Repo: github.com/Zakkenroller/goxira</w:t>
      </w:r>
    </w:p>
    <w:p>
      <w:pPr>
        <w:pStyle w:val="ListParagraph"/>
        <w:numPr>
          <w:ilvl w:val="0"/>
          <w:numId w:val="2"/>
        </w:numPr>
        <w:spacing w:after="80"/>
      </w:pPr>
      <w:r>
        <w:rPr>
          <w:b/>
          <w:bCs/>
        </w:rPr>
        <w:t xml:space="preserve">Supabase SQL Editor: </w:t>
      </w:r>
      <w:r>
        <w:t xml:space="preserve">Database schema changes.</w:t>
      </w:r>
    </w:p>
    <w:p>
      <w:pPr>
        <w:pStyle w:val="ListParagraph"/>
        <w:numPr>
          <w:ilvl w:val="0"/>
          <w:numId w:val="2"/>
        </w:numPr>
        <w:spacing w:after="80"/>
      </w:pPr>
      <w:r>
        <w:rPr>
          <w:b/>
          <w:bCs/>
        </w:rPr>
        <w:t xml:space="preserve">PowerShell + SSH: </w:t>
      </w:r>
      <w:r>
        <w:t xml:space="preserve">Hetzner VPS access for KataGo service.</w:t>
      </w:r>
    </w:p>
    <w:p>
      <w:pPr>
        <w:pStyle w:val="Heading1"/>
      </w:pPr>
      <w:r>
        <w:t xml:space="preserve">10. Summary of Priorities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c>
          <w:tcPr>
            <w:tcW w:type="dxa" w:w="9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28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What</w:t>
            </w:r>
          </w:p>
        </w:tc>
        <w:tc>
          <w:tcPr>
            <w:tcW w:type="dxa" w:w="36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Why</w:t>
            </w:r>
          </w:p>
        </w:tc>
        <w:tc>
          <w:tcPr>
            <w:tcW w:type="dxa" w:w="20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r>
              <w:rPr>
                <w:rFonts w:ascii="Arial" w:cs="Arial" w:eastAsia="Arial" w:hAnsi="Arial"/>
                <w:b/>
                <w:bCs/>
                <w:sz w:val="20"/>
                <w:szCs w:val="20"/>
              </w:rPr>
              <w:t xml:space="preserve">Timeline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 game review pipeline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#1 user-facing problem. Review hangs, times out, or fails.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Tighten commentary prompts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Commentary must be concrete, not filler.</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 UX fixes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Touch interaction bugs on primary platform.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Mascot integration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Gives the app personality and emotional warmth.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Rethink joseki as opening principles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page confuses beginners.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Curated learning resources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Game review feels thin without follow-up material.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rules tutorial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Support absolute beginners without forcing it on others.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Dark mode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expectation; easy with existing CSS architecture.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Wisdom layer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vision element. Curate and integrate contemplative content.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PWA / offline mode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 install, offline tsumego.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Accessibility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Keyboard nav, screen readers, high contrast.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Internationalization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Multi-language UI and commentary.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Multiplayer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Human-vs-human with AI teaching. Differentiator TBD.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6–12+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features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Friends, shared games, challenges.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6–12+ months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interactive lessons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Replace curated links with in-app experiences.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6–12+ months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41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41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35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2026-03-28T01:17:34.945Z</dcterms:created>
  <dcterms:modified xsi:type="dcterms:W3CDTF">2026-03-28T01:17:34.946Z</dcterms:modified>
</cp:coreProperties>
</file>

<file path=docProps/custom.xml><?xml version="1.0" encoding="utf-8"?>
<Properties xmlns="http://schemas.openxmlformats.org/officeDocument/2006/custom-properties" xmlns:vt="http://schemas.openxmlformats.org/officeDocument/2006/docPropsVTypes"/>
</file>