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Lexend" w:cs="Lexend" w:eastAsia="Lexend" w:hAnsi="Lexend"/>
          <w:b w:val="1"/>
          <w:bCs w:val="1"/>
          <w:sz w:val="56"/>
          <w:szCs w:val="5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56"/>
          <w:szCs w:val="56"/>
          <w:rtl w:val="0"/>
        </w:rPr>
        <w:t xml:space="preserve">HEROQUEST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Come si gioca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Quattro persone esplorano il labirinto cercando di portare a termine una missione che viene data loro dalla quinta persona giocante. Il tutto combattendo mostri, evitando trappole e arraffando tesori.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br w:type="textWrapping"/>
        <w:t xml:space="preserve">Cambiamenti dall'originale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La mappa è fatta di lego, così le pedine non si spostano quando le si tocca e tutto è riconoscibile al tatto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Le stanze hanno gli angoli segnalati con pezzi quadrati e le porte sono più alte dei muri, così basta toccare velocemente la mappa per farsi un'idea dell'ambiente e trovare subito gli elementi importanti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Le miniature sono più semplici e molto diverse tra loro, così  è facile riconoscerle al tatto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I dadi del combattimento sono stati ingranditi e le facce sono in rilievo, così chi li tocca capisce subito il risultato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Sui mobili ci sono lettere in braille che indicano cosa sono, così chi non vede li può distinguere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Le carte vanno dritte al punto e sono scritte più in grande, così sono più facili da leggere per chi vede poco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Le carte si possono pescare anche con un'applicazione, così anche chi non vede o fa fatica a usare le mani può prenderle e leggerle facilmente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Il regolamento è stato riscritto in modo più semplice, così è più facile capirlo per chiunque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