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Lexend" w:cs="Lexend" w:eastAsia="Lexend" w:hAnsi="Lexend"/>
          <w:b w:val="1"/>
          <w:bCs w:val="1"/>
          <w:sz w:val="56"/>
          <w:szCs w:val="5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56"/>
          <w:szCs w:val="56"/>
          <w:rtl w:val="0"/>
        </w:rPr>
        <w:t xml:space="preserve">SANTORINI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Come si gioca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Lo scopo del gioco è essere la prima persona a portare un lavoratore al terzo piano di un palazzo. I lavoratori sono le piccole pedine triangolari, quadrate e rotonde, mentre i palazzi si costruiscono impilando le altre forme geometriche presenti nella scatola: quadrati alla base, ottagoni al secondo piano, cerchi al terzo piano e cupole come tetti.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br w:type="textWrapping"/>
        <w:t xml:space="preserve">Cambiamenti dall'originale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I palazzi e i lavoratori si incastrano sulla mappa, così si possono toccare senza che si spostino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Le forme dei palazzi sono state semplificate, così al tatto è tutto più chiaro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Lexend" w:cs="Lexend" w:eastAsia="Lexend" w:hAnsi="Lexend"/>
          <w:sz w:val="28"/>
          <w:szCs w:val="28"/>
          <w:u w:val="none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Il regolamento è stato riscritto in modo più semplice, così è più facile capirlo per chiunque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