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Times New Roman" w:cs="Times New Roman" w:eastAsia="Times New Roman" w:hAnsi="Times New Roman"/>
          <w:b/>
          <w:bCs/>
          <w:color w:val="94A3B8"/>
          <w:sz w:val="28"/>
          <w:szCs w:val="28"/>
        </w:rPr>
        <w:t xml:space="preserve">EMBAFINANS</w:t>
      </w:r>
    </w:p>
    <w:p>
      <w:pPr>
        <w:spacing w:after="100"/>
        <w:jc w:val="center"/>
      </w:pPr>
      <w:r>
        <w:rPr>
          <w:rFonts w:ascii="Times New Roman" w:cs="Times New Roman" w:eastAsia="Times New Roman" w:hAnsi="Times New Roman"/>
          <w:color w:val="64748B"/>
          <w:sz w:val="22"/>
          <w:szCs w:val="22"/>
        </w:rPr>
        <w:t xml:space="preserve">LOAN WORKBENCH (LW)</w:t>
      </w:r>
    </w:p>
    <w:p>
      <w:pPr>
        <w:spacing w:before="600"/>
      </w:pPr>
    </w:p>
    <w:p>
      <w:pPr>
        <w:spacing w:after="300"/>
        <w:jc w:val="center"/>
      </w:pPr>
      <w:r>
        <w:rPr>
          <w:rFonts w:ascii="Times New Roman" w:cs="Times New Roman" w:eastAsia="Times New Roman" w:hAnsi="Times New Roman"/>
          <w:b/>
          <w:bCs/>
          <w:color w:val="020617"/>
          <w:sz w:val="56"/>
          <w:szCs w:val="56"/>
        </w:rPr>
        <w:t xml:space="preserve">RCASH Nağd Kredit Prosesləri</w:t>
      </w:r>
    </w:p>
    <w:p>
      <w:pPr>
        <w:spacing w:after="200"/>
        <w:jc w:val="center"/>
      </w:pPr>
      <w:r>
        <w:rPr>
          <w:rFonts w:ascii="Times New Roman" w:cs="Times New Roman" w:eastAsia="Times New Roman" w:hAnsi="Times New Roman"/>
          <w:color w:val="64748B"/>
          <w:sz w:val="28"/>
          <w:szCs w:val="28"/>
        </w:rPr>
        <w:t xml:space="preserve">Sistemdə Addım-Addım Kredit Həyat Dövrünün İzahı</w:t>
      </w:r>
    </w:p>
    <w:p>
      <w:pPr>
        <w:spacing w:before="2000"/>
      </w:pPr>
    </w:p>
    <w:p>
      <w:pPr>
        <w:spacing w:after="100"/>
        <w:jc w:val="center"/>
      </w:pPr>
      <w:r>
        <w:rPr>
          <w:rFonts w:ascii="Calibri" w:cs="Calibri" w:eastAsia="Calibri" w:hAnsi="Calibri"/>
          <w:color w:val="94A3B8"/>
          <w:sz w:val="22"/>
          <w:szCs w:val="22"/>
        </w:rPr>
        <w:t xml:space="preserve">Hazırlanma Tarixi: 2026</w:t>
      </w:r>
    </w:p>
    <w:p>
      <w:pPr>
        <w:jc w:val="center"/>
      </w:pPr>
      <w:r>
        <w:rPr>
          <w:rFonts w:ascii="Calibri" w:cs="Calibri" w:eastAsia="Calibri" w:hAnsi="Calibri"/>
          <w:color w:val="94A3B8"/>
          <w:sz w:val="22"/>
          <w:szCs w:val="22"/>
        </w:rPr>
        <w:t xml:space="preserve">Sənəd Növü: Daxili Texniki Sənəd</w:t>
      </w:r>
    </w:p>
    <w:p>
      <w:pPr>
        <w:sectPr>
          <w:headerReference w:type="default" r:id="rId7"/>
          <w:footerReference w:type="default" r:id="rId8"/>
          <w:pgSz w:w="11906" w:h="16838" w:orient="portrait"/>
          <w:pgMar w:top="0" w:right="0" w:bottom="0" w:left="0" w:header="708" w:footer="708" w:gutter="0"/>
          <w:pgNumType/>
          <w:titlePg/>
          <w:docGrid w:linePitch="360"/>
        </w:sectPr>
      </w:pPr>
    </w:p>
    <w:p>
      <w:pPr>
        <w:spacing w:after="300"/>
      </w:pPr>
      <w:r>
        <w:rPr>
          <w:rFonts w:ascii="Times New Roman" w:cs="Times New Roman" w:eastAsia="Times New Roman" w:hAnsi="Times New Roman"/>
          <w:b/>
          <w:bCs/>
          <w:color w:val="020617"/>
          <w:sz w:val="36"/>
          <w:szCs w:val="36"/>
        </w:rPr>
        <w:t xml:space="preserve">Mündəricat</w:t>
      </w:r>
    </w:p>
    <w:sdt>
      <w:sdtPr>
        <w:alias w:val="Mündəricat"/>
      </w:sdtPr>
      <w:sdtContent>
        <w:p>
          <w:r>
            <w:fldChar w:fldCharType="begin" w:dirty="true"/>
            <w:instrText xml:space="preserve">TOC \h \o "1-3"</w:instrText>
            <w:fldChar w:fldCharType="separate"/>
          </w:r>
        </w:p>
        <w:p>
          <w:pPr>
            <w:pStyle w:val="9"/>
            <w:tabs>
              <w:tab w:val="right" w:leader="dot" w:pos="9026"/>
            </w:tabs>
          </w:pPr>
          <w:r>
            <w:t>1. Giriş</w:t>
          </w:r>
          <w:r>
            <w:tab/>
          </w:r>
          <w:r>
            <w:t>3</w:t>
          </w:r>
        </w:p>
        <w:p>
          <w:pPr>
            <w:pStyle w:val="11"/>
            <w:ind w:left="360"/>
            <w:tabs>
              <w:tab w:val="right" w:leader="dot" w:pos="9026"/>
            </w:tabs>
          </w:pPr>
          <w:r>
            <w:t>1.1 LW Sisteminin Texniki Arxitekturası</w:t>
          </w:r>
          <w:r>
            <w:tab/>
          </w:r>
          <w:r>
            <w:t>3</w:t>
          </w:r>
        </w:p>
        <w:p>
          <w:pPr>
            <w:pStyle w:val="11"/>
            <w:ind w:left="360"/>
            <w:tabs>
              <w:tab w:val="right" w:leader="dot" w:pos="9026"/>
            </w:tabs>
          </w:pPr>
          <w:r>
            <w:t>1.2 Kredit Prosesinin Ümumi Görünüşü</w:t>
          </w:r>
          <w:r>
            <w:tab/>
          </w:r>
          <w:r>
            <w:t>4</w:t>
          </w:r>
        </w:p>
        <w:p>
          <w:pPr>
            <w:pStyle w:val="9"/>
            <w:tabs>
              <w:tab w:val="right" w:leader="dot" w:pos="9026"/>
            </w:tabs>
          </w:pPr>
          <w:r>
            <w:t>2. Kredit Prosesinə Başlanması</w:t>
          </w:r>
          <w:r>
            <w:tab/>
          </w:r>
          <w:r>
            <w:t>5</w:t>
          </w:r>
        </w:p>
        <w:p>
          <w:pPr>
            <w:pStyle w:val="11"/>
            <w:ind w:left="360"/>
            <w:tabs>
              <w:tab w:val="right" w:leader="dot" w:pos="9026"/>
            </w:tabs>
          </w:pPr>
          <w:r>
            <w:t>2.1 Filialın Seçilməsi</w:t>
          </w:r>
          <w:r>
            <w:tab/>
          </w:r>
          <w:r>
            <w:t>5</w:t>
          </w:r>
        </w:p>
        <w:p>
          <w:pPr>
            <w:pStyle w:val="11"/>
            <w:ind w:left="360"/>
            <w:tabs>
              <w:tab w:val="right" w:leader="dot" w:pos="9026"/>
            </w:tabs>
          </w:pPr>
          <w:r>
            <w:t>2.2 OTP Verifikasiyası</w:t>
          </w:r>
          <w:r>
            <w:tab/>
          </w:r>
          <w:r>
            <w:t>5</w:t>
          </w:r>
        </w:p>
        <w:p>
          <w:pPr>
            <w:pStyle w:val="11"/>
            <w:ind w:left="360"/>
            <w:tabs>
              <w:tab w:val="right" w:leader="dot" w:pos="9026"/>
            </w:tabs>
          </w:pPr>
          <w:r>
            <w:t>2.3 Müştəri PIN-inin Daxil Edilməsi</w:t>
          </w:r>
          <w:r>
            <w:tab/>
          </w:r>
          <w:r>
            <w:t>6</w:t>
          </w:r>
        </w:p>
        <w:p>
          <w:pPr>
            <w:pStyle w:val="11"/>
            <w:ind w:left="360"/>
            <w:tabs>
              <w:tab w:val="right" w:leader="dot" w:pos="9026"/>
            </w:tabs>
          </w:pPr>
          <w:r>
            <w:t>2.4 Asanfinance ilə Müştəri Məlumatlarının Alınması</w:t>
          </w:r>
          <w:r>
            <w:tab/>
          </w:r>
          <w:r>
            <w:t>7</w:t>
          </w:r>
        </w:p>
        <w:p>
          <w:pPr>
            <w:pStyle w:val="11"/>
            <w:ind w:left="360"/>
            <w:tabs>
              <w:tab w:val="right" w:leader="dot" w:pos="9026"/>
            </w:tabs>
          </w:pPr>
          <w:r>
            <w:t>2.5 Yeni Müştərinin Yaradılması</w:t>
          </w:r>
          <w:r>
            <w:tab/>
          </w:r>
          <w:r>
            <w:t>8</w:t>
          </w:r>
        </w:p>
        <w:p>
          <w:pPr>
            <w:pStyle w:val="11"/>
            <w:ind w:left="360"/>
            <w:tabs>
              <w:tab w:val="right" w:leader="dot" w:pos="9026"/>
            </w:tabs>
          </w:pPr>
          <w:r>
            <w:t>2.6 Mövcud Müştəri Məlumatlarının Göstərilməsi</w:t>
          </w:r>
          <w:r>
            <w:tab/>
          </w:r>
          <w:r>
            <w:t>8</w:t>
          </w:r>
        </w:p>
        <w:p>
          <w:pPr>
            <w:pStyle w:val="9"/>
            <w:tabs>
              <w:tab w:val="right" w:leader="dot" w:pos="9026"/>
            </w:tabs>
          </w:pPr>
          <w:r>
            <w:t>3. Kredit Müraciətinin Yaradılması</w:t>
          </w:r>
          <w:r>
            <w:tab/>
          </w:r>
          <w:r>
            <w:t>9</w:t>
          </w:r>
        </w:p>
        <w:p>
          <w:pPr>
            <w:pStyle w:val="11"/>
            <w:ind w:left="360"/>
            <w:tabs>
              <w:tab w:val="right" w:leader="dot" w:pos="9026"/>
            </w:tabs>
          </w:pPr>
          <w:r>
            <w:t>3.1 RetailApplication Entity-sinin Yaradılması</w:t>
          </w:r>
          <w:r>
            <w:tab/>
          </w:r>
          <w:r>
            <w:t>9</w:t>
          </w:r>
        </w:p>
        <w:p>
          <w:pPr>
            <w:pStyle w:val="11"/>
            <w:ind w:left="360"/>
            <w:tabs>
              <w:tab w:val="right" w:leader="dot" w:pos="9026"/>
            </w:tabs>
          </w:pPr>
          <w:r>
            <w:t>3.2 Qısa Müraciət Məlumatlarının Daxil Edilməsi</w:t>
          </w:r>
          <w:r>
            <w:tab/>
          </w:r>
          <w:r>
            <w:t>10</w:t>
          </w:r>
        </w:p>
        <w:p>
          <w:pPr>
            <w:pStyle w:val="11"/>
            <w:ind w:left="360"/>
            <w:tabs>
              <w:tab w:val="right" w:leader="dot" w:pos="9026"/>
            </w:tabs>
          </w:pPr>
          <w:r>
            <w:t>3.3 İlk Ödəniş Planının Göstərilməsi</w:t>
          </w:r>
          <w:r>
            <w:tab/>
          </w:r>
          <w:r>
            <w:t>10</w:t>
          </w:r>
        </w:p>
        <w:p>
          <w:pPr>
            <w:pStyle w:val="9"/>
            <w:tabs>
              <w:tab w:val="right" w:leader="dot" w:pos="9026"/>
            </w:tabs>
          </w:pPr>
          <w:r>
            <w:t>4. Scoring və Prescoring Sistemi</w:t>
          </w:r>
          <w:r>
            <w:tab/>
          </w:r>
          <w:r>
            <w:t>11</w:t>
          </w:r>
        </w:p>
        <w:p>
          <w:pPr>
            <w:pStyle w:val="11"/>
            <w:ind w:left="360"/>
            <w:tabs>
              <w:tab w:val="right" w:leader="dot" w:pos="9026"/>
            </w:tabs>
          </w:pPr>
          <w:r>
            <w:t>4.1 ScoringCase Entity-si</w:t>
          </w:r>
          <w:r>
            <w:tab/>
          </w:r>
          <w:r>
            <w:t>11</w:t>
          </w:r>
        </w:p>
        <w:p>
          <w:pPr>
            <w:pStyle w:val="11"/>
            <w:ind w:left="360"/>
            <w:tabs>
              <w:tab w:val="right" w:leader="dot" w:pos="9026"/>
            </w:tabs>
          </w:pPr>
          <w:r>
            <w:t>4.2 Yeddi Prioritetli Scoring Kaskadı</w:t>
          </w:r>
          <w:r>
            <w:tab/>
          </w:r>
          <w:r>
            <w:t>12</w:t>
          </w:r>
        </w:p>
        <w:p>
          <w:pPr>
            <w:pStyle w:val="11"/>
            <w:ind w:left="360"/>
            <w:tabs>
              <w:tab w:val="right" w:leader="dot" w:pos="9026"/>
            </w:tabs>
          </w:pPr>
          <w:r>
            <w:t>4.3 Prioritet 1 - Tarixi Rədd Müraciətləri</w:t>
          </w:r>
          <w:r>
            <w:tab/>
          </w:r>
          <w:r>
            <w:t>13</w:t>
          </w:r>
        </w:p>
        <w:p>
          <w:pPr>
            <w:pStyle w:val="11"/>
            <w:ind w:left="360"/>
            <w:tabs>
              <w:tab w:val="right" w:leader="dot" w:pos="9026"/>
            </w:tabs>
          </w:pPr>
          <w:r>
            <w:t>4.4 Prioritet 3 - AKB Scoring</w:t>
          </w:r>
          <w:r>
            <w:tab/>
          </w:r>
          <w:r>
            <w:t>14</w:t>
          </w:r>
        </w:p>
        <w:p>
          <w:pPr>
            <w:pStyle w:val="11"/>
            <w:ind w:left="360"/>
            <w:tabs>
              <w:tab w:val="right" w:leader="dot" w:pos="9026"/>
            </w:tabs>
          </w:pPr>
          <w:r>
            <w:t>4.5 Prioritet 4 - AKB Kredit Tarixi</w:t>
          </w:r>
          <w:r>
            <w:tab/>
          </w:r>
          <w:r>
            <w:t>15</w:t>
          </w:r>
        </w:p>
        <w:p>
          <w:pPr>
            <w:pStyle w:val="11"/>
            <w:ind w:left="360"/>
            <w:tabs>
              <w:tab w:val="right" w:leader="dot" w:pos="9026"/>
            </w:tabs>
          </w:pPr>
          <w:r>
            <w:t>4.6 Prioritetlər 5-6</w:t>
          </w:r>
          <w:r>
            <w:tab/>
          </w:r>
          <w:r>
            <w:t>15</w:t>
          </w:r>
        </w:p>
        <w:p>
          <w:pPr>
            <w:pStyle w:val="11"/>
            <w:ind w:left="360"/>
            <w:tabs>
              <w:tab w:val="right" w:leader="dot" w:pos="9026"/>
            </w:tabs>
          </w:pPr>
          <w:r>
            <w:t>4.7 Scoring Nəticəsi və Risk Ofiseri</w:t>
          </w:r>
          <w:r>
            <w:tab/>
          </w:r>
          <w:r>
            <w:t>16</w:t>
          </w:r>
        </w:p>
        <w:p>
          <w:pPr>
            <w:pStyle w:val="9"/>
            <w:tabs>
              <w:tab w:val="right" w:leader="dot" w:pos="9026"/>
            </w:tabs>
          </w:pPr>
          <w:r>
            <w:t>5. Zamin Əlavə Etmə Prosesi</w:t>
          </w:r>
          <w:r>
            <w:tab/>
          </w:r>
          <w:r>
            <w:t>17</w:t>
          </w:r>
        </w:p>
        <w:p>
          <w:pPr>
            <w:pStyle w:val="9"/>
            <w:tabs>
              <w:tab w:val="right" w:leader="dot" w:pos="9026"/>
            </w:tabs>
          </w:pPr>
          <w:r>
            <w:t>6. Tam Müraciət Məlumatlarının Daxil Edilməsi</w:t>
          </w:r>
          <w:r>
            <w:tab/>
          </w:r>
          <w:r>
            <w:t>18</w:t>
          </w:r>
        </w:p>
        <w:p>
          <w:pPr>
            <w:pStyle w:val="9"/>
            <w:tabs>
              <w:tab w:val="right" w:leader="dot" w:pos="9026"/>
            </w:tabs>
          </w:pPr>
          <w:r>
            <w:t>7. Kredit Təsdiq Prosesi</w:t>
          </w:r>
          <w:r>
            <w:tab/>
          </w:r>
          <w:r>
            <w:t>19</w:t>
          </w:r>
        </w:p>
        <w:p>
          <w:pPr>
            <w:pStyle w:val="11"/>
            <w:ind w:left="360"/>
            <w:tabs>
              <w:tab w:val="right" w:leader="dot" w:pos="9026"/>
            </w:tabs>
          </w:pPr>
          <w:r>
            <w:t>7.1 Kredit Ekspertinin Təsdiqi</w:t>
          </w:r>
          <w:r>
            <w:tab/>
          </w:r>
          <w:r>
            <w:t>19</w:t>
          </w:r>
        </w:p>
        <w:p>
          <w:pPr>
            <w:pStyle w:val="11"/>
            <w:ind w:left="360"/>
            <w:tabs>
              <w:tab w:val="right" w:leader="dot" w:pos="9026"/>
            </w:tabs>
          </w:pPr>
          <w:r>
            <w:t>7.2 Təsdiq Səviyyələrinin Müəyyən Edilməsi</w:t>
          </w:r>
          <w:r>
            <w:tab/>
          </w:r>
          <w:r>
            <w:t>20</w:t>
          </w:r>
        </w:p>
        <w:p>
          <w:pPr>
            <w:pStyle w:val="11"/>
            <w:ind w:left="360"/>
            <w:tabs>
              <w:tab w:val="right" w:leader="dot" w:pos="9026"/>
            </w:tabs>
          </w:pPr>
          <w:r>
            <w:t>7.3 LO və Senior LO Təsdiqi</w:t>
          </w:r>
          <w:r>
            <w:tab/>
          </w:r>
          <w:r>
            <w:t>21</w:t>
          </w:r>
        </w:p>
        <w:p>
          <w:pPr>
            <w:pStyle w:val="11"/>
            <w:ind w:left="360"/>
            <w:tabs>
              <w:tab w:val="right" w:leader="dot" w:pos="9026"/>
            </w:tabs>
          </w:pPr>
          <w:r>
            <w:t>7.4 Kredit İnzibatçısının Data Validation</w:t>
          </w:r>
          <w:r>
            <w:tab/>
          </w:r>
          <w:r>
            <w:t>21</w:t>
          </w:r>
        </w:p>
        <w:p>
          <w:pPr>
            <w:pStyle w:val="9"/>
            <w:tabs>
              <w:tab w:val="right" w:leader="dot" w:pos="9026"/>
            </w:tabs>
          </w:pPr>
          <w:r>
            <w:t>8. Sanction Scanner Yoxlaması</w:t>
          </w:r>
          <w:r>
            <w:tab/>
          </w:r>
          <w:r>
            <w:t>22</w:t>
          </w:r>
        </w:p>
        <w:p>
          <w:pPr>
            <w:pStyle w:val="9"/>
            <w:tabs>
              <w:tab w:val="right" w:leader="dot" w:pos="9026"/>
            </w:tabs>
          </w:pPr>
          <w:r>
            <w:t>9. SIMA KYC Verifikasiyası</w:t>
          </w:r>
          <w:r>
            <w:tab/>
          </w:r>
          <w:r>
            <w:t>23</w:t>
          </w:r>
        </w:p>
        <w:p>
          <w:pPr>
            <w:pStyle w:val="9"/>
            <w:tabs>
              <w:tab w:val="right" w:leader="dot" w:pos="9026"/>
            </w:tabs>
          </w:pPr>
          <w:r>
            <w:t>10. Kredit Sözleşməsinin Hazırlanması</w:t>
          </w:r>
          <w:r>
            <w:tab/>
          </w:r>
          <w:r>
            <w:t>24</w:t>
          </w:r>
        </w:p>
        <w:p>
          <w:pPr>
            <w:pStyle w:val="11"/>
            <w:ind w:left="360"/>
            <w:tabs>
              <w:tab w:val="right" w:leader="dot" w:pos="9026"/>
            </w:tabs>
          </w:pPr>
          <w:r>
            <w:t>10.1 Kreditin Yaradılması</w:t>
          </w:r>
          <w:r>
            <w:tab/>
          </w:r>
          <w:r>
            <w:t>24</w:t>
          </w:r>
        </w:p>
        <w:p>
          <w:pPr>
            <w:pStyle w:val="11"/>
            <w:ind w:left="360"/>
            <w:tabs>
              <w:tab w:val="right" w:leader="dot" w:pos="9026"/>
            </w:tabs>
          </w:pPr>
          <w:r>
            <w:t>10.2 Vərəqələşmə Forması</w:t>
          </w:r>
          <w:r>
            <w:tab/>
          </w:r>
          <w:r>
            <w:t>25</w:t>
          </w:r>
        </w:p>
        <w:p>
          <w:pPr>
            <w:pStyle w:val="11"/>
            <w:ind w:left="360"/>
            <w:tabs>
              <w:tab w:val="right" w:leader="dot" w:pos="9026"/>
            </w:tabs>
          </w:pPr>
          <w:r>
            <w:t>10.3 Sözleşmə İmzalama</w:t>
          </w:r>
          <w:r>
            <w:tab/>
          </w:r>
          <w:r>
            <w:t>25</w:t>
          </w:r>
        </w:p>
        <w:p>
          <w:pPr>
            <w:pStyle w:val="11"/>
            <w:ind w:left="360"/>
            <w:tabs>
              <w:tab w:val="right" w:leader="dot" w:pos="9026"/>
            </w:tabs>
          </w:pPr>
          <w:r>
            <w:t>10.4 SIMA ilə Onlayn İmzalama</w:t>
          </w:r>
          <w:r>
            <w:tab/>
          </w:r>
          <w:r>
            <w:t>26</w:t>
          </w:r>
        </w:p>
        <w:p>
          <w:pPr>
            <w:pStyle w:val="9"/>
            <w:tabs>
              <w:tab w:val="right" w:leader="dot" w:pos="9026"/>
            </w:tabs>
          </w:pPr>
          <w:r>
            <w:t>11. Kreditin Verilməsi</w:t>
          </w:r>
          <w:r>
            <w:tab/>
          </w:r>
          <w:r>
            <w:t>27</w:t>
          </w:r>
        </w:p>
        <w:p>
          <w:pPr>
            <w:pStyle w:val="9"/>
            <w:tabs>
              <w:tab w:val="right" w:leader="dot" w:pos="9026"/>
            </w:tabs>
          </w:pPr>
          <w:r>
            <w:t>12. Kreditin Aktiv Fazası</w:t>
          </w:r>
          <w:r>
            <w:tab/>
          </w:r>
          <w:r>
            <w:t>28</w:t>
          </w:r>
        </w:p>
        <w:p>
          <w:pPr>
            <w:pStyle w:val="9"/>
            <w:tabs>
              <w:tab w:val="right" w:leader="dot" w:pos="9026"/>
            </w:tabs>
          </w:pPr>
          <w:r>
            <w:t>13. Normal Ödənişlər</w:t>
          </w:r>
          <w:r>
            <w:tab/>
          </w:r>
          <w:r>
            <w:t>29</w:t>
          </w:r>
        </w:p>
        <w:p>
          <w:pPr>
            <w:pStyle w:val="9"/>
            <w:tabs>
              <w:tab w:val="right" w:leader="dot" w:pos="9026"/>
            </w:tabs>
          </w:pPr>
          <w:r>
            <w:t>14. Gecikmə və Kolleksiya Prosesi</w:t>
          </w:r>
          <w:r>
            <w:tab/>
          </w:r>
          <w:r>
            <w:t>30</w:t>
          </w:r>
        </w:p>
        <w:p>
          <w:pPr>
            <w:pStyle w:val="11"/>
            <w:ind w:left="360"/>
            <w:tabs>
              <w:tab w:val="right" w:leader="dot" w:pos="9026"/>
            </w:tabs>
          </w:pPr>
          <w:r>
            <w:t>14.1 CollectionCase-in Yaradılması</w:t>
          </w:r>
          <w:r>
            <w:tab/>
          </w:r>
          <w:r>
            <w:t>30</w:t>
          </w:r>
        </w:p>
        <w:p>
          <w:pPr>
            <w:pStyle w:val="11"/>
            <w:ind w:left="360"/>
            <w:tabs>
              <w:tab w:val="right" w:leader="dot" w:pos="9026"/>
            </w:tabs>
          </w:pPr>
          <w:r>
            <w:t>14.2 Kolleksiya Bölmələri və Escalation</w:t>
          </w:r>
          <w:r>
            <w:tab/>
          </w:r>
          <w:r>
            <w:t>31</w:t>
          </w:r>
        </w:p>
        <w:p>
          <w:pPr>
            <w:pStyle w:val="11"/>
            <w:ind w:left="360"/>
            <w:tabs>
              <w:tab w:val="right" w:leader="dot" w:pos="9026"/>
            </w:tabs>
          </w:pPr>
          <w:r>
            <w:t>14.3 Kolleksiya Hərəkətləri</w:t>
          </w:r>
          <w:r>
            <w:tab/>
          </w:r>
          <w:r>
            <w:t>32</w:t>
          </w:r>
        </w:p>
        <w:p>
          <w:pPr>
            <w:pStyle w:val="9"/>
            <w:tabs>
              <w:tab w:val="right" w:leader="dot" w:pos="9026"/>
            </w:tabs>
          </w:pPr>
          <w:r>
            <w:t>15. Məhkəmə Prosesi</w:t>
          </w:r>
          <w:r>
            <w:tab/>
          </w:r>
          <w:r>
            <w:t>33</w:t>
          </w:r>
        </w:p>
        <w:p>
          <w:pPr>
            <w:pStyle w:val="11"/>
            <w:ind w:left="360"/>
            <w:tabs>
              <w:tab w:val="right" w:leader="dot" w:pos="9026"/>
            </w:tabs>
          </w:pPr>
          <w:r>
            <w:t>15.1 Sənədlərin Məhkəməyə Göndərilməsi</w:t>
          </w:r>
          <w:r>
            <w:tab/>
          </w:r>
          <w:r>
            <w:t>33</w:t>
          </w:r>
        </w:p>
        <w:p>
          <w:pPr>
            <w:pStyle w:val="11"/>
            <w:ind w:left="360"/>
            <w:tabs>
              <w:tab w:val="right" w:leader="dot" w:pos="9026"/>
            </w:tabs>
          </w:pPr>
          <w:r>
            <w:t>15.2 Məhkəmə Qərarının Qeyd Edilməsi</w:t>
          </w:r>
          <w:r>
            <w:tab/>
          </w:r>
          <w:r>
            <w:t>34</w:t>
          </w:r>
        </w:p>
        <w:p>
          <w:pPr>
            <w:pStyle w:val="11"/>
            <w:ind w:left="360"/>
            <w:tabs>
              <w:tab w:val="right" w:leader="dot" w:pos="9026"/>
            </w:tabs>
          </w:pPr>
          <w:r>
            <w:t>15.3 Hard Collector-a Ötürülmə</w:t>
          </w:r>
          <w:r>
            <w:tab/>
          </w:r>
          <w:r>
            <w:t>34</w:t>
          </w:r>
        </w:p>
        <w:p>
          <w:pPr>
            <w:pStyle w:val="11"/>
            <w:ind w:left="360"/>
            <w:tabs>
              <w:tab w:val="right" w:leader="dot" w:pos="9026"/>
            </w:tabs>
          </w:pPr>
          <w:r>
            <w:t>15.4 Hüquqi Kolleksiya</w:t>
          </w:r>
          <w:r>
            <w:tab/>
          </w:r>
          <w:r>
            <w:t>35</w:t>
          </w:r>
        </w:p>
        <w:p>
          <w:pPr>
            <w:pStyle w:val="9"/>
            <w:tabs>
              <w:tab w:val="right" w:leader="dot" w:pos="9026"/>
            </w:tabs>
          </w:pPr>
          <w:r>
            <w:t>16. Kolleksiya Həll Yolları</w:t>
          </w:r>
          <w:r>
            <w:tab/>
          </w:r>
          <w:r>
            <w:t>36</w:t>
          </w:r>
        </w:p>
        <w:p>
          <w:pPr>
            <w:pStyle w:val="9"/>
            <w:tabs>
              <w:tab w:val="right" w:leader="dot" w:pos="9026"/>
            </w:tabs>
          </w:pPr>
          <w:r>
            <w:t>17. Write-Off Prosesi</w:t>
          </w:r>
          <w:r>
            <w:tab/>
          </w:r>
          <w:r>
            <w:t>37</w:t>
          </w:r>
        </w:p>
        <w:p>
          <w:pPr>
            <w:pStyle w:val="9"/>
            <w:tabs>
              <w:tab w:val="right" w:leader="dot" w:pos="9026"/>
            </w:tabs>
          </w:pPr>
          <w:r>
            <w:t>18. Kreditin Restrukturizasiyası</w:t>
          </w:r>
          <w:r>
            <w:tab/>
          </w:r>
          <w:r>
            <w:t>38</w:t>
          </w:r>
        </w:p>
        <w:p>
          <w:pPr>
            <w:pStyle w:val="9"/>
            <w:tabs>
              <w:tab w:val="right" w:leader="dot" w:pos="9026"/>
            </w:tabs>
          </w:pPr>
          <w:r>
            <w:t>19. Kreditin Tam Bağlanması</w:t>
          </w:r>
          <w:r>
            <w:tab/>
          </w:r>
          <w:r>
            <w:t>39</w:t>
          </w:r>
        </w:p>
        <w:p>
          <w:pPr>
            <w:pStyle w:val="9"/>
            <w:tabs>
              <w:tab w:val="right" w:leader="dot" w:pos="9026"/>
            </w:tabs>
          </w:pPr>
          <w:r>
            <w:t>20. Xarici Xidmət İnteqrasiyaları</w:t>
          </w:r>
          <w:r>
            <w:tab/>
          </w:r>
          <w:r>
            <w:t>40</w:t>
          </w:r>
        </w:p>
        <w:p>
          <w:pPr>
            <w:pStyle w:val="9"/>
            <w:tabs>
              <w:tab w:val="right" w:leader="dot" w:pos="9026"/>
            </w:tabs>
          </w:pPr>
          <w:r>
            <w:t>21. Bütün Prosesin Xülasəsi</w:t>
          </w:r>
          <w:r>
            <w:tab/>
          </w:r>
          <w:r>
            <w:t>41</w:t>
          </w:r>
        </w:p>
        <w:p>
          <w:r>
            <w:fldChar w:fldCharType="end"/>
          </w:r>
        </w:p>
      </w:sdtContent>
    </w:sdt>
    <w:p>
      <w:pPr>
        <w:spacing w:before="200"/>
        <w:jc w:val="center"/>
      </w:pPr>
      <w:r>
        <w:rPr>
          <w:rFonts w:ascii="Calibri" w:cs="Calibri" w:eastAsia="Calibri" w:hAnsi="Calibri"/>
          <w:color w:val="999999"/>
          <w:sz w:val="18"/>
          <w:szCs w:val="18"/>
        </w:rPr>
        <w:t xml:space="preserve">Qeyd: Bu mündəricat sahə kodları vasitəsilə yaradılmışdır. Səhifə nömrələrinin düzgün göstərilməsi üçün mündəricata sağ klikləyib 'Update Field' seçin.</w:t>
      </w:r>
    </w:p>
    <w:p>
      <w:r>
        <w:br w:type="page"/>
      </w:r>
    </w:p>
    <w:p>
      <w:pPr>
        <w:pStyle w:val="Heading1"/>
        <w:spacing w:after="200" w:before="400" w:line="276"/>
      </w:pPr>
      <w:r>
        <w:rPr>
          <w:rFonts w:ascii="Times New Roman" w:cs="Times New Roman" w:eastAsia="Times New Roman" w:hAnsi="Times New Roman"/>
          <w:b/>
          <w:bCs/>
          <w:color w:val="020617"/>
          <w:sz w:val="32"/>
          <w:szCs w:val="32"/>
        </w:rPr>
        <w:t xml:space="preserve">1. Giriş</w:t>
      </w:r>
    </w:p>
    <w:p>
      <w:pPr>
        <w:spacing w:after="120" w:line="276"/>
        <w:jc w:val="both"/>
      </w:pPr>
      <w:r>
        <w:rPr>
          <w:rFonts w:ascii="Calibri" w:cs="Calibri" w:eastAsia="Calibri" w:hAnsi="Calibri"/>
          <w:color w:val="1E293B"/>
          <w:sz w:val="22"/>
          <w:szCs w:val="22"/>
        </w:rPr>
        <w:t xml:space="preserve">Bu sənəd Embafinans bankının LW (Loan Workbench) sistemində nağd kreditlərin (RCASH) verilməsi və sonrakı bütün proseslərin addım-addım izahını təqdim edir. LW sistemi bankın əsas kredit idarəetmə platforması olub, nağd kredit müraciətinin yaradılmasından başlayaraq, scoring və təsdiq prosesləri, kreditin vərəqələşməsi (verilməsi), normal ödənişlər, gecikmə vəziyyəti, kolleksiya (inkassasiya) prosesi, məhkəmə mərhələsi və write-off (balansdan çıxarma) qədər olan tam kredit həyat dövrünü əhatə edir. Bu sistem Java və Clojure proqramlaşdırma dilləri ilə yazılmış, jBPM iş axını engine-i istifadə edərək BPM (Business Process Management) əsaslı kredit emalını həyata keçirir.</w:t>
      </w:r>
    </w:p>
    <w:p>
      <w:pPr>
        <w:spacing w:after="120" w:line="276"/>
        <w:jc w:val="both"/>
      </w:pPr>
      <w:r>
        <w:rPr>
          <w:rFonts w:ascii="Calibri" w:cs="Calibri" w:eastAsia="Calibri" w:hAnsi="Calibri"/>
          <w:color w:val="1E293B"/>
          <w:sz w:val="22"/>
          <w:szCs w:val="22"/>
        </w:rPr>
        <w:t xml:space="preserve">Sistemdə hər bir kredit müraciəti bir BPM 'Case' (iş) kimi yaradılır və müəyyən qaydalar qurulmuş swimlane-lar (rol zonası) vasitəsilə müxtəlif istifadəçilər arasında ötürülür. RCASH (Retail Cash) prosesi - dükan kreditlərindən (RSHOP) və POS kreditlərindən (RPOS) fərqli olaraq, nağd pul şəklində verilməsi nəzərdə tutulan istehlak kreditləridir. Bu kreditlər 'Cüzdan' mobil tətbiqi vasitəsilə onlayn da müraciət edilə bilər, lakin əsasən bank filiallarında kredit ekspertləri (Junior Credit Consultant) tərəfindən işlənilir.</w:t>
      </w:r>
    </w:p>
    <w:p>
      <w:pPr>
        <w:spacing w:after="120" w:line="276"/>
        <w:jc w:val="both"/>
      </w:pPr>
      <w:r>
        <w:rPr>
          <w:rFonts w:ascii="Calibri" w:cs="Calibri" w:eastAsia="Calibri" w:hAnsi="Calibri"/>
          <w:color w:val="1E293B"/>
          <w:sz w:val="22"/>
          <w:szCs w:val="22"/>
        </w:rPr>
        <w:t xml:space="preserve">Bu sənədi oxuyan hər bir kredit eksperti, kredit inzibatçısı, kolleksiya işçisi və ya hüquq şöbəsi əməkdaşı LW sisteminin daxili iş prinsiplərini, avtomatik scoring mexanizmlərini, xarici xidmət inteqrasiyalarını və hər bir proses addımının arxasındakı biznes qaydalarını dərindən başa düşə biləcək. Sənəd sistemdə səhifə-səhifə irəliləyərək, heç bir addımı buraxmadan tam kredit həyat dövrünü əhatə edir.</w:t>
      </w:r>
    </w:p>
    <w:p>
      <w:pPr>
        <w:pStyle w:val="Heading2"/>
        <w:spacing w:after="160" w:before="300" w:line="276"/>
      </w:pPr>
      <w:r>
        <w:rPr>
          <w:rFonts w:ascii="Times New Roman" w:cs="Times New Roman" w:eastAsia="Times New Roman" w:hAnsi="Times New Roman"/>
          <w:b/>
          <w:bCs/>
          <w:color w:val="020617"/>
          <w:sz w:val="26"/>
          <w:szCs w:val="26"/>
        </w:rPr>
        <w:t xml:space="preserve">1.1 LW Sisteminin Texniki Arxitekturası</w:t>
      </w:r>
    </w:p>
    <w:p>
      <w:pPr>
        <w:spacing w:after="120" w:line="276"/>
        <w:jc w:val="both"/>
      </w:pPr>
      <w:r>
        <w:rPr>
          <w:rFonts w:ascii="Calibri" w:cs="Calibri" w:eastAsia="Calibri" w:hAnsi="Calibri"/>
          <w:color w:val="1E293B"/>
          <w:sz w:val="22"/>
          <w:szCs w:val="22"/>
        </w:rPr>
        <w:t xml:space="preserve">LW sistemi dekompillə edilmiş Java JAR faylları əsasında işləyir. Əsas komponentlər bunlardır: embafinance.jar - bankın biznes qaydalarını ehtiva edən əsas addon; softgenic_client.jar - istifadəçi interfeysi komponentləri; və Clojure kitabxanaları - scoring və cutoff hesablamaları üçün istifadə olunan funksional proqramlaşdırma modulları. Sistem Hibernate/JPA vasitəsilə verilənlər bazası ilə əlaqə qurur, Spring XML konfiqurasiya ilə idarə olunur və jBPM ilə iş axınlarını idarə edir.</w:t>
      </w:r>
    </w:p>
    <w:p>
      <w:pPr>
        <w:spacing w:after="120" w:line="276"/>
        <w:jc w:val="both"/>
      </w:pPr>
      <w:r>
        <w:rPr>
          <w:rFonts w:ascii="Calibri" w:cs="Calibri" w:eastAsia="Calibri" w:hAnsi="Calibri"/>
          <w:color w:val="1E293B"/>
          <w:sz w:val="22"/>
          <w:szCs w:val="22"/>
        </w:rPr>
        <w:t xml:space="preserve">LW server URL-i https://lwb.embafinans.az:7056/LW/ olub, istifadəçi interfeysi ULC (Universal Loan Client) - Swing əsaslı zəngin müştəri tətbiqi vasitəsilə təmin edilir. Ödəniş portalı isə https://pay.embafinans.az ünvanında fəaliyyət göstərir. Sistemdə hər bir kredit prosesi 'retail_main' adlanan əsas BPM proses definisiyası vasitəsilə idarə olunur.</w:t>
      </w:r>
    </w:p>
    <w:p>
      <w:pPr>
        <w:pStyle w:val="Heading2"/>
        <w:spacing w:after="160" w:before="300" w:line="276"/>
      </w:pPr>
      <w:r>
        <w:rPr>
          <w:rFonts w:ascii="Times New Roman" w:cs="Times New Roman" w:eastAsia="Times New Roman" w:hAnsi="Times New Roman"/>
          <w:b/>
          <w:bCs/>
          <w:color w:val="020617"/>
          <w:sz w:val="26"/>
          <w:szCs w:val="26"/>
        </w:rPr>
        <w:t xml:space="preserve">1.2 Kredit Prosesinin Ümumi Görünüşü</w:t>
      </w:r>
    </w:p>
    <w:p>
      <w:pPr>
        <w:spacing w:after="120" w:line="276"/>
        <w:jc w:val="both"/>
      </w:pPr>
      <w:r>
        <w:rPr>
          <w:rFonts w:ascii="Calibri" w:cs="Calibri" w:eastAsia="Calibri" w:hAnsi="Calibri"/>
          <w:color w:val="1E293B"/>
          <w:sz w:val="22"/>
          <w:szCs w:val="22"/>
        </w:rPr>
        <w:t xml:space="preserve">Nağd kredit prosesinin ümumi axını aşağıdakı kimi təsvir oluna bilər. Müştəri filiala gəlir və ya 'Cüzdan' mobil tətbiqi vasitəsilə onlayn müraciət edir. Kredit eksperti LW sistemində yeni Case yaradır, filial seçir və məhsul təyin edir. Müştərinin PIN kodu daxil edilir, Asanfinance xidməti vasitəsilə şəxsi məlumatları avtomatik olaraq yüklənilir. OTP SMS vasitəsilə müştəri identifikasiyası həyata keçirilir. Müraciət yaradılır, qısa məlumatlar daxil edilir, ödəniş planı baxılır. Scoring prosesi avtomatik olaraq işə düşür və 7 prioritetli cutoff yoxlaması keçirilir. Nəticələrə görə müraciət qəbul edilir və ya risk ofiserinə göndərilir. Tam müraciət məlumatları daxil edilir, büdcə yoxlaması aparılır, foto yüklənilir. Kredit eksperti təsdiq edir, məbləğ səviyyəsinə görə LO və ya Senior LO təsdiqi tələb oluna bilər. Kredit inzibatçısı (Credit Admin) data validation aparır, Sanction Scanner yoxlaması keçirilir, SIMA KYC2 ilə elektron kimlik təsdiqi həyata keçirilir. Kredit sözləşməsi hazırlanır, SIMA ilə onlayn imzalama həyata keçirilir, kredit vərəqələşdirilir (nağd kassa və ya kart). Nəhayət, Case bağlanır və kredit aktiv fazaya keçir.</w:t>
      </w:r>
    </w:p>
    <w:p>
      <w:pPr>
        <w:pStyle w:val="Heading1"/>
        <w:spacing w:after="200" w:before="400" w:line="276"/>
      </w:pPr>
      <w:r>
        <w:rPr>
          <w:rFonts w:ascii="Times New Roman" w:cs="Times New Roman" w:eastAsia="Times New Roman" w:hAnsi="Times New Roman"/>
          <w:b/>
          <w:bCs/>
          <w:color w:val="020617"/>
          <w:sz w:val="32"/>
          <w:szCs w:val="32"/>
        </w:rPr>
        <w:t xml:space="preserve">2. Kredit Prosesinə Başlanması</w:t>
      </w:r>
    </w:p>
    <w:p>
      <w:pPr>
        <w:spacing w:after="120" w:line="276"/>
        <w:jc w:val="both"/>
      </w:pPr>
      <w:r>
        <w:rPr>
          <w:rFonts w:ascii="Calibri" w:cs="Calibri" w:eastAsia="Calibri" w:hAnsi="Calibri"/>
          <w:color w:val="1E293B"/>
          <w:sz w:val="22"/>
          <w:szCs w:val="22"/>
        </w:rPr>
        <w:t xml:space="preserve">LW sistemində nağd kredit (RCASH) prosesinə başlamaq üçün kredit eksperti LW istifadəçi interfeysində yeni bir iş (Case) yaratmalıdır. Bu proses bir neçə əsas addımdan ibarətdir: filialın seçilməsi, məhsulun təyin edilməsi, müştəri identifikasiyası və OTP təsdiqi. Hər bir addım sistem tərəfindən müəyyən qaydalarla idarə olunur və növbəti addıma keçid yalnız cari addım uğurla tamamlandıqda mümkündür.</w:t>
      </w:r>
    </w:p>
    <w:p>
      <w:pPr>
        <w:pStyle w:val="Heading2"/>
        <w:spacing w:after="160" w:before="300" w:line="276"/>
      </w:pPr>
      <w:r>
        <w:rPr>
          <w:rFonts w:ascii="Times New Roman" w:cs="Times New Roman" w:eastAsia="Times New Roman" w:hAnsi="Times New Roman"/>
          <w:b/>
          <w:bCs/>
          <w:color w:val="020617"/>
          <w:sz w:val="26"/>
          <w:szCs w:val="26"/>
        </w:rPr>
        <w:t xml:space="preserve">2.1 Filialın Seçilməsi (Cüzdan Choose Branch)</w:t>
      </w:r>
    </w:p>
    <w:p>
      <w:pPr>
        <w:spacing w:after="120" w:line="276"/>
        <w:jc w:val="both"/>
      </w:pPr>
      <w:r>
        <w:rPr>
          <w:rFonts w:ascii="Calibri" w:cs="Calibri" w:eastAsia="Calibri" w:hAnsi="Calibri"/>
          <w:color w:val="1E293B"/>
          <w:sz w:val="22"/>
          <w:szCs w:val="22"/>
        </w:rPr>
        <w:t xml:space="preserve">Prosesin ilk addımı filialın seçilməsidir. RCASH prosesində bu 'cuzdan choose branch' adlanan BPM task node-u vasitəsilə həyata keçirilir. Bu node 'junior credit consultant' swimlane-ına aiddir, yəni yalnız kredit eksperti bu əməliyyatı edə bilər. Kredit eksperti siyahıdan müştərinin kredit alacağı filialı seçir. Filialın iş günü (business date) avtomatik olaraq müəyyən edilir və bütün sonrakı hesablamalar bu tarixə əsaslanır. Sistemdə RetailApplication.getBranchBusinessDate() metodu vasitəsilə filialın ən son iş günü rekursiv şəkildə tapılır - əgər filial həftəsonu və ya bayram günündədirsə, ən yaxın əvvəlki iş günü qəbul edilir.</w:t>
      </w:r>
    </w:p>
    <w:p>
      <w:pPr>
        <w:spacing w:after="120" w:line="276"/>
        <w:jc w:val="both"/>
      </w:pPr>
      <w:r>
        <w:rPr>
          <w:rFonts w:ascii="Calibri" w:cs="Calibri" w:eastAsia="Calibri" w:hAnsi="Calibri"/>
          <w:color w:val="1E293B"/>
          <w:sz w:val="22"/>
          <w:szCs w:val="22"/>
        </w:rPr>
        <w:t xml:space="preserve">Filial seçildikdən sonra proses 'select product' node-una keçir. Bu node-da kredit eksperti müştəriyə uyğun kredit məhsulunu seçir. RCASH prosesində müxtəlif məhsul kodları mövcuddur: ABC (Azerbaijan Business Cash), ACZ (Azerbaijan Consumer Zəmanətli), ACW (Azerbaijan Consumer Wishlist), RBC (Retail Business Cash), RST (Retail Standard). Hər bir məhsulun özünəməxsus məbləğ həddi, faiz dərəcəsi, müddət aralığı və scoring qaydaları var. Məhsul seçildikdən sonra sistem avtomatik olaraq həmin məhsula uyğun default faiz dərəcəsini, minimum/maksimum məbləğ və müddət məhdudiyyətlərini yükləyir.</w:t>
      </w:r>
    </w:p>
    <w:p>
      <w:pPr>
        <w:pStyle w:val="Heading2"/>
        <w:spacing w:after="160" w:before="300" w:line="276"/>
      </w:pPr>
      <w:r>
        <w:rPr>
          <w:rFonts w:ascii="Times New Roman" w:cs="Times New Roman" w:eastAsia="Times New Roman" w:hAnsi="Times New Roman"/>
          <w:b/>
          <w:bCs/>
          <w:color w:val="020617"/>
          <w:sz w:val="26"/>
          <w:szCs w:val="26"/>
        </w:rPr>
        <w:t xml:space="preserve">2.2 OTP Verifikasiyası</w:t>
      </w:r>
    </w:p>
    <w:p>
      <w:pPr>
        <w:spacing w:after="120" w:line="276"/>
        <w:jc w:val="both"/>
      </w:pPr>
      <w:r>
        <w:rPr>
          <w:rFonts w:ascii="Calibri" w:cs="Calibri" w:eastAsia="Calibri" w:hAnsi="Calibri"/>
          <w:color w:val="1E293B"/>
          <w:sz w:val="22"/>
          <w:szCs w:val="22"/>
        </w:rPr>
        <w:t xml:space="preserve">RCASH prosesinin digər kredit növlərindən (məsələn, RSHOP) əsas fərqi OTP (One-Time Password) addımıdır. BPM prosesində 'is RCASH process' adlanan qərar node-u yoxlanır və əgər proses növü RCASH-dırsa, 'OTP' adlanan task node-una yönləndirilir. Bu addım 'junior credit consultant' swimlane-ındadır.</w:t>
      </w:r>
    </w:p>
    <w:p>
      <w:pPr>
        <w:spacing w:after="120" w:line="276"/>
        <w:jc w:val="both"/>
      </w:pPr>
      <w:r>
        <w:rPr>
          <w:rFonts w:ascii="Calibri" w:cs="Calibri" w:eastAsia="Calibri" w:hAnsi="Calibri"/>
          <w:color w:val="1E293B"/>
          <w:sz w:val="22"/>
          <w:szCs w:val="22"/>
        </w:rPr>
        <w:t xml:space="preserve">OTPData sinifi sistemdə 4 dəqiqəlik (240000 ms) SMS TTL (Time To Live) müddətinə malikdir. OTP 6 rəqəmli kod formatındadır (OTP_LENGTH = 6). Kredit eksperti müştərinin mobil telefon nömrəsini daxil edir, sistem avtomatik olaraq 6 rəqəmli OTP kodu gener edir və müştərinin telefonuna SMS göndərir. SMS template-i 'OTP' adlandırılmışdır. Müştəri kodu daxil edir və sistem verified = true olaraq qeyd edir. OTP təsdiqi olmadan RCASH prosesində irəliləmək mümkün deyil.</w:t>
      </w:r>
    </w:p>
    <w:p>
      <w:pPr>
        <w:spacing w:after="120" w:line="276"/>
        <w:jc w:val="both"/>
      </w:pPr>
      <w:r>
        <w:rPr>
          <w:rFonts w:ascii="Calibri" w:cs="Calibri" w:eastAsia="Calibri" w:hAnsi="Calibri"/>
          <w:color w:val="1E293B"/>
          <w:sz w:val="22"/>
          <w:szCs w:val="22"/>
        </w:rPr>
        <w:t xml:space="preserve">OTP yoxlaması həm əsas müştəri, həm də zamin (guarantor) üçün tələb olunur. Zamin üçün 'OTP guarantor' adlanan ayrı bir task node mövcuddur. Bu node 'op_person_otp_guarantor' əməliyyat bean-ini istifadə edir, partner dəyişəni 'guarantor', OTP dəyişəni isə 'otpGuarantor' olaraq təyin olunmuşdur.</w:t>
      </w:r>
    </w:p>
    <w:p>
      <w:pPr>
        <w:pStyle w:val="Heading2"/>
        <w:spacing w:after="160" w:before="300" w:line="276"/>
      </w:pPr>
      <w:r>
        <w:rPr>
          <w:rFonts w:ascii="Times New Roman" w:cs="Times New Roman" w:eastAsia="Times New Roman" w:hAnsi="Times New Roman"/>
          <w:b/>
          <w:bCs/>
          <w:color w:val="020617"/>
          <w:sz w:val="26"/>
          <w:szCs w:val="26"/>
        </w:rPr>
        <w:t xml:space="preserve">2.3 Müştəri PIN-inin Daxil Edilməsi (Enter Client ID)</w:t>
      </w:r>
    </w:p>
    <w:p>
      <w:pPr>
        <w:spacing w:after="120" w:line="276"/>
        <w:jc w:val="both"/>
      </w:pPr>
      <w:r>
        <w:rPr>
          <w:rFonts w:ascii="Calibri" w:cs="Calibri" w:eastAsia="Calibri" w:hAnsi="Calibri"/>
          <w:color w:val="1E293B"/>
          <w:sz w:val="22"/>
          <w:szCs w:val="22"/>
        </w:rPr>
        <w:t xml:space="preserve">OTP təsdiqindən sonra proses 'enter client id' node-una keçir. Bu node-da kredit eksperti müştərinin PIN (Şəxsiyyət Vəsiqəsi nömrəsi) və ya passport seriya nömrəsini daxil edir. 'op_enter_person_id' əməliyyat bean-i default olaraq 'PRS' (Physical Person) partner növünü və 'PIN' (Personal Identification Number) identifikasiya növünü istifadə edir. Bundan əlavə, 'allowIdNumber2' parametri 'true' olaraq təyin edilib ki, müştəri passport seriya nömrəsi ilə də axtarıla bilsin ('PASS' növü). 'partnerTypeVisible' isə 'false' olaraq quraşdırılıb, çünki PIN daxil edərkən partner növü dəyişdirmək lazım deyil.</w:t>
      </w:r>
    </w:p>
    <w:p>
      <w:pPr>
        <w:spacing w:after="120" w:line="276"/>
        <w:jc w:val="both"/>
      </w:pPr>
      <w:r>
        <w:rPr>
          <w:rFonts w:ascii="Calibri" w:cs="Calibri" w:eastAsia="Calibri" w:hAnsi="Calibri"/>
          <w:color w:val="1E293B"/>
          <w:sz w:val="22"/>
          <w:szCs w:val="22"/>
        </w:rPr>
        <w:t xml:space="preserve">Sistem daxil edilmiş PIN/Passport-a əsasən LW verilənlər bazasında axtarış aparır. Axtarış nəticəsinə görə iki mümkün nəticə var: 'new' - müştəri sistemdə mövcud deyil, yeni müştəri yaratmaq lazımdır; 'existing' - müştəri artıq sistemdə qeydiyyatdadır, mövcud məlumatlar göstərilir.</w:t>
      </w:r>
    </w:p>
    <w:p>
      <w:pPr>
        <w:spacing w:after="120" w:line="276"/>
        <w:jc w:val="both"/>
      </w:pPr>
      <w:r>
        <w:rPr>
          <w:rFonts w:ascii="Calibri" w:cs="Calibri" w:eastAsia="Calibri" w:hAnsi="Calibri"/>
          <w:color w:val="1E293B"/>
          <w:sz w:val="22"/>
          <w:szCs w:val="22"/>
        </w:rPr>
        <w:t xml:space="preserve">Müəyyən edilmiş vacib məqam: sistem 'EnterPartnerIdNumberControllerAddonImplementation' sinifi vasitəsilə qara siyahı (blacklist) yoxlaması aparır. Əgər müştərinin PIN-i və ya passportu aidiyyəti şəxslər siyahısındadırsa, sistem xəbərdarlıq mesajı göstərir: 'Müştərinin adı aidiyyəti şəxslər siyahısındadır'. Bu halda kredit eksperti davam etmək istəyirsə, xəbərdarlığı təsdiqləməli olur. Bundan əlavə, zamin daxil edərkən sistem avtomatik olaraq yoxlayır ki, zamin əsas müştəri ilə eyni şəxs olmasın.</w:t>
      </w:r>
    </w:p>
    <w:p>
      <w:pPr>
        <w:pStyle w:val="Heading2"/>
        <w:spacing w:after="160" w:before="300" w:line="276"/>
      </w:pPr>
      <w:r>
        <w:rPr>
          <w:rFonts w:ascii="Times New Roman" w:cs="Times New Roman" w:eastAsia="Times New Roman" w:hAnsi="Times New Roman"/>
          <w:b/>
          <w:bCs/>
          <w:color w:val="020617"/>
          <w:sz w:val="26"/>
          <w:szCs w:val="26"/>
        </w:rPr>
        <w:t xml:space="preserve">2.4 Asanfinance ilə Müştəri Məlumatlarının Alınması</w:t>
      </w:r>
    </w:p>
    <w:p>
      <w:pPr>
        <w:spacing w:after="120" w:line="276"/>
        <w:jc w:val="both"/>
      </w:pPr>
      <w:r>
        <w:rPr>
          <w:rFonts w:ascii="Calibri" w:cs="Calibri" w:eastAsia="Calibri" w:hAnsi="Calibri"/>
          <w:color w:val="1E293B"/>
          <w:sz w:val="22"/>
          <w:szCs w:val="22"/>
        </w:rPr>
        <w:t xml:space="preserve">Müştəri tapıldıqdan və ya yeni yaradıldıqdan sonra sistem avtomatik olaraq Asanfinance xidmətinə müraciət edərək müştərinin şəxsi məlumatlarını əldə edir. AsanfinanceController sinfi vasitəsilə həyata keçirilən bu əməliyyat '/api/v1/PersonalInfo/PinAndDocNumber' endpoint-ə sorğu göndərir. Sorğuda müştərinin PIN kodu və sənəd nömrəsi (passport) ötürülür. Cavab JSON formatında qayıdır və sistem Clojure dilində yazılmış 'parse-json' funksiyası vasitəsilə təhlil edir.</w:t>
      </w:r>
    </w:p>
    <w:p>
      <w:pPr>
        <w:spacing w:after="120" w:line="276"/>
        <w:jc w:val="both"/>
      </w:pPr>
      <w:r>
        <w:rPr>
          <w:rFonts w:ascii="Calibri" w:cs="Calibri" w:eastAsia="Calibri" w:hAnsi="Calibri"/>
          <w:color w:val="1E293B"/>
          <w:sz w:val="22"/>
          <w:szCs w:val="22"/>
        </w:rPr>
        <w:t xml:space="preserve">Asanfinance PersonalInfo xidməti aşağıdakı məlumatları təmin edir: ad (name), soyad (surname), ata adı (patronymic), doğum tarixi (birthDate), doğum yeri (birthPlace), cinsi (genderId - Kişi/Qadın), ailə vəziyyəti (maritalStatusId - Evli/Subay/Dul), sənəd verilmə tarixi (givenDate), sənədin bitmə tarixi (expireDate), verən təşkilat (givenOrganization), sənəd seriya nömrəsi (documentSeriaNumber), qeydiyyat ünvanı (registrationAddress), şəhər (city), rayon (district), küçə (street), ev (house), mənzil (flat). Bu məlumatlar 'IPersonalData' interfeysi vasitəsilə standartlaşdırılmışdır.</w:t>
      </w:r>
    </w:p>
    <w:p>
      <w:pPr>
        <w:spacing w:after="120" w:line="276"/>
        <w:jc w:val="both"/>
      </w:pPr>
      <w:r>
        <w:rPr>
          <w:rFonts w:ascii="Calibri" w:cs="Calibri" w:eastAsia="Calibri" w:hAnsi="Calibri"/>
          <w:color w:val="1E293B"/>
          <w:sz w:val="22"/>
          <w:szCs w:val="22"/>
        </w:rPr>
        <w:t xml:space="preserve">AsanfinanceController xüsusi xüsusiyyətlərə malikdir: gündəlik API çağırış limiti mövcuddur (asanfinance.maxdaily parametri), sorğular cache-də saxlanılır (asanfinance.cache gün sayı qədər), timeout 60 saniyə təyin edilib. Əlavə olaraq, sistem Asanfinance ilə yanaşı alternativ provider dəstəkləyir: 'personal.info.provider' parametri 'asanfinance' (default) və ya 'azintelekom_sima' (SIMA ilə şəxsiyyət təsdiqi) ola bilər.</w:t>
      </w:r>
    </w:p>
    <w:p>
      <w:pPr>
        <w:spacing w:after="120" w:line="276"/>
        <w:jc w:val="both"/>
      </w:pPr>
      <w:r>
        <w:rPr>
          <w:rFonts w:ascii="Calibri" w:cs="Calibri" w:eastAsia="Calibri" w:hAnsi="Calibri"/>
          <w:color w:val="1E293B"/>
          <w:sz w:val="22"/>
          <w:szCs w:val="22"/>
        </w:rPr>
        <w:t xml:space="preserve">Asanfinance cavabı alındıqdan sonra 'personalInfoReplaceRetailClientFields' metodu vasitəsilə müştəri məlumatları RetailClient entity-sinin XML modelinə (xe_rclient konfiqurasiyası) avtomatik olaraq köçürülür. Bu köçürmədən əvvəl sistem sənədin düzgünlüyünü yoxlayır: 'isIncorrectPassport' metodu 'Vəsiqə məlumatı tapılmadı' səhvini aşkar edərsə, proses dayandırılır. Əgər cavab statusu 0 deyilsə və ya errors siyahısı boş deyilsə, müvafiq səhv mesajı göstərilir.</w:t>
      </w:r>
    </w:p>
    <w:p>
      <w:pPr>
        <w:pStyle w:val="Heading2"/>
        <w:spacing w:after="160" w:before="300" w:line="276"/>
      </w:pPr>
      <w:r>
        <w:rPr>
          <w:rFonts w:ascii="Times New Roman" w:cs="Times New Roman" w:eastAsia="Times New Roman" w:hAnsi="Times New Roman"/>
          <w:b/>
          <w:bCs/>
          <w:color w:val="020617"/>
          <w:sz w:val="26"/>
          <w:szCs w:val="26"/>
        </w:rPr>
        <w:t xml:space="preserve">2.5 Yeni Müştərinin Yaradılması və Case Təsvirinin Müəyyən Edilməsi</w:t>
      </w:r>
    </w:p>
    <w:p>
      <w:pPr>
        <w:spacing w:after="120" w:line="276"/>
        <w:jc w:val="both"/>
      </w:pPr>
      <w:r>
        <w:rPr>
          <w:rFonts w:ascii="Calibri" w:cs="Calibri" w:eastAsia="Calibri" w:hAnsi="Calibri"/>
          <w:color w:val="1E293B"/>
          <w:sz w:val="22"/>
          <w:szCs w:val="22"/>
        </w:rPr>
        <w:t xml:space="preserve">Əgər müştəri sistemi ilk dəfə istifadə edirsə, 'create new client' node-u aktivləşir. Bu node-da 'op_create_partner_new' əməliyyatı icra edilir və yeni Person entity-si yaradılır. Asanfinance-dan alınmış bütün şəxsi məlumatlar bu yeni Person-a köçürülür. Daha sonra 'set case description 1' adlanan avtomatik node icra edilir: bu node 'bpmactSetCaseDescriptionFromPartner' sinfi vasitəsilə Case-in təsvirini '{TamHüquqiAd} {CaseOid}' formatında təyin edir. Bu, sistemdə hər bir işin asan tapılması üçün vacibdir.</w:t>
      </w:r>
    </w:p>
    <w:p>
      <w:pPr>
        <w:pStyle w:val="Heading2"/>
        <w:spacing w:after="160" w:before="300" w:line="276"/>
      </w:pPr>
      <w:r>
        <w:rPr>
          <w:rFonts w:ascii="Times New Roman" w:cs="Times New Roman" w:eastAsia="Times New Roman" w:hAnsi="Times New Roman"/>
          <w:b/>
          <w:bCs/>
          <w:color w:val="020617"/>
          <w:sz w:val="26"/>
          <w:szCs w:val="26"/>
        </w:rPr>
        <w:t xml:space="preserve">2.6 Mövcud Müştəri Məlumatlarının Göstərilməsi</w:t>
      </w:r>
    </w:p>
    <w:p>
      <w:pPr>
        <w:spacing w:after="120" w:line="276"/>
        <w:jc w:val="both"/>
      </w:pPr>
      <w:r>
        <w:rPr>
          <w:rFonts w:ascii="Calibri" w:cs="Calibri" w:eastAsia="Calibri" w:hAnsi="Calibri"/>
          <w:color w:val="1E293B"/>
          <w:sz w:val="22"/>
          <w:szCs w:val="22"/>
        </w:rPr>
        <w:t xml:space="preserve">Əgər müştəri artıq sistemdə qeydiyyatdadır (PIN ilə tapılıbsa), 'show existing client data' node-una keçid edilir. Bu node-da 'op_asanfinance_person_info_update' əməliyyatı icra edilir və müştərinin mövcud məlumatları Asanfinance-dan alınmış yeni məlumatlarla müqayisə olunur. Kredit eksperti dəyişiklikləri nəzərdən keçirir və təsdiqləyir. Bundan sonra eyni 'set case description 1' node-u icra edilir.</w:t>
      </w:r>
    </w:p>
    <w:p>
      <w:pPr>
        <w:pStyle w:val="Heading1"/>
        <w:spacing w:after="200" w:before="400" w:line="276"/>
      </w:pPr>
      <w:r>
        <w:rPr>
          <w:rFonts w:ascii="Times New Roman" w:cs="Times New Roman" w:eastAsia="Times New Roman" w:hAnsi="Times New Roman"/>
          <w:b/>
          <w:bCs/>
          <w:color w:val="020617"/>
          <w:sz w:val="32"/>
          <w:szCs w:val="32"/>
        </w:rPr>
        <w:t xml:space="preserve">3. Kredit Müraciətinin Yaradılması</w:t>
      </w:r>
    </w:p>
    <w:p>
      <w:pPr>
        <w:spacing w:after="120" w:line="276"/>
        <w:jc w:val="both"/>
      </w:pPr>
      <w:r>
        <w:rPr>
          <w:rFonts w:ascii="Calibri" w:cs="Calibri" w:eastAsia="Calibri" w:hAnsi="Calibri"/>
          <w:color w:val="1E293B"/>
          <w:sz w:val="22"/>
          <w:szCs w:val="22"/>
        </w:rPr>
        <w:t xml:space="preserve">Müştəri identifikasiyası tamamlandıqdan sonra növbəti addım kredit müraciətinin özünün yaradılmasıdır. Bu mərhələ 'create application' adlanan BPM task node-unda həyata keçirilir və 'op_create_retail_app' (bpmopCreateRetailApplication) əməliyyat sinfi tərəfindən idarə olunur.</w:t>
      </w:r>
    </w:p>
    <w:p>
      <w:pPr>
        <w:pStyle w:val="Heading2"/>
        <w:spacing w:after="160" w:before="300" w:line="276"/>
      </w:pPr>
      <w:r>
        <w:rPr>
          <w:rFonts w:ascii="Times New Roman" w:cs="Times New Roman" w:eastAsia="Times New Roman" w:hAnsi="Times New Roman"/>
          <w:b/>
          <w:bCs/>
          <w:color w:val="020617"/>
          <w:sz w:val="26"/>
          <w:szCs w:val="26"/>
        </w:rPr>
        <w:t xml:space="preserve">3.1 RetailApplication Entity-sinin Yaradılması</w:t>
      </w:r>
    </w:p>
    <w:p>
      <w:pPr>
        <w:spacing w:after="120" w:line="276"/>
        <w:jc w:val="both"/>
      </w:pPr>
      <w:r>
        <w:rPr>
          <w:rFonts w:ascii="Calibri" w:cs="Calibri" w:eastAsia="Calibri" w:hAnsi="Calibri"/>
          <w:color w:val="1E293B"/>
          <w:sz w:val="22"/>
          <w:szCs w:val="22"/>
        </w:rPr>
        <w:t xml:space="preserve">bpmopCreateRetailApplication sinfi iş icra edərkən aşağıdakı əməliyyatları yerinə yetirir. Əvvəlcə məbləğin 0-dan böyük olub olmadığını yoxlayır. RCASH + CüzdanMobile halında vərəqələşmə formasını avtomatik olaraq '020' (kart) təyin edir. Məhsulun məbləğ, müddət və faiz dərəcəsi diapazonlarını yoxlayır. Daha sonra CreateRetailApplicationController.createOrUpdateApplication() metodu çağırılır və RetailApplication entity-si yaradılır və ya yenilənir.</w:t>
      </w:r>
    </w:p>
    <w:p>
      <w:pPr>
        <w:spacing w:after="120" w:line="276"/>
        <w:jc w:val="both"/>
      </w:pPr>
      <w:r>
        <w:rPr>
          <w:rFonts w:ascii="Calibri" w:cs="Calibri" w:eastAsia="Calibri" w:hAnsi="Calibri"/>
          <w:color w:val="1E293B"/>
          <w:sz w:val="22"/>
          <w:szCs w:val="22"/>
        </w:rPr>
        <w:t xml:space="preserve">RetailApplication sinfi LW sistemində əsas entity-lərdən biridir və aşağıdakı mühüm sahələri ehtiva edir: uuid (unikal identifikator), version (Hibernate versiyası), busCase (BPM Case), application (LoanApplication - əsas LW kredit müraciəti), analysis (Analysis - kredit təhlili), loan (Loan - yaradılmış kredit sözləşməsi), branch (filial), clients (RetailClient siyahısı - 0-cı indeks əsas müştəri, qalanları zaminlər), person (əsas borclu şəxs), disbursementFee (vərəqələşmə haqqı faizi), rejected (imtina bayrağı), completed (tamamlanma bayrağı), decisionCodes (kredit admin qərar kodları), disbursementForm (vərəqələşmə növü - 010 nağd kassa, 020 kart), cardNumber (kart nömrəsi), goods (təminat əşyaları siyahısı), comments (şərhlər), additionalData (XML uzantıları).</w:t>
      </w:r>
    </w:p>
    <w:p>
      <w:pPr>
        <w:pStyle w:val="Heading2"/>
        <w:spacing w:after="160" w:before="300" w:line="276"/>
      </w:pPr>
      <w:r>
        <w:rPr>
          <w:rFonts w:ascii="Times New Roman" w:cs="Times New Roman" w:eastAsia="Times New Roman" w:hAnsi="Times New Roman"/>
          <w:b/>
          <w:bCs/>
          <w:color w:val="020617"/>
          <w:sz w:val="26"/>
          <w:szCs w:val="26"/>
        </w:rPr>
        <w:t xml:space="preserve">3.2 Qısa Müraciət Məlumatlarının Daxil Edilməsi</w:t>
      </w:r>
    </w:p>
    <w:p>
      <w:pPr>
        <w:spacing w:after="120" w:line="276"/>
        <w:jc w:val="both"/>
      </w:pPr>
      <w:r>
        <w:rPr>
          <w:rFonts w:ascii="Calibri" w:cs="Calibri" w:eastAsia="Calibri" w:hAnsi="Calibri"/>
          <w:color w:val="1E293B"/>
          <w:sz w:val="22"/>
          <w:szCs w:val="22"/>
        </w:rPr>
        <w:t xml:space="preserve">Müraciət yaradıldıqdan sonra 'enter brief application data' node-una keçid edilir. Bu node 'credit officer' swimlane-ındadır və 'op_enter_brief_appl' əməliyyatı icra edilir. Bu mərhələdə xmluiFilePath 'addons/embafinance/xmlui/retail/application_brief.xml' olaraq təyin olunub, yəni daha sadələşdirilmiş forma göstərilir. 'fullMode' parametri 'false' olduğu üçün yalnız əsas sahələr daxil edilir: kredit məbləği, müddət (ay), faiz dərəcəsi, kredit məqsədi. 'moveDataToMasterRecord' parametri 'false' olduğu üçün məlumatlar hələ master record-a köçürülmür.</w:t>
      </w:r>
    </w:p>
    <w:p>
      <w:pPr>
        <w:spacing w:after="120" w:line="276"/>
        <w:jc w:val="both"/>
      </w:pPr>
      <w:r>
        <w:rPr>
          <w:rFonts w:ascii="Calibri" w:cs="Calibri" w:eastAsia="Calibri" w:hAnsi="Calibri"/>
          <w:color w:val="1E293B"/>
          <w:sz w:val="22"/>
          <w:szCs w:val="22"/>
        </w:rPr>
        <w:t xml:space="preserve">Bu mərhələdə kredit eksperti müştərinin istədiyi məbləği, neçə ay müddətinə və hansı faiz dərəcəsi ilə kredit almaq istədiyini daxil edir. Sistem özü default faiz dərəcəsini məhsul konfiqurasiyasından təklif edir. Əgər məhsul 'promo' (kampniya) dəstəkləyirsə, kredit eksperti promo bayrağını aktivləşdirə bilər. Bu mərhələ bitdikdən sonra 'data verification' node-una keçid edilir.</w:t>
      </w:r>
    </w:p>
    <w:p>
      <w:pPr>
        <w:pStyle w:val="Heading2"/>
        <w:spacing w:after="160" w:before="300" w:line="276"/>
      </w:pPr>
      <w:r>
        <w:rPr>
          <w:rFonts w:ascii="Times New Roman" w:cs="Times New Roman" w:eastAsia="Times New Roman" w:hAnsi="Times New Roman"/>
          <w:b/>
          <w:bCs/>
          <w:color w:val="020617"/>
          <w:sz w:val="26"/>
          <w:szCs w:val="26"/>
        </w:rPr>
        <w:t xml:space="preserve">3.3 İlk Ödəniş Planının Göstərilməsi</w:t>
      </w:r>
    </w:p>
    <w:p>
      <w:pPr>
        <w:spacing w:after="120" w:line="276"/>
        <w:jc w:val="both"/>
      </w:pPr>
      <w:r>
        <w:rPr>
          <w:rFonts w:ascii="Calibri" w:cs="Calibri" w:eastAsia="Calibri" w:hAnsi="Calibri"/>
          <w:color w:val="1E293B"/>
          <w:sz w:val="22"/>
          <w:szCs w:val="22"/>
        </w:rPr>
        <w:t xml:space="preserve">Qısa məlumatlar daxil edildikdən sonra 'enter initial schedule' node-unda ödəniş planı göstərilir. Bu node-da 'op_enter_initial_data' əməliyyatı icra edilir və EmbafinancePaymentScheduleForProductViewChangeListener dinləyicisi istifadə olunur. Əsas xüsusiyyət odur ki, 'disableAllOperations' parametri 'true' olduğu üçün bu mərhələdə ödəniş planı yalnız oxumaq (read-only) üçün göstərilir, heç bir dəyişiklik edilə bilməz. Kredit eksperti bu planı nəzərdən keçirir və 'continue' keçidi ilə növbəti addıma ötürür.</w:t>
      </w:r>
    </w:p>
    <w:p>
      <w:pPr>
        <w:spacing w:after="120" w:line="276"/>
        <w:jc w:val="both"/>
      </w:pPr>
      <w:r>
        <w:rPr>
          <w:rFonts w:ascii="Calibri" w:cs="Calibri" w:eastAsia="Calibri" w:hAnsi="Calibri"/>
          <w:color w:val="1E293B"/>
          <w:sz w:val="22"/>
          <w:szCs w:val="22"/>
        </w:rPr>
        <w:t xml:space="preserve">Ödəniş planının hesablanması RetailApplication.setNewProposedConditions() metodu vasitəsilə aparılır. Bu metod aşağıdakı parametrləri təyin edir: AmountDisbursed (veriləcək məbləğ), DisbursementDate (filialın iş tarixi), InterestRate (faiz dərəcəsi), LoanTermUnit (aylar), LoanTerm (müddət), PaymentFrequency (aylıq). Daha sonra ctl.createNewSchedule() metodu çağırılır və ödəniş cədvəli yaradılır. Əgər promo aktivdirsə, UTIL.applyPromo_toSchedule() metodu vasitəsilə Clojure dilində yazılmış 'get-grace-period-for-application' funksiyası çağırılır və ödəniş planının ilk N ayları silinir (grace period - güzəşt müddəti). Hər bir aylıq ödənişin minimum 20 AZN (MIN_REGULAR_REPAYMENT) olmasını təmin edən yoxlama aparılır.</w:t>
      </w:r>
    </w:p>
    <w:p>
      <w:pPr>
        <w:pStyle w:val="Heading1"/>
        <w:spacing w:after="200" w:before="400" w:line="276"/>
      </w:pPr>
      <w:r>
        <w:rPr>
          <w:rFonts w:ascii="Times New Roman" w:cs="Times New Roman" w:eastAsia="Times New Roman" w:hAnsi="Times New Roman"/>
          <w:b/>
          <w:bCs/>
          <w:color w:val="020617"/>
          <w:sz w:val="32"/>
          <w:szCs w:val="32"/>
        </w:rPr>
        <w:t xml:space="preserve">4. Scoring və Prescoring Sistemi</w:t>
      </w:r>
    </w:p>
    <w:p>
      <w:pPr>
        <w:spacing w:after="120" w:line="276"/>
        <w:jc w:val="both"/>
      </w:pPr>
      <w:r>
        <w:rPr>
          <w:rFonts w:ascii="Calibri" w:cs="Calibri" w:eastAsia="Calibri" w:hAnsi="Calibri"/>
          <w:color w:val="1E293B"/>
          <w:sz w:val="22"/>
          <w:szCs w:val="22"/>
        </w:rPr>
        <w:t xml:space="preserve">RCASH prosesində scoring ən mühim avtomatik yoxlama mexanizmlərindən biridir. Scoring sistemi 7 prioritetli kaskad şəklində işləyir və hər prioritetdə müəyyən qaydalar yoxlanılır. Əgər hər hansı bir prioritetdə rədd səbəbi (rejection reason) tapılarsa, scoring dayandırılır və müraciət risk ofiserinə (Risk Officer) göndərilir. Scoring prosesi ScoringCase entity-si ətrafında qurulub və Clojure dilində yazılmış cutoff funksiyaları vasitəsilə həyata keçirilir.</w:t>
      </w:r>
    </w:p>
    <w:p>
      <w:pPr>
        <w:pStyle w:val="Heading2"/>
        <w:spacing w:after="160" w:before="300" w:line="276"/>
      </w:pPr>
      <w:r>
        <w:rPr>
          <w:rFonts w:ascii="Times New Roman" w:cs="Times New Roman" w:eastAsia="Times New Roman" w:hAnsi="Times New Roman"/>
          <w:b/>
          <w:bCs/>
          <w:color w:val="020617"/>
          <w:sz w:val="26"/>
          <w:szCs w:val="26"/>
        </w:rPr>
        <w:t xml:space="preserve">4.1 ScoringCase Entity-si</w:t>
      </w:r>
    </w:p>
    <w:p>
      <w:pPr>
        <w:spacing w:after="120" w:line="276"/>
        <w:jc w:val="both"/>
      </w:pPr>
      <w:r>
        <w:rPr>
          <w:rFonts w:ascii="Calibri" w:cs="Calibri" w:eastAsia="Calibri" w:hAnsi="Calibri"/>
          <w:color w:val="1E293B"/>
          <w:sz w:val="22"/>
          <w:szCs w:val="22"/>
        </w:rPr>
        <w:t xml:space="preserve">ScoringCase sinfi scoring prosesinin əsas data strukturudur. Aşağıdakı sahələri ehtiva edir: uuid, pin (müştəri PIN), employedOfficiallyId (rəsmi işçi olma vəziyyəti - 2: işsiz, 3: işəgötürən, 4: özəl müəssisəçi, 5: hər ikisi), busCase (BPM Case), retailApplication (RCASH üçün), shopApplication (RSHOP üçün), otpData (OTP məlumatları), akbScoring (AKB scoring nəticəsi), akbHistory (AKB kredit tarixi), asanfinanceData (Asanfinance cavabları), scorePoints (AKB balı, default -1), scoreCard (sse_score_card konfiqurasiyası), cutOffs (sse_cutoffs_rcash konfiqurasiyası), preliminaryScore, score, scoreCategory ('MAYBE' = scoring istisnası), rejectionReason, manualRejectionOverride, manualRejectionOverrideBy.</w:t>
      </w:r>
    </w:p>
    <w:p>
      <w:pPr>
        <w:spacing w:after="120" w:line="276"/>
        <w:jc w:val="both"/>
      </w:pPr>
      <w:r>
        <w:rPr>
          <w:rFonts w:ascii="Calibri" w:cs="Calibri" w:eastAsia="Calibri" w:hAnsi="Calibri"/>
          <w:color w:val="1E293B"/>
          <w:sz w:val="22"/>
          <w:szCs w:val="22"/>
        </w:rPr>
        <w:t xml:space="preserve">ScoringCase-də icazə verilən məhsul kodları: ABC, ACZ, ACW, RBC, RST. Bu kodlardan kənarda olan məhsullar üçün scoring keçirilmir. CutOff səviyyələri cutOff1-dən cutOff7-yə qədər müəyyən edilmişdir və hər biri müəyyən bir prioriteti təmsil edir.</w:t>
      </w:r>
    </w:p>
    <w:p>
      <w:pPr>
        <w:pStyle w:val="Heading2"/>
        <w:spacing w:after="160" w:before="300" w:line="276"/>
      </w:pPr>
      <w:r>
        <w:rPr>
          <w:rFonts w:ascii="Times New Roman" w:cs="Times New Roman" w:eastAsia="Times New Roman" w:hAnsi="Times New Roman"/>
          <w:b/>
          <w:bCs/>
          <w:color w:val="020617"/>
          <w:sz w:val="26"/>
          <w:szCs w:val="26"/>
        </w:rPr>
        <w:t xml:space="preserve">4.2 Yeddi Prioritetli Scoring Kaskadı</w:t>
      </w:r>
    </w:p>
    <w:p>
      <w:pPr>
        <w:spacing w:after="120" w:line="276"/>
        <w:jc w:val="both"/>
      </w:pPr>
      <w:r>
        <w:rPr>
          <w:rFonts w:ascii="Calibri" w:cs="Calibri" w:eastAsia="Calibri" w:hAnsi="Calibri"/>
          <w:color w:val="1E293B"/>
          <w:sz w:val="22"/>
          <w:szCs w:val="22"/>
        </w:rPr>
        <w:t xml:space="preserve">RCASH prosesi üçün scoring kaskadı RSHOP-dan fərqli olaraq 7 prioriteti əhatə edir (RSHOP yalnız 4 prioritet istifadə edir). Scoring konfiqurasiyası 'sse_cutoffs_rcash' adlı Cellforms konfiqurasiyasında saxlanılır və hal-hazırda v4 versiyası istifadə olunur (cutoffs_rcash_v4.xlsx). Kaskadın hər bir prioriteti müstəqil Clojure funksiyası vasitəsilə yoxlanır:</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40"/>
          <w:bottom w:type="dxa" w:w="60"/>
          <w:right w:type="dxa" w:w="140"/>
        </w:tblCellMar>
      </w:tblPr>
      <w:tblGrid>
        <w:gridCol w:w="1100"/>
        <w:gridCol w:w="1600"/>
        <w:gridCol w:w="1600"/>
        <w:gridCol w:w="2400"/>
        <w:gridCol w:w="2660"/>
      </w:tblGrid>
      <w:tr>
        <w:trPr>
          <w:tblHeader/>
        </w:trPr>
        <w:tc>
          <w:tcPr>
            <w:tcW w:type="dxa" w:w="1100"/>
            <w:tcBorders>
              <w:top w:val="single" w:color="94A3B8" w:sz="1"/>
              <w:left w:val="single" w:color="94A3B8" w:sz="1"/>
              <w:bottom w:val="single" w:color="94A3B8" w:sz="1"/>
              <w:right w:val="single" w:color="94A3B8" w:sz="1"/>
            </w:tcBorders>
            <w:shd w:fill="E2E8F0" w:val="clear"/>
            <w:vAlign w:val="center"/>
          </w:tcPr>
          <w:p>
            <w:pPr>
              <w:spacing w:line="276"/>
              <w:jc w:val="center"/>
            </w:pPr>
            <w:r>
              <w:rPr>
                <w:rFonts w:ascii="Calibri" w:cs="Calibri" w:eastAsia="Calibri" w:hAnsi="Calibri"/>
                <w:b/>
                <w:bCs/>
                <w:color w:val="020617"/>
                <w:sz w:val="20"/>
                <w:szCs w:val="20"/>
              </w:rPr>
              <w:t xml:space="preserve">Prioritet</w:t>
            </w:r>
          </w:p>
        </w:tc>
        <w:tc>
          <w:tcPr>
            <w:tcW w:type="dxa" w:w="1600"/>
            <w:tcBorders>
              <w:top w:val="single" w:color="94A3B8" w:sz="1"/>
              <w:left w:val="single" w:color="94A3B8" w:sz="1"/>
              <w:bottom w:val="single" w:color="94A3B8" w:sz="1"/>
              <w:right w:val="single" w:color="94A3B8" w:sz="1"/>
            </w:tcBorders>
            <w:shd w:fill="E2E8F0" w:val="clear"/>
            <w:vAlign w:val="center"/>
          </w:tcPr>
          <w:p>
            <w:pPr>
              <w:spacing w:line="276"/>
              <w:jc w:val="center"/>
            </w:pPr>
            <w:r>
              <w:rPr>
                <w:rFonts w:ascii="Calibri" w:cs="Calibri" w:eastAsia="Calibri" w:hAnsi="Calibri"/>
                <w:b/>
                <w:bCs/>
                <w:color w:val="020617"/>
                <w:sz w:val="20"/>
                <w:szCs w:val="20"/>
              </w:rPr>
              <w:t xml:space="preserve">Yoxlamanın Adı</w:t>
            </w:r>
          </w:p>
        </w:tc>
        <w:tc>
          <w:tcPr>
            <w:tcW w:type="dxa" w:w="1600"/>
            <w:tcBorders>
              <w:top w:val="single" w:color="94A3B8" w:sz="1"/>
              <w:left w:val="single" w:color="94A3B8" w:sz="1"/>
              <w:bottom w:val="single" w:color="94A3B8" w:sz="1"/>
              <w:right w:val="single" w:color="94A3B8" w:sz="1"/>
            </w:tcBorders>
            <w:shd w:fill="E2E8F0" w:val="clear"/>
            <w:vAlign w:val="center"/>
          </w:tcPr>
          <w:p>
            <w:pPr>
              <w:spacing w:line="276"/>
              <w:jc w:val="center"/>
            </w:pPr>
            <w:r>
              <w:rPr>
                <w:rFonts w:ascii="Calibri" w:cs="Calibri" w:eastAsia="Calibri" w:hAnsi="Calibri"/>
                <w:b/>
                <w:bCs/>
                <w:color w:val="020617"/>
                <w:sz w:val="20"/>
                <w:szCs w:val="20"/>
              </w:rPr>
              <w:t xml:space="preserve">Məlumat Mənbəyi</w:t>
            </w:r>
          </w:p>
        </w:tc>
        <w:tc>
          <w:tcPr>
            <w:tcW w:type="dxa" w:w="2400"/>
            <w:tcBorders>
              <w:top w:val="single" w:color="94A3B8" w:sz="1"/>
              <w:left w:val="single" w:color="94A3B8" w:sz="1"/>
              <w:bottom w:val="single" w:color="94A3B8" w:sz="1"/>
              <w:right w:val="single" w:color="94A3B8" w:sz="1"/>
            </w:tcBorders>
            <w:shd w:fill="E2E8F0" w:val="clear"/>
            <w:vAlign w:val="center"/>
          </w:tcPr>
          <w:p>
            <w:pPr>
              <w:spacing w:line="276"/>
              <w:jc w:val="center"/>
            </w:pPr>
            <w:r>
              <w:rPr>
                <w:rFonts w:ascii="Calibri" w:cs="Calibri" w:eastAsia="Calibri" w:hAnsi="Calibri"/>
                <w:b/>
                <w:bCs/>
                <w:color w:val="020617"/>
                <w:sz w:val="20"/>
                <w:szCs w:val="20"/>
              </w:rPr>
              <w:t xml:space="preserve">Rədd Kodları</w:t>
            </w:r>
          </w:p>
        </w:tc>
        <w:tc>
          <w:tcPr>
            <w:tcW w:type="dxa" w:w="2660"/>
            <w:tcBorders>
              <w:top w:val="single" w:color="94A3B8" w:sz="1"/>
              <w:left w:val="single" w:color="94A3B8" w:sz="1"/>
              <w:bottom w:val="single" w:color="94A3B8" w:sz="1"/>
              <w:right w:val="single" w:color="94A3B8" w:sz="1"/>
            </w:tcBorders>
            <w:shd w:fill="E2E8F0" w:val="clear"/>
            <w:vAlign w:val="center"/>
          </w:tcPr>
          <w:p>
            <w:pPr>
              <w:spacing w:line="276"/>
              <w:jc w:val="center"/>
            </w:pPr>
            <w:r>
              <w:rPr>
                <w:rFonts w:ascii="Calibri" w:cs="Calibri" w:eastAsia="Calibri" w:hAnsi="Calibri"/>
                <w:b/>
                <w:bCs/>
                <w:color w:val="020617"/>
                <w:sz w:val="20"/>
                <w:szCs w:val="20"/>
              </w:rPr>
              <w:t xml:space="preserve">Təsvir</w:t>
            </w:r>
          </w:p>
        </w:tc>
      </w:tr>
      <w:tr>
        <w:tc>
          <w:tcPr>
            <w:tcW w:type="dxa" w:w="11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1</w:t>
            </w:r>
          </w:p>
        </w:tc>
        <w:tc>
          <w:tcPr>
            <w:tcW w:type="dxa" w:w="16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Tarixi rədd müraciətləri</w:t>
            </w:r>
          </w:p>
        </w:tc>
        <w:tc>
          <w:tcPr>
            <w:tcW w:type="dxa" w:w="16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LW DB</w:t>
            </w:r>
          </w:p>
        </w:tc>
        <w:tc>
          <w:tcPr>
            <w:tcW w:type="dxa" w:w="2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R_1010, R_1020, R_1030, R_1040, R_1050, R_1060, R_1070, R_1080, R_1110</w:t>
            </w:r>
          </w:p>
        </w:tc>
        <w:tc>
          <w:tcPr>
            <w:tcW w:type="dxa" w:w="26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Yaş limiti, PIN yoxlaması, borc yükü, cari gecikmə, çoxsaylı aktiv kreditlər, gözləmə müddəti, borc/gəlir nisbəti, zamin yaşı</w:t>
            </w:r>
          </w:p>
        </w:tc>
      </w:tr>
      <w:tr>
        <w:tc>
          <w:tcPr>
            <w:tcW w:type="dxa" w:w="11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2</w:t>
            </w:r>
          </w:p>
        </w:tc>
        <w:tc>
          <w:tcPr>
            <w:tcW w:type="dxa" w:w="16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Şəxsi məlumatların doğruluğu</w:t>
            </w:r>
          </w:p>
        </w:tc>
        <w:tc>
          <w:tcPr>
            <w:tcW w:type="dxa" w:w="16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Asanfinance PersonalInfo</w:t>
            </w:r>
          </w:p>
        </w:tc>
        <w:tc>
          <w:tcPr>
            <w:tcW w:type="dxa" w:w="2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Hər bir sahə üçün</w:t>
            </w:r>
          </w:p>
        </w:tc>
        <w:tc>
          <w:tcPr>
            <w:tcW w:type="dxa" w:w="26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Asanfinance-dan gələn məlumatların düzgünlüyü yoxlanılır</w:t>
            </w:r>
          </w:p>
        </w:tc>
      </w:tr>
      <w:tr>
        <w:tc>
          <w:tcPr>
            <w:tcW w:type="dxa" w:w="11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3</w:t>
            </w:r>
          </w:p>
        </w:tc>
        <w:tc>
          <w:tcPr>
            <w:tcW w:type="dxa" w:w="16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AKB Scoring</w:t>
            </w:r>
          </w:p>
        </w:tc>
        <w:tc>
          <w:tcPr>
            <w:tcW w:type="dxa" w:w="16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MKR API</w:t>
            </w:r>
          </w:p>
        </w:tc>
        <w:tc>
          <w:tcPr>
            <w:tcW w:type="dxa" w:w="2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R_3010, R_3020</w:t>
            </w:r>
          </w:p>
        </w:tc>
        <w:tc>
          <w:tcPr>
            <w:tcW w:type="dxa" w:w="26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AKB balı və istisna kodu yoxlanılır</w:t>
            </w:r>
          </w:p>
        </w:tc>
      </w:tr>
      <w:tr>
        <w:tc>
          <w:tcPr>
            <w:tcW w:type="dxa" w:w="11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4</w:t>
            </w:r>
          </w:p>
        </w:tc>
        <w:tc>
          <w:tcPr>
            <w:tcW w:type="dxa" w:w="16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AKB Kredit Tarixi</w:t>
            </w:r>
          </w:p>
        </w:tc>
        <w:tc>
          <w:tcPr>
            <w:tcW w:type="dxa" w:w="16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MKR API</w:t>
            </w:r>
          </w:p>
        </w:tc>
        <w:tc>
          <w:tcPr>
            <w:tcW w:type="dxa" w:w="2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R_4020, R_4021, R_4025</w:t>
            </w:r>
          </w:p>
        </w:tc>
        <w:tc>
          <w:tcPr>
            <w:tcW w:type="dxa" w:w="26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Gecikmə məbləği, maksimum gecikmə günləri, payday loan sayı</w:t>
            </w:r>
          </w:p>
        </w:tc>
      </w:tr>
      <w:tr>
        <w:tc>
          <w:tcPr>
            <w:tcW w:type="dxa" w:w="11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5</w:t>
            </w:r>
          </w:p>
        </w:tc>
        <w:tc>
          <w:tcPr>
            <w:tcW w:type="dxa" w:w="16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İşçi/Müəllim məlumatları</w:t>
            </w:r>
          </w:p>
        </w:tc>
        <w:tc>
          <w:tcPr>
            <w:tcW w:type="dxa" w:w="16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Asanfinance Employee/Pension</w:t>
            </w:r>
          </w:p>
        </w:tc>
        <w:tc>
          <w:tcPr>
            <w:tcW w:type="dxa" w:w="2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Employed_off asılıdır</w:t>
            </w:r>
          </w:p>
        </w:tc>
        <w:tc>
          <w:tcPr>
            <w:tcW w:type="dxa" w:w="26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İşçi statusuna görə uyğun xidmət çağırılır</w:t>
            </w:r>
          </w:p>
        </w:tc>
      </w:tr>
      <w:tr>
        <w:tc>
          <w:tcPr>
            <w:tcW w:type="dxa" w:w="11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6</w:t>
            </w:r>
          </w:p>
        </w:tc>
        <w:tc>
          <w:tcPr>
            <w:tcW w:type="dxa" w:w="16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Əlavə qaydalar</w:t>
            </w:r>
          </w:p>
        </w:tc>
        <w:tc>
          <w:tcPr>
            <w:tcW w:type="dxa" w:w="16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Cellforms data</w:t>
            </w:r>
          </w:p>
        </w:tc>
        <w:tc>
          <w:tcPr>
            <w:tcW w:type="dxa" w:w="2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Məhsul asılıdır</w:t>
            </w:r>
          </w:p>
        </w:tc>
        <w:tc>
          <w:tcPr>
            <w:tcW w:type="dxa" w:w="26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Employee/Pension data əlavə yoxlamaları</w:t>
            </w:r>
          </w:p>
        </w:tc>
      </w:tr>
      <w:tr>
        <w:tc>
          <w:tcPr>
            <w:tcW w:type="dxa" w:w="11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7</w:t>
            </w:r>
          </w:p>
        </w:tc>
        <w:tc>
          <w:tcPr>
            <w:tcW w:type="dxa" w:w="16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Final scoring hesablaması</w:t>
            </w:r>
          </w:p>
        </w:tc>
        <w:tc>
          <w:tcPr>
            <w:tcW w:type="dxa" w:w="16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Bütün məlumatlar</w:t>
            </w:r>
          </w:p>
        </w:tc>
        <w:tc>
          <w:tcPr>
            <w:tcW w:type="dxa" w:w="2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Bütünlükdə</w:t>
            </w:r>
          </w:p>
        </w:tc>
        <w:tc>
          <w:tcPr>
            <w:tcW w:type="dxa" w:w="26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Cutoff-priority7-check + scoring-result funksiyası</w:t>
            </w:r>
          </w:p>
        </w:tc>
      </w:tr>
    </w:tbl>
    <w:p>
      <w:pPr>
        <w:spacing w:after="120" w:line="276"/>
        <w:jc w:val="both"/>
      </w:pPr>
      <w:r>
        <w:rPr>
          <w:rFonts w:ascii="Calibri" w:cs="Calibri" w:eastAsia="Calibri" w:hAnsi="Calibri"/>
          <w:color w:val="1E293B"/>
          <w:sz w:val="22"/>
          <w:szCs w:val="22"/>
        </w:rPr>
        <w:t xml:space="preserve">Cədvəl 1: RCASH Scoring Kaskadının Prioritetləri</w:t>
      </w:r>
    </w:p>
    <w:p>
      <w:pPr>
        <w:pStyle w:val="Heading2"/>
        <w:spacing w:after="160" w:before="300" w:line="276"/>
      </w:pPr>
      <w:r>
        <w:rPr>
          <w:rFonts w:ascii="Times New Roman" w:cs="Times New Roman" w:eastAsia="Times New Roman" w:hAnsi="Times New Roman"/>
          <w:b/>
          <w:bCs/>
          <w:color w:val="020617"/>
          <w:sz w:val="26"/>
          <w:szCs w:val="26"/>
        </w:rPr>
        <w:t xml:space="preserve">4.3 Prioritet 1 - Tarixi Rədd Müraciətləri və Əsas Yoxlamalar</w:t>
      </w:r>
    </w:p>
    <w:p>
      <w:pPr>
        <w:spacing w:after="120" w:line="276"/>
        <w:jc w:val="both"/>
      </w:pPr>
      <w:r>
        <w:rPr>
          <w:rFonts w:ascii="Calibri" w:cs="Calibri" w:eastAsia="Calibri" w:hAnsi="Calibri"/>
          <w:color w:val="1E293B"/>
          <w:sz w:val="22"/>
          <w:szCs w:val="22"/>
        </w:rPr>
        <w:t xml:space="preserve">Birinci prioritet ən geniş yoxlamaları əhatə edir. Clojure dilində 'fill-priority1-parameters-rcash' funksiyası vasitəsilə aşağıdakı qaydalar yoxlanılır:</w:t>
      </w:r>
    </w:p>
    <w:p>
      <w:pPr>
        <w:pStyle w:val="ListParagraph"/>
        <w:numPr>
          <w:ilvl w:val="0"/>
          <w:numId w:val="2"/>
        </w:numPr>
        <w:spacing w:after="80" w:line="276"/>
        <w:jc w:val="left"/>
      </w:pPr>
      <w:r>
        <w:rPr>
          <w:rFonts w:ascii="Calibri" w:cs="Calibri" w:eastAsia="Calibri" w:hAnsi="Calibri"/>
          <w:b/>
          <w:bCs/>
          <w:color w:val="1E293B"/>
          <w:sz w:val="22"/>
          <w:szCs w:val="22"/>
        </w:rPr>
        <w:t xml:space="preserve">R_1010 - Yaş limiti:</w:t>
      </w:r>
      <w:r>
        <w:rPr>
          <w:rFonts w:ascii="Calibri" w:cs="Calibri" w:eastAsia="Calibri" w:hAnsi="Calibri"/>
          <w:color w:val="1E293B"/>
          <w:sz w:val="22"/>
          <w:szCs w:val="22"/>
        </w:rPr>
        <w:t xml:space="preserve"> Müştərinin yaşı kredit məhsulu üçün müəyyən edilmiş minimum və maksimum yaş həddləri aralığında olmalıdır. Yaş limitini 'ignore_age_limit' parametri ilə istisna etmək mümkündür.</w:t>
      </w:r>
    </w:p>
    <w:p>
      <w:pPr>
        <w:pStyle w:val="ListParagraph"/>
        <w:numPr>
          <w:ilvl w:val="0"/>
          <w:numId w:val="2"/>
        </w:numPr>
        <w:spacing w:after="80" w:line="276"/>
        <w:jc w:val="left"/>
      </w:pPr>
      <w:r>
        <w:rPr>
          <w:rFonts w:ascii="Calibri" w:cs="Calibri" w:eastAsia="Calibri" w:hAnsi="Calibri"/>
          <w:b/>
          <w:bCs/>
          <w:color w:val="1E293B"/>
          <w:sz w:val="22"/>
          <w:szCs w:val="22"/>
        </w:rPr>
        <w:t xml:space="preserve">R_1020 - PIN yoxlaması:</w:t>
      </w:r>
      <w:r>
        <w:rPr>
          <w:rFonts w:ascii="Calibri" w:cs="Calibri" w:eastAsia="Calibri" w:hAnsi="Calibri"/>
          <w:color w:val="1E293B"/>
          <w:sz w:val="22"/>
          <w:szCs w:val="22"/>
        </w:rPr>
        <w:t xml:space="preserve"> Müştərinin PIN kodu düzgün formatda olmalıdır və sistemdə qeydiyyatdan keçmiş olmalıdır.</w:t>
      </w:r>
    </w:p>
    <w:p>
      <w:pPr>
        <w:pStyle w:val="ListParagraph"/>
        <w:numPr>
          <w:ilvl w:val="0"/>
          <w:numId w:val="2"/>
        </w:numPr>
        <w:spacing w:after="80" w:line="276"/>
        <w:jc w:val="left"/>
      </w:pPr>
      <w:r>
        <w:rPr>
          <w:rFonts w:ascii="Calibri" w:cs="Calibri" w:eastAsia="Calibri" w:hAnsi="Calibri"/>
          <w:b/>
          <w:bCs/>
          <w:color w:val="1E293B"/>
          <w:sz w:val="22"/>
          <w:szCs w:val="22"/>
        </w:rPr>
        <w:t xml:space="preserve">R_1030 - Borc yükü:</w:t>
      </w:r>
      <w:r>
        <w:rPr>
          <w:rFonts w:ascii="Calibri" w:cs="Calibri" w:eastAsia="Calibri" w:hAnsi="Calibri"/>
          <w:color w:val="1E293B"/>
          <w:sz w:val="22"/>
          <w:szCs w:val="22"/>
        </w:rPr>
        <w:t xml:space="preserve"> Müştərinin cari aktiv kreditlərinin ümumi aylıq ödənişi gəlirinin müəyyən faizini keçməməlidir.</w:t>
      </w:r>
    </w:p>
    <w:p>
      <w:pPr>
        <w:pStyle w:val="ListParagraph"/>
        <w:numPr>
          <w:ilvl w:val="0"/>
          <w:numId w:val="2"/>
        </w:numPr>
        <w:spacing w:after="80" w:line="276"/>
        <w:jc w:val="left"/>
      </w:pPr>
      <w:r>
        <w:rPr>
          <w:rFonts w:ascii="Calibri" w:cs="Calibri" w:eastAsia="Calibri" w:hAnsi="Calibri"/>
          <w:b/>
          <w:bCs/>
          <w:color w:val="1E293B"/>
          <w:sz w:val="22"/>
          <w:szCs w:val="22"/>
        </w:rPr>
        <w:t xml:space="preserve">R_1040 - Cari gecikmə:</w:t>
      </w:r>
      <w:r>
        <w:rPr>
          <w:rFonts w:ascii="Calibri" w:cs="Calibri" w:eastAsia="Calibri" w:hAnsi="Calibri"/>
          <w:color w:val="1E293B"/>
          <w:sz w:val="22"/>
          <w:szCs w:val="22"/>
        </w:rPr>
        <w:t xml:space="preserve"> Müştərinin hal-hazırda aktiv olan heç bir kreditində gecikmə olmamalıdır.</w:t>
      </w:r>
    </w:p>
    <w:p>
      <w:pPr>
        <w:pStyle w:val="ListParagraph"/>
        <w:numPr>
          <w:ilvl w:val="0"/>
          <w:numId w:val="2"/>
        </w:numPr>
        <w:spacing w:after="80" w:line="276"/>
        <w:jc w:val="left"/>
      </w:pPr>
      <w:r>
        <w:rPr>
          <w:rFonts w:ascii="Calibri" w:cs="Calibri" w:eastAsia="Calibri" w:hAnsi="Calibri"/>
          <w:b/>
          <w:bCs/>
          <w:color w:val="1E293B"/>
          <w:sz w:val="22"/>
          <w:szCs w:val="22"/>
        </w:rPr>
        <w:t xml:space="preserve">R_1050 - Çoxsaylı aktiv kreditlər:</w:t>
      </w:r>
      <w:r>
        <w:rPr>
          <w:rFonts w:ascii="Calibri" w:cs="Calibri" w:eastAsia="Calibri" w:hAnsi="Calibri"/>
          <w:color w:val="1E293B"/>
          <w:sz w:val="22"/>
          <w:szCs w:val="22"/>
        </w:rPr>
        <w:t xml:space="preserve"> Müştərinin eyni vaxtda çox sayda aktiv krediti olmamalıdır.</w:t>
      </w:r>
    </w:p>
    <w:p>
      <w:pPr>
        <w:pStyle w:val="ListParagraph"/>
        <w:numPr>
          <w:ilvl w:val="0"/>
          <w:numId w:val="2"/>
        </w:numPr>
        <w:spacing w:after="80" w:line="276"/>
        <w:jc w:val="left"/>
      </w:pPr>
      <w:r>
        <w:rPr>
          <w:rFonts w:ascii="Calibri" w:cs="Calibri" w:eastAsia="Calibri" w:hAnsi="Calibri"/>
          <w:b/>
          <w:bCs/>
          <w:color w:val="1E293B"/>
          <w:sz w:val="22"/>
          <w:szCs w:val="22"/>
        </w:rPr>
        <w:t xml:space="preserve">R_1060 - Gözləmə müddəti:</w:t>
      </w:r>
      <w:r>
        <w:rPr>
          <w:rFonts w:ascii="Calibri" w:cs="Calibri" w:eastAsia="Calibri" w:hAnsi="Calibri"/>
          <w:color w:val="1E293B"/>
          <w:sz w:val="22"/>
          <w:szCs w:val="22"/>
        </w:rPr>
        <w:t xml:space="preserve"> Əgər müştərinin son rədd olunmuş müraciəti varsa, müəyyən gözləmə müddəti (wait period) bitməmiş yeni müraciət edə bilməz. 'rejection-reason-wait-days' funksiyası gözləmə günlərini hesablayır.</w:t>
      </w:r>
    </w:p>
    <w:p>
      <w:pPr>
        <w:pStyle w:val="ListParagraph"/>
        <w:numPr>
          <w:ilvl w:val="0"/>
          <w:numId w:val="2"/>
        </w:numPr>
        <w:spacing w:after="80" w:line="276"/>
        <w:jc w:val="left"/>
      </w:pPr>
      <w:r>
        <w:rPr>
          <w:rFonts w:ascii="Calibri" w:cs="Calibri" w:eastAsia="Calibri" w:hAnsi="Calibri"/>
          <w:b/>
          <w:bCs/>
          <w:color w:val="1E293B"/>
          <w:sz w:val="22"/>
          <w:szCs w:val="22"/>
        </w:rPr>
        <w:t xml:space="preserve">R_1070 - Borc/gəlir nisbəti (DTI):</w:t>
      </w:r>
      <w:r>
        <w:rPr>
          <w:rFonts w:ascii="Calibri" w:cs="Calibri" w:eastAsia="Calibri" w:hAnsi="Calibri"/>
          <w:color w:val="1E293B"/>
          <w:sz w:val="22"/>
          <w:szCs w:val="22"/>
        </w:rPr>
        <w:t xml:space="preserve"> Müştərinin ümumi borc yükü onun ümumi gəlirinin təhlükəsiz səviyyəsini keçməməlidir.</w:t>
      </w:r>
    </w:p>
    <w:p>
      <w:pPr>
        <w:pStyle w:val="ListParagraph"/>
        <w:numPr>
          <w:ilvl w:val="0"/>
          <w:numId w:val="2"/>
        </w:numPr>
        <w:spacing w:after="80" w:line="276"/>
        <w:jc w:val="left"/>
      </w:pPr>
      <w:r>
        <w:rPr>
          <w:rFonts w:ascii="Calibri" w:cs="Calibri" w:eastAsia="Calibri" w:hAnsi="Calibri"/>
          <w:b/>
          <w:bCs/>
          <w:color w:val="1E293B"/>
          <w:sz w:val="22"/>
          <w:szCs w:val="22"/>
        </w:rPr>
        <w:t xml:space="preserve">R_1080 - Zamin yaşı:</w:t>
      </w:r>
      <w:r>
        <w:rPr>
          <w:rFonts w:ascii="Calibri" w:cs="Calibri" w:eastAsia="Calibri" w:hAnsi="Calibri"/>
          <w:color w:val="1E293B"/>
          <w:sz w:val="22"/>
          <w:szCs w:val="22"/>
        </w:rPr>
        <w:t xml:space="preserve"> Zaminlərin yaşı da müəyyən həddlər daxilində olmalıdır.</w:t>
      </w:r>
    </w:p>
    <w:p>
      <w:pPr>
        <w:pStyle w:val="ListParagraph"/>
        <w:numPr>
          <w:ilvl w:val="0"/>
          <w:numId w:val="2"/>
        </w:numPr>
        <w:spacing w:after="80" w:line="276"/>
        <w:jc w:val="left"/>
      </w:pPr>
      <w:r>
        <w:rPr>
          <w:rFonts w:ascii="Calibri" w:cs="Calibri" w:eastAsia="Calibri" w:hAnsi="Calibri"/>
          <w:b/>
          <w:bCs/>
          <w:color w:val="1E293B"/>
          <w:sz w:val="22"/>
          <w:szCs w:val="22"/>
        </w:rPr>
        <w:t xml:space="preserve">R_1110 - Qabaqcadan xoşagəlməz münasibət:</w:t>
      </w:r>
      <w:r>
        <w:rPr>
          <w:rFonts w:ascii="Calibri" w:cs="Calibri" w:eastAsia="Calibri" w:hAnsi="Calibri"/>
          <w:color w:val="1E293B"/>
          <w:sz w:val="22"/>
          <w:szCs w:val="22"/>
        </w:rPr>
        <w:t xml:space="preserve"> Müştərinin bankla əvvəlki münasibətində problemlər (rudeness, fraud) qeydə alınıbsa.</w:t>
      </w:r>
    </w:p>
    <w:p>
      <w:pPr>
        <w:spacing w:after="120" w:line="276"/>
        <w:jc w:val="both"/>
      </w:pPr>
      <w:r>
        <w:rPr>
          <w:rFonts w:ascii="Calibri" w:cs="Calibri" w:eastAsia="Calibri" w:hAnsi="Calibri"/>
          <w:color w:val="1E293B"/>
          <w:sz w:val="22"/>
          <w:szCs w:val="22"/>
        </w:rPr>
        <w:t xml:space="preserve">RCASH üçün xüsusi olaraq, əgər məhsul ABC növündədirsə (UTIL.isABCProduct yoxlaması), scoring parametrləri fərqli olur - ABC məhsulları üçün daha sərt qaydalar tətbiq olunur. Bunun səbəbi ABC (Azerbaijan Business Cash) məhsulunun daha yüksək riskli olmasıdır.</w:t>
      </w:r>
    </w:p>
    <w:p>
      <w:pPr>
        <w:pStyle w:val="Heading2"/>
        <w:spacing w:after="160" w:before="300" w:line="276"/>
      </w:pPr>
      <w:r>
        <w:rPr>
          <w:rFonts w:ascii="Times New Roman" w:cs="Times New Roman" w:eastAsia="Times New Roman" w:hAnsi="Times New Roman"/>
          <w:b/>
          <w:bCs/>
          <w:color w:val="020617"/>
          <w:sz w:val="26"/>
          <w:szCs w:val="26"/>
        </w:rPr>
        <w:t xml:space="preserve">4.4 Prioritet 3 - AKB Scoring (MKR)</w:t>
      </w:r>
    </w:p>
    <w:p>
      <w:pPr>
        <w:spacing w:after="120" w:line="276"/>
        <w:jc w:val="both"/>
      </w:pPr>
      <w:r>
        <w:rPr>
          <w:rFonts w:ascii="Calibri" w:cs="Calibri" w:eastAsia="Calibri" w:hAnsi="Calibri"/>
          <w:color w:val="1E293B"/>
          <w:sz w:val="22"/>
          <w:szCs w:val="22"/>
        </w:rPr>
        <w:t xml:space="preserve">Üçüncü prioritet Azərbaycan Kredit Bürosu (AKB) ilə inteqrasiya vasitəsilə scoring balının alınmasını nəzərdə tutur. MKRController sinfi vasitəsilə '/api/v1/inq/score-report/create/ex' endpoint-ə sorğu göndərilir. Sorğuda müştərinin sənəd seriyası (AZE), sənəd nömrəsi, PIN kodu və məqsəd kodu (005) ötürülür. AKB cavabı JSON formatında {'score': {'point': 'NNN', 'exclusionCode': '...', 'scoreExclusion': true/false}} strukturunda qayıdır.</w:t>
      </w:r>
    </w:p>
    <w:p>
      <w:pPr>
        <w:spacing w:after="120" w:line="276"/>
        <w:jc w:val="both"/>
      </w:pPr>
      <w:r>
        <w:rPr>
          <w:rFonts w:ascii="Calibri" w:cs="Calibri" w:eastAsia="Calibri" w:hAnsi="Calibri"/>
          <w:color w:val="1E293B"/>
          <w:sz w:val="22"/>
          <w:szCs w:val="22"/>
        </w:rPr>
        <w:t xml:space="preserve">AKB scoring konfiqurasiyası: server URL - https://app.acb.az:8002, gündəlik maksimum sorğu sayı - 150 (mkr.maxdaily), timeout - 60 saniyə. Sorğular 1 gün ərzində cache-də saxlanılır və eyni müştəri üçün təkrar sorğu göndərməmək üçün istifadə olunur. R_3010 kodu AKB scoring istisnası (exclusion) olduqda, R_3020 isə AKB balı kifayət qədər yüksək olmadıqda işə düşür. Scoring balı cutoffs_rcash.xlsx konfiqurasiyasında müəyyən edilmiş həddən aşağı olduqda müraciət rədd olunur.</w:t>
      </w:r>
    </w:p>
    <w:p>
      <w:pPr>
        <w:pStyle w:val="Heading2"/>
        <w:spacing w:after="160" w:before="300" w:line="276"/>
      </w:pPr>
      <w:r>
        <w:rPr>
          <w:rFonts w:ascii="Times New Roman" w:cs="Times New Roman" w:eastAsia="Times New Roman" w:hAnsi="Times New Roman"/>
          <w:b/>
          <w:bCs/>
          <w:color w:val="020617"/>
          <w:sz w:val="26"/>
          <w:szCs w:val="26"/>
        </w:rPr>
        <w:t xml:space="preserve">4.5 Prioritet 4 - AKB Kredit Tarixi</w:t>
      </w:r>
    </w:p>
    <w:p>
      <w:pPr>
        <w:spacing w:after="120" w:line="276"/>
        <w:jc w:val="both"/>
      </w:pPr>
      <w:r>
        <w:rPr>
          <w:rFonts w:ascii="Calibri" w:cs="Calibri" w:eastAsia="Calibri" w:hAnsi="Calibri"/>
          <w:color w:val="1E293B"/>
          <w:sz w:val="22"/>
          <w:szCs w:val="22"/>
        </w:rPr>
        <w:t xml:space="preserve">Dördüncü prioritetdə MKRController.callInquireByIdCard() metodu vasitəsilə müştərinin kredit tarixi əldə edilir. Bu SOAP sorğudur və '/services/BorrowerInquiryWS' endpoint-inə göndərilir. Cavabda müştərinin bütün keçmiş və cari kreditləri, onların statusları, məbləği və ödəniş tarixi detalları olur. Clojure dilində 'fill-priority4-parameters-rcash' funksiyası bu məlumatları təhlil edir:</w:t>
      </w:r>
    </w:p>
    <w:p>
      <w:pPr>
        <w:pStyle w:val="ListParagraph"/>
        <w:numPr>
          <w:ilvl w:val="0"/>
          <w:numId w:val="2"/>
        </w:numPr>
        <w:spacing w:after="80" w:line="276"/>
        <w:jc w:val="left"/>
      </w:pPr>
      <w:r>
        <w:rPr>
          <w:rFonts w:ascii="Calibri" w:cs="Calibri" w:eastAsia="Calibri" w:hAnsi="Calibri"/>
          <w:b/>
          <w:bCs/>
          <w:color w:val="1E293B"/>
          <w:sz w:val="22"/>
          <w:szCs w:val="22"/>
        </w:rPr>
        <w:t xml:space="preserve">R_4020 - Gecikmə məbləği:</w:t>
      </w:r>
      <w:r>
        <w:rPr>
          <w:rFonts w:ascii="Calibri" w:cs="Calibri" w:eastAsia="Calibri" w:hAnsi="Calibri"/>
          <w:color w:val="1E293B"/>
          <w:sz w:val="22"/>
          <w:szCs w:val="22"/>
        </w:rPr>
        <w:t xml:space="preserve"> Müştərinin AKB-da qeyd olunmuş ümumi gecikmə məbləği minimum gecikmə məbləği həddini keçməməlidir.</w:t>
      </w:r>
    </w:p>
    <w:p>
      <w:pPr>
        <w:pStyle w:val="ListParagraph"/>
        <w:numPr>
          <w:ilvl w:val="0"/>
          <w:numId w:val="2"/>
        </w:numPr>
        <w:spacing w:after="80" w:line="276"/>
        <w:jc w:val="left"/>
      </w:pPr>
      <w:r>
        <w:rPr>
          <w:rFonts w:ascii="Calibri" w:cs="Calibri" w:eastAsia="Calibri" w:hAnsi="Calibri"/>
          <w:b/>
          <w:bCs/>
          <w:color w:val="1E293B"/>
          <w:sz w:val="22"/>
          <w:szCs w:val="22"/>
        </w:rPr>
        <w:t xml:space="preserve">R_4021 - Maksimum gecikmə günləri:</w:t>
      </w:r>
      <w:r>
        <w:rPr>
          <w:rFonts w:ascii="Calibri" w:cs="Calibri" w:eastAsia="Calibri" w:hAnsi="Calibri"/>
          <w:color w:val="1E293B"/>
          <w:sz w:val="22"/>
          <w:szCs w:val="22"/>
        </w:rPr>
        <w:t xml:space="preserve"> Müştərinin tarixindəki ən uzun gecikmə müddəti maksimum icazə verilən gecikmə günlərini aşmamalıdır.</w:t>
      </w:r>
    </w:p>
    <w:p>
      <w:pPr>
        <w:pStyle w:val="ListParagraph"/>
        <w:numPr>
          <w:ilvl w:val="0"/>
          <w:numId w:val="2"/>
        </w:numPr>
        <w:spacing w:after="80" w:line="276"/>
        <w:jc w:val="left"/>
      </w:pPr>
      <w:r>
        <w:rPr>
          <w:rFonts w:ascii="Calibri" w:cs="Calibri" w:eastAsia="Calibri" w:hAnsi="Calibri"/>
          <w:b/>
          <w:bCs/>
          <w:color w:val="1E293B"/>
          <w:sz w:val="22"/>
          <w:szCs w:val="22"/>
        </w:rPr>
        <w:t xml:space="preserve">R_4025 - Payday loan sayı:</w:t>
      </w:r>
      <w:r>
        <w:rPr>
          <w:rFonts w:ascii="Calibri" w:cs="Calibri" w:eastAsia="Calibri" w:hAnsi="Calibri"/>
          <w:color w:val="1E293B"/>
          <w:sz w:val="22"/>
          <w:szCs w:val="22"/>
        </w:rPr>
        <w:t xml:space="preserve"> Müştərinin aktiv payday (gündəlik) kreditlərinin sayı müəyyən həddi keçməməlidir.</w:t>
      </w:r>
    </w:p>
    <w:p>
      <w:pPr>
        <w:pStyle w:val="Heading2"/>
        <w:spacing w:after="160" w:before="300" w:line="276"/>
      </w:pPr>
      <w:r>
        <w:rPr>
          <w:rFonts w:ascii="Times New Roman" w:cs="Times New Roman" w:eastAsia="Times New Roman" w:hAnsi="Times New Roman"/>
          <w:b/>
          <w:bCs/>
          <w:color w:val="020617"/>
          <w:sz w:val="26"/>
          <w:szCs w:val="26"/>
        </w:rPr>
        <w:t xml:space="preserve">4.6 Prioritetlər 5-6 - İşçi/Müəllim və Əlavə Yoxlamalar</w:t>
      </w:r>
    </w:p>
    <w:p>
      <w:pPr>
        <w:spacing w:after="120" w:line="276"/>
        <w:jc w:val="both"/>
      </w:pPr>
      <w:r>
        <w:rPr>
          <w:rFonts w:ascii="Calibri" w:cs="Calibri" w:eastAsia="Calibri" w:hAnsi="Calibri"/>
          <w:color w:val="1E293B"/>
          <w:sz w:val="22"/>
          <w:szCs w:val="22"/>
        </w:rPr>
        <w:t xml:space="preserve">Beşinci prioritet müştərinin işçi statusundan asılıdır. employedOfficiallyId sahəsinə əsasən: '2' (işsiz) - İşçi və ya müəllim məlumatları çağırılmır, bu addım atlanılır; '3' (işəgötürən) - Asanfinance EmployeeInfo xidməti çağırılır ('/api/v2/EmployeeInfo/'); '4' (özəl müəssisəçi) - Asanfinance PensionInfo xidməti çağırılır ('/api/v2/PensionInfo/'); '5' (hər ikisi) - Həm EmployeeInfo, həm də PensionInfo çağırılır. Alınan məlumatlar 'employeeInfoReplaceRetailClientFields' metodu vasitəsilə RetailClient modelinə köçürülür və 'sse_asanfinance_workinfo' və ya 'sse_asanfinance_pensioninfo' Cellforms konfiqurasiyalarında saxlanılır.</w:t>
      </w:r>
    </w:p>
    <w:p>
      <w:pPr>
        <w:spacing w:after="120" w:line="276"/>
        <w:jc w:val="both"/>
      </w:pPr>
      <w:r>
        <w:rPr>
          <w:rFonts w:ascii="Calibri" w:cs="Calibri" w:eastAsia="Calibri" w:hAnsi="Calibri"/>
          <w:color w:val="1E293B"/>
          <w:sz w:val="22"/>
          <w:szCs w:val="22"/>
        </w:rPr>
        <w:t xml:space="preserve">Altıncı prioritet əlavə qaydaları yoxlayır - bunlar işçi/müəllim məlumatları əsasında hesablanan əlavə parametrlərdir. Yeddinci prioritet isə bütün məlumatları birləşdirərək final scoring balını hesablayır. Bu mərhələdə 'cutoff-priority7-check' və 'scoring-result' Clojure funksiyaları istifadə olunur. Nəticə olaraq ScoringCase-də score və scoreCategory sahələri doldurulur. Əgər scoreCategory 'MAYBE' olarsa, bu scoring istisnası deməkdir və manual yoxlama tələb olunur.</w:t>
      </w:r>
    </w:p>
    <w:p>
      <w:pPr>
        <w:pStyle w:val="Heading2"/>
        <w:spacing w:after="160" w:before="300" w:line="276"/>
      </w:pPr>
      <w:r>
        <w:rPr>
          <w:rFonts w:ascii="Times New Roman" w:cs="Times New Roman" w:eastAsia="Times New Roman" w:hAnsi="Times New Roman"/>
          <w:b/>
          <w:bCs/>
          <w:color w:val="020617"/>
          <w:sz w:val="26"/>
          <w:szCs w:val="26"/>
        </w:rPr>
        <w:t xml:space="preserve">4.7 Scoring Nəticəsi və Risk Ofiserinin Rolu</w:t>
      </w:r>
    </w:p>
    <w:p>
      <w:pPr>
        <w:spacing w:after="120" w:line="276"/>
        <w:jc w:val="both"/>
      </w:pPr>
      <w:r>
        <w:rPr>
          <w:rFonts w:ascii="Calibri" w:cs="Calibri" w:eastAsia="Calibri" w:hAnsi="Calibri"/>
          <w:color w:val="1E293B"/>
          <w:sz w:val="22"/>
          <w:szCs w:val="22"/>
        </w:rPr>
        <w:t xml:space="preserve">Scoring tamamlandıqdan sonra 'scoring result RCASH' adlanan qərar node-u icra edilir. Əgər bütün prioritetlər uğurla keçilibsə, proses '_CONTINUE' keçidi ilə 'data verification' node-una yönəlir. Əgər hər hansı bir rədd səbəbi tapılıbsa, '_REJECT' keçidi ilə 'confirm scoring rejection RCASH' node-una yönəlir.</w:t>
      </w:r>
    </w:p>
    <w:p>
      <w:pPr>
        <w:spacing w:after="120" w:line="276"/>
        <w:jc w:val="both"/>
      </w:pPr>
      <w:r>
        <w:rPr>
          <w:rFonts w:ascii="Calibri" w:cs="Calibri" w:eastAsia="Calibri" w:hAnsi="Calibri"/>
          <w:color w:val="1E293B"/>
          <w:sz w:val="22"/>
          <w:szCs w:val="22"/>
        </w:rPr>
        <w:t xml:space="preserve">'confirm scoring rejection RCASH' node-u 'risk officer' swimlane-ındadır. Risk ofiseri 'op_view_full_appl' əməliyyatı vasitəsilə müraciəti tam şəkildə nəzərdən keçirir. İki mümkün keçid var: '__OVERRIDE REJECTION__' - risk ofiseri scoring qərarını ləğv edərək prosesi davam etdirir; 'reject__' - scoring rəddi təsdiqlənir və proses 'reject application' node-una keçir. Bu, risk ofiserinin sistemin avtomatik qərarını dəyişdirmək hüququ olduğunu göstərir - lakin bu hüquq diqqətlə istifadə olunmalıdır.</w:t>
      </w:r>
    </w:p>
    <w:p>
      <w:pPr>
        <w:pStyle w:val="Heading1"/>
        <w:spacing w:after="200" w:before="400" w:line="276"/>
      </w:pPr>
      <w:r>
        <w:rPr>
          <w:rFonts w:ascii="Times New Roman" w:cs="Times New Roman" w:eastAsia="Times New Roman" w:hAnsi="Times New Roman"/>
          <w:b/>
          <w:bCs/>
          <w:color w:val="020617"/>
          <w:sz w:val="32"/>
          <w:szCs w:val="32"/>
        </w:rPr>
        <w:t xml:space="preserve">5. Zamin (Təminatçı) Əlavə Etmə Prosesi</w:t>
      </w:r>
    </w:p>
    <w:p>
      <w:pPr>
        <w:spacing w:after="120" w:line="276"/>
        <w:jc w:val="both"/>
      </w:pPr>
      <w:r>
        <w:rPr>
          <w:rFonts w:ascii="Calibri" w:cs="Calibri" w:eastAsia="Calibri" w:hAnsi="Calibri"/>
          <w:color w:val="1E293B"/>
          <w:sz w:val="22"/>
          <w:szCs w:val="22"/>
        </w:rPr>
        <w:t xml:space="preserve">Scoring tamamlandıqdan və müraciət avtomatik yoxlamaları keçdikdən sonra, əgər kredit tələb edirsə, kredit eksperti zamin əlavə edə bilər. Zamin prosesi əsas müştəri ilə eyni axın boyunca həyata keçirilir, lakin bəzi fərqlər var.</w:t>
      </w:r>
    </w:p>
    <w:p>
      <w:pPr>
        <w:pStyle w:val="Heading2"/>
        <w:spacing w:after="160" w:before="300" w:line="276"/>
      </w:pPr>
      <w:r>
        <w:rPr>
          <w:rFonts w:ascii="Times New Roman" w:cs="Times New Roman" w:eastAsia="Times New Roman" w:hAnsi="Times New Roman"/>
          <w:b/>
          <w:bCs/>
          <w:color w:val="020617"/>
          <w:sz w:val="26"/>
          <w:szCs w:val="26"/>
        </w:rPr>
        <w:t xml:space="preserve">5.1 Zamin PIN-inin Daxil Edilməsi</w:t>
      </w:r>
    </w:p>
    <w:p>
      <w:pPr>
        <w:spacing w:after="120" w:line="276"/>
        <w:jc w:val="both"/>
      </w:pPr>
      <w:r>
        <w:rPr>
          <w:rFonts w:ascii="Calibri" w:cs="Calibri" w:eastAsia="Calibri" w:hAnsi="Calibri"/>
          <w:color w:val="1E293B"/>
          <w:sz w:val="22"/>
          <w:szCs w:val="22"/>
        </w:rPr>
        <w:t xml:space="preserve">'enter guarantor id' node-unda kredit eksperti zaminin PIN və ya passport nömrəsini daxil edir. RCASH prosesində bu addımdan əvvəl 'OTP guarantor' node-u icra edilir - zamin də OTP SMS vasitəsilə təsdiq edilməlidir. OTP kodu eyni qaydalarla işləyir: 4 dəqiqə müddət, 6 rəqəmli kod. Zamin üçün 'op_enter_guarantor_id' əməliyyatı istifadə olunur.</w:t>
      </w:r>
    </w:p>
    <w:p>
      <w:pPr>
        <w:pStyle w:val="Heading2"/>
        <w:spacing w:after="160" w:before="300" w:line="276"/>
      </w:pPr>
      <w:r>
        <w:rPr>
          <w:rFonts w:ascii="Times New Roman" w:cs="Times New Roman" w:eastAsia="Times New Roman" w:hAnsi="Times New Roman"/>
          <w:b/>
          <w:bCs/>
          <w:color w:val="020617"/>
          <w:sz w:val="26"/>
          <w:szCs w:val="26"/>
        </w:rPr>
        <w:t xml:space="preserve">5.2 Zamin Məlumatlarının Alınması</w:t>
      </w:r>
    </w:p>
    <w:p>
      <w:pPr>
        <w:spacing w:after="120" w:line="276"/>
        <w:jc w:val="both"/>
      </w:pPr>
      <w:r>
        <w:rPr>
          <w:rFonts w:ascii="Calibri" w:cs="Calibri" w:eastAsia="Calibri" w:hAnsi="Calibri"/>
          <w:color w:val="1E293B"/>
          <w:sz w:val="22"/>
          <w:szCs w:val="22"/>
        </w:rPr>
        <w:t xml:space="preserve">Zamin üçün də Asanfinance-dan məlumat alınır: 'request asanfinance personal info guarantor' (mövcud zamin) və ya 'request asanfinance personal info guarantor new' (yeni zamin) node-ları icra edilir. Zaminin məlumatları RetailClient entity-si kimi yaradılır və əsas müştəri listinə əlavə edilir (clients.subList(1, size()) = zaminlər). Sistem avtomatik olaraq yoxlayır ki, zamin əsas müştəri ilə eyni şəxs olmasın.</w:t>
      </w:r>
    </w:p>
    <w:p>
      <w:pPr>
        <w:pStyle w:val="Heading2"/>
        <w:spacing w:after="160" w:before="300" w:line="276"/>
      </w:pPr>
      <w:r>
        <w:rPr>
          <w:rFonts w:ascii="Times New Roman" w:cs="Times New Roman" w:eastAsia="Times New Roman" w:hAnsi="Times New Roman"/>
          <w:b/>
          <w:bCs/>
          <w:color w:val="020617"/>
          <w:sz w:val="26"/>
          <w:szCs w:val="26"/>
        </w:rPr>
        <w:t xml:space="preserve">5.3 Zamin Münasibət Növünün Seçilməsi və Yoxlanması</w:t>
      </w:r>
    </w:p>
    <w:p>
      <w:pPr>
        <w:spacing w:after="120" w:line="276"/>
        <w:jc w:val="both"/>
      </w:pPr>
      <w:r>
        <w:rPr>
          <w:rFonts w:ascii="Calibri" w:cs="Calibri" w:eastAsia="Calibri" w:hAnsi="Calibri"/>
          <w:color w:val="1E293B"/>
          <w:sz w:val="22"/>
          <w:szCs w:val="22"/>
        </w:rPr>
        <w:t xml:space="preserve">'add guarantor relation' node-unda kredit eksperti zaminin müştəri ilə olan münasibət növünü seçir (ailə üzvü, yaxın qohum, iş yoldaşı və s.). 'add guarantor to application' avtomatik node-u vasitəsilə zamin RetailApplication-a əlavə edilir. Daha sonra 'data verification guarantor' node-unda zamin üçün də avtomatik yoxlamalar keçirilir: 'act_automatic_checks_guar' əməliyyatı zaminin scoring, AKB tarixi və digər yoxlamalarını həyata keçirir. 'automatic checks guarantor' node-unda nəticələr göstərilir və kredit eksperti 'OK' və ya 'remove' (zaminin silinməsi) seçə bilər.</w:t>
      </w:r>
    </w:p>
    <w:p>
      <w:pPr>
        <w:pStyle w:val="Heading1"/>
        <w:spacing w:after="200" w:before="400" w:line="276"/>
      </w:pPr>
      <w:r>
        <w:rPr>
          <w:rFonts w:ascii="Times New Roman" w:cs="Times New Roman" w:eastAsia="Times New Roman" w:hAnsi="Times New Roman"/>
          <w:b/>
          <w:bCs/>
          <w:color w:val="020617"/>
          <w:sz w:val="32"/>
          <w:szCs w:val="32"/>
        </w:rPr>
        <w:t xml:space="preserve">6. Tam Müraciət Məlumatlarının Daxil Edilməsi</w:t>
      </w:r>
    </w:p>
    <w:p>
      <w:pPr>
        <w:spacing w:after="120" w:line="276"/>
        <w:jc w:val="both"/>
      </w:pPr>
      <w:r>
        <w:rPr>
          <w:rFonts w:ascii="Calibri" w:cs="Calibri" w:eastAsia="Calibri" w:hAnsi="Calibri"/>
          <w:color w:val="1E293B"/>
          <w:sz w:val="22"/>
          <w:szCs w:val="22"/>
        </w:rPr>
        <w:t xml:space="preserve">Avtomatik yoxlamalar uğurla tamamlandıqdan sonra 'enter full application data' node-una keçid edilir. Bu node 'credit officer' swimlane-ındadır və 'op_enter_full_appl' əməliyyatı icra edilir. Əvvəlki 'enter brief application data' mərhələsindən fərqli olaraq, burada fullMode = true (default) və moveDataToMasterRecord = true (default) olduğu üçün tam formatlı forma göstərilir.</w:t>
      </w:r>
    </w:p>
    <w:p>
      <w:pPr>
        <w:pStyle w:val="Heading2"/>
        <w:spacing w:after="160" w:before="300" w:line="276"/>
      </w:pPr>
      <w:r>
        <w:rPr>
          <w:rFonts w:ascii="Times New Roman" w:cs="Times New Roman" w:eastAsia="Times New Roman" w:hAnsi="Times New Roman"/>
          <w:b/>
          <w:bCs/>
          <w:color w:val="020617"/>
          <w:sz w:val="26"/>
          <w:szCs w:val="26"/>
        </w:rPr>
        <w:t xml:space="preserve">6.1 Daxil Edilən Məlumat Sahələri</w:t>
      </w:r>
    </w:p>
    <w:p>
      <w:pPr>
        <w:spacing w:after="120" w:line="276"/>
        <w:jc w:val="both"/>
      </w:pPr>
      <w:r>
        <w:rPr>
          <w:rFonts w:ascii="Calibri" w:cs="Calibri" w:eastAsia="Calibri" w:hAnsi="Calibri"/>
          <w:color w:val="1E293B"/>
          <w:sz w:val="22"/>
          <w:szCs w:val="22"/>
        </w:rPr>
        <w:t xml:space="preserve">Bu mərhələdə RetailClient entity-sinin xe_rclient XML konfiqurasiyasında olan bütün sahələr daxil edilir. Bunlar aşağıdakı qruplara bölünür:</w:t>
      </w:r>
    </w:p>
    <w:p>
      <w:pPr>
        <w:spacing w:after="120" w:line="276"/>
        <w:jc w:val="both"/>
      </w:pPr>
      <w:r>
        <w:rPr>
          <w:rFonts w:ascii="Calibri" w:cs="Calibri" w:eastAsia="Calibri" w:hAnsi="Calibri"/>
          <w:b/>
          <w:bCs/>
          <w:color w:val="1E293B"/>
          <w:sz w:val="22"/>
          <w:szCs w:val="22"/>
        </w:rPr>
        <w:t xml:space="preserve">Şəxsi məlumatlar:</w:t>
      </w:r>
      <w:r>
        <w:rPr>
          <w:rFonts w:ascii="Calibri" w:cs="Calibri" w:eastAsia="Calibri" w:hAnsi="Calibri"/>
          <w:color w:val="1E293B"/>
          <w:sz w:val="22"/>
          <w:szCs w:val="22"/>
        </w:rPr>
        <w:t xml:space="preserve"> soyad, ad, ata adı, şəxsiyyət vəsiqəsi növü, PIN, seriya nömrəsi, verən təşkilat, verilmə tarixi, bitmə tarixi, cinsi, doğum tarixi və yeri.</w:t>
      </w:r>
    </w:p>
    <w:p>
      <w:pPr>
        <w:spacing w:after="120" w:line="276"/>
        <w:jc w:val="both"/>
      </w:pPr>
      <w:r>
        <w:rPr>
          <w:rFonts w:ascii="Calibri" w:cs="Calibri" w:eastAsia="Calibri" w:hAnsi="Calibri"/>
          <w:b/>
          <w:bCs/>
          <w:color w:val="1E293B"/>
          <w:sz w:val="22"/>
          <w:szCs w:val="22"/>
        </w:rPr>
        <w:t xml:space="preserve">Əlaqə məlumatları:</w:t>
      </w:r>
      <w:r>
        <w:rPr>
          <w:rFonts w:ascii="Calibri" w:cs="Calibri" w:eastAsia="Calibri" w:hAnsi="Calibri"/>
          <w:color w:val="1E293B"/>
          <w:sz w:val="22"/>
          <w:szCs w:val="22"/>
        </w:rPr>
        <w:t xml:space="preserve"> iş telefonu, ev telefonu, mobil telefon.</w:t>
      </w:r>
    </w:p>
    <w:p>
      <w:pPr>
        <w:spacing w:after="120" w:line="276"/>
        <w:jc w:val="both"/>
      </w:pPr>
      <w:r>
        <w:rPr>
          <w:rFonts w:ascii="Calibri" w:cs="Calibri" w:eastAsia="Calibri" w:hAnsi="Calibri"/>
          <w:b/>
          <w:bCs/>
          <w:color w:val="1E293B"/>
          <w:sz w:val="22"/>
          <w:szCs w:val="22"/>
        </w:rPr>
        <w:t xml:space="preserve">İş məlumatları:</w:t>
      </w:r>
      <w:r>
        <w:rPr>
          <w:rFonts w:ascii="Calibri" w:cs="Calibri" w:eastAsia="Calibri" w:hAnsi="Calibri"/>
          <w:color w:val="1E293B"/>
          <w:sz w:val="22"/>
          <w:szCs w:val="22"/>
        </w:rPr>
        <w:t xml:space="preserve"> rəsmi işçi olub-olmaması (employed_off), fəaliyyət sahəsi (activity2), şirkət adı, vəzifə.</w:t>
      </w:r>
    </w:p>
    <w:p>
      <w:pPr>
        <w:spacing w:after="120" w:line="276"/>
        <w:jc w:val="both"/>
      </w:pPr>
      <w:r>
        <w:rPr>
          <w:rFonts w:ascii="Calibri" w:cs="Calibri" w:eastAsia="Calibri" w:hAnsi="Calibri"/>
          <w:b/>
          <w:bCs/>
          <w:color w:val="1E293B"/>
          <w:sz w:val="22"/>
          <w:szCs w:val="22"/>
        </w:rPr>
        <w:t xml:space="preserve">Maliyyə məlumatları (büdcə):</w:t>
      </w:r>
      <w:r>
        <w:rPr>
          <w:rFonts w:ascii="Calibri" w:cs="Calibri" w:eastAsia="Calibri" w:hAnsi="Calibri"/>
          <w:color w:val="1E293B"/>
          <w:sz w:val="22"/>
          <w:szCs w:val="22"/>
        </w:rPr>
        <w:t xml:space="preserve"> ailə xərcləri, fərdi xərclər, ümumi mövcud vəsaitlər, digər kreditlərə ödənişlər, promo bayrağı, büdcə həddini aşma.</w:t>
      </w:r>
    </w:p>
    <w:p>
      <w:pPr>
        <w:spacing w:after="120" w:line="276"/>
        <w:jc w:val="both"/>
      </w:pPr>
      <w:r>
        <w:rPr>
          <w:rFonts w:ascii="Calibri" w:cs="Calibri" w:eastAsia="Calibri" w:hAnsi="Calibri"/>
          <w:b/>
          <w:bCs/>
          <w:color w:val="1E293B"/>
          <w:sz w:val="22"/>
          <w:szCs w:val="22"/>
        </w:rPr>
        <w:t xml:space="preserve">Ünvan məlumatları:</w:t>
      </w:r>
      <w:r>
        <w:rPr>
          <w:rFonts w:ascii="Calibri" w:cs="Calibri" w:eastAsia="Calibri" w:hAnsi="Calibri"/>
          <w:color w:val="1E293B"/>
          <w:sz w:val="22"/>
          <w:szCs w:val="22"/>
        </w:rPr>
        <w:t xml:space="preserve"> çatdırılma ünvanı - şəhər, rayon, küçə, ev, mənzil, çatdırılma tarixi.</w:t>
      </w:r>
    </w:p>
    <w:p>
      <w:pPr>
        <w:spacing w:after="120" w:line="276"/>
        <w:jc w:val="both"/>
      </w:pPr>
      <w:r>
        <w:rPr>
          <w:rFonts w:ascii="Calibri" w:cs="Calibri" w:eastAsia="Calibri" w:hAnsi="Calibri"/>
          <w:color w:val="1E293B"/>
          <w:sz w:val="22"/>
          <w:szCs w:val="22"/>
        </w:rPr>
        <w:t xml:space="preserve">Büdcə məlumatları xüsusilə vacibdir - 'validateBudgetData' metodu vasitəsilə yoxlanılır ki, ümumi mövcud vəsaitlərin 90%-i minimum aylıq ödənişi ödəmək üçün kifayət qədər olmalıdır. Yəni: (total_available_funds × 0.9) ≥ regular_repayment. Əgər bu şərt yerinə yetirilmirsə, sistem xəbərdarlıq göstərir, lakin 'sfAllowExceedBudgetLimit' funksiyası ilə bu limiti aşmaq üçün icazə verilə bilər.</w:t>
      </w:r>
    </w:p>
    <w:p>
      <w:pPr>
        <w:pStyle w:val="Heading2"/>
        <w:spacing w:after="160" w:before="300" w:line="276"/>
      </w:pPr>
      <w:r>
        <w:rPr>
          <w:rFonts w:ascii="Times New Roman" w:cs="Times New Roman" w:eastAsia="Times New Roman" w:hAnsi="Times New Roman"/>
          <w:b/>
          <w:bCs/>
          <w:color w:val="020617"/>
          <w:sz w:val="26"/>
          <w:szCs w:val="26"/>
        </w:rPr>
        <w:t xml:space="preserve">6.2 Müştəri Fotosunun Yüklənməsi</w:t>
      </w:r>
    </w:p>
    <w:p>
      <w:pPr>
        <w:spacing w:after="120" w:line="276"/>
        <w:jc w:val="both"/>
      </w:pPr>
      <w:r>
        <w:rPr>
          <w:rFonts w:ascii="Calibri" w:cs="Calibri" w:eastAsia="Calibri" w:hAnsi="Calibri"/>
          <w:color w:val="1E293B"/>
          <w:sz w:val="22"/>
          <w:szCs w:val="22"/>
        </w:rPr>
        <w:t xml:space="preserve">Tam məlumatlar daxil edildikdən sonra 'upload client photo' node-unda müştərinin fotoşəkli yüklənilir. 'op_photo_from_camera' əməliyyatı vasitəsilə həyata keçirilir. Bu mərhələ kredit təhlili və risk qiymətləndirməsi üçün vacibdir - müştərinin fiziki identifikasiyası üçün foto tələb olunur. 'sfAllowDirectPhotoLoadOnce' funksiyası bir dəfəlik foto yükləməyə icazə verir.</w:t>
      </w:r>
    </w:p>
    <w:p>
      <w:pPr>
        <w:pStyle w:val="Heading2"/>
        <w:spacing w:after="160" w:before="300" w:line="276"/>
      </w:pPr>
      <w:r>
        <w:rPr>
          <w:rFonts w:ascii="Times New Roman" w:cs="Times New Roman" w:eastAsia="Times New Roman" w:hAnsi="Times New Roman"/>
          <w:b/>
          <w:bCs/>
          <w:color w:val="020617"/>
          <w:sz w:val="26"/>
          <w:szCs w:val="26"/>
        </w:rPr>
        <w:t xml:space="preserve">6.3 Avtomatik Yoxlamalar (Data Verification)</w:t>
      </w:r>
    </w:p>
    <w:p>
      <w:pPr>
        <w:spacing w:after="120" w:line="276"/>
        <w:jc w:val="both"/>
      </w:pPr>
      <w:r>
        <w:rPr>
          <w:rFonts w:ascii="Calibri" w:cs="Calibri" w:eastAsia="Calibri" w:hAnsi="Calibri"/>
          <w:color w:val="1E293B"/>
          <w:sz w:val="22"/>
          <w:szCs w:val="22"/>
        </w:rPr>
        <w:t xml:space="preserve">'data verification' adlanan avtomatik node-da 'act_automatic_checks' əməliyyatı icra edilir. Bu əməliyyat bütün müraciət məlumatlarını avtomatik olaraq yoxlayır: məbləğ və müddətin məhsul limitlərinə uyğunluğu, faiz dərəcəsinin düzgünlüyü, müştəri məlumatlarının tamılığı, büdcə balansı və s. Yoxlama nəticəsinə görə 'decision automatic checks' node-u qərar verir: əgər bütün yoxlamalar uğurludursa, 'enter full application data' node-una keçid edilir; əgər problemlər varsa, 'automatic checks' node-una yönləndirilir.</w:t>
      </w:r>
    </w:p>
    <w:p>
      <w:pPr>
        <w:spacing w:after="120" w:line="276"/>
        <w:jc w:val="both"/>
      </w:pPr>
      <w:r>
        <w:rPr>
          <w:rFonts w:ascii="Calibri" w:cs="Calibri" w:eastAsia="Calibri" w:hAnsi="Calibri"/>
          <w:color w:val="1E293B"/>
          <w:sz w:val="22"/>
          <w:szCs w:val="22"/>
        </w:rPr>
        <w:t xml:space="preserve">'automatic checks' node-unda kredit eksperti yoxlama nəticələrini görür və üç seçimi var: 'OK' - yoxlamaları keçir və davam et, 'REFUSE' - müraciəti rədd et, 'CHANGE REQUESTED' - məlumatlarda dəyişiklik tələb et və əvvəlki addıma qayıt.</w:t>
      </w:r>
    </w:p>
    <w:p>
      <w:pPr>
        <w:pStyle w:val="Heading1"/>
        <w:spacing w:after="200" w:before="400" w:line="276"/>
      </w:pPr>
      <w:r>
        <w:rPr>
          <w:rFonts w:ascii="Times New Roman" w:cs="Times New Roman" w:eastAsia="Times New Roman" w:hAnsi="Times New Roman"/>
          <w:b/>
          <w:bCs/>
          <w:color w:val="020617"/>
          <w:sz w:val="32"/>
          <w:szCs w:val="32"/>
        </w:rPr>
        <w:t xml:space="preserve">7. Kredit Təsdiq Prosesi</w:t>
      </w:r>
    </w:p>
    <w:p>
      <w:pPr>
        <w:spacing w:after="120" w:line="276"/>
        <w:jc w:val="both"/>
      </w:pPr>
      <w:r>
        <w:rPr>
          <w:rFonts w:ascii="Calibri" w:cs="Calibri" w:eastAsia="Calibri" w:hAnsi="Calibri"/>
          <w:color w:val="1E293B"/>
          <w:sz w:val="22"/>
          <w:szCs w:val="22"/>
        </w:rPr>
        <w:t xml:space="preserve">Tam müraciət məlumatları daxil edildikdən və avtomatik yoxlamalar keçildikdən sonra kredit təsdiq prosesi başlayır. Bu proses məbləğin səviyyəsinə görə bir və ya bir neçə təsdiq mərhələsindən keçə bilər.</w:t>
      </w:r>
    </w:p>
    <w:p>
      <w:pPr>
        <w:pStyle w:val="Heading2"/>
        <w:spacing w:after="160" w:before="300" w:line="276"/>
      </w:pPr>
      <w:r>
        <w:rPr>
          <w:rFonts w:ascii="Times New Roman" w:cs="Times New Roman" w:eastAsia="Times New Roman" w:hAnsi="Times New Roman"/>
          <w:b/>
          <w:bCs/>
          <w:color w:val="020617"/>
          <w:sz w:val="26"/>
          <w:szCs w:val="26"/>
        </w:rPr>
        <w:t xml:space="preserve">7.1 Kredit Ekspertinin Təsdiqi (Approve Application)</w:t>
      </w:r>
    </w:p>
    <w:p>
      <w:pPr>
        <w:spacing w:after="120" w:line="276"/>
        <w:jc w:val="both"/>
      </w:pPr>
      <w:r>
        <w:rPr>
          <w:rFonts w:ascii="Calibri" w:cs="Calibri" w:eastAsia="Calibri" w:hAnsi="Calibri"/>
          <w:color w:val="1E293B"/>
          <w:sz w:val="22"/>
          <w:szCs w:val="22"/>
        </w:rPr>
        <w:t xml:space="preserve">'approve application' node-u 'junior credit consultant' swimlane-ındadır və 'op_edit_full_appl' əməliyyatı icra edilir. Bu mərhələdə kredit eksperti müraciətin bütün məlumatlarını yoxlayır, əgər lazımdır düzəlişlər edir və təsdiq edir. 'approveStep' parametri 'true' olduğu üçün bu mərhələdə təsdiq funksiyası aktivdir. Kredit eksperti 'validate application' node-una keçid edir və müraciət son yoxlamadan keçir. Yoxlamadan sonra 'select person for approve' qərar node-u icra edilir.</w:t>
      </w:r>
    </w:p>
    <w:p>
      <w:pPr>
        <w:pStyle w:val="Heading2"/>
        <w:spacing w:after="160" w:before="300" w:line="276"/>
      </w:pPr>
      <w:r>
        <w:rPr>
          <w:rFonts w:ascii="Times New Roman" w:cs="Times New Roman" w:eastAsia="Times New Roman" w:hAnsi="Times New Roman"/>
          <w:b/>
          <w:bCs/>
          <w:color w:val="020617"/>
          <w:sz w:val="26"/>
          <w:szCs w:val="26"/>
        </w:rPr>
        <w:t xml:space="preserve">7.2 Təsdiq Səviyyələrinin Müəyyən Edilməsi</w:t>
      </w:r>
    </w:p>
    <w:p>
      <w:pPr>
        <w:spacing w:after="120" w:line="276"/>
        <w:jc w:val="both"/>
      </w:pPr>
      <w:r>
        <w:rPr>
          <w:rFonts w:ascii="Calibri" w:cs="Calibri" w:eastAsia="Calibri" w:hAnsi="Calibri"/>
          <w:color w:val="1E293B"/>
          <w:sz w:val="22"/>
          <w:szCs w:val="22"/>
        </w:rPr>
        <w:t xml:space="preserve">'select person for approve' node-u məbləğ səviyyəsinə görə təsdiq marşrutunu müəyyən edir. Bu, bpmhDecisionSelectPersonForApprove sinfi vasitəsilə həyata keçirilir. Sistem iki məbləğ həddi yoxlayır: amount_m1 (process_furniture.amount_m1 parametri) və amount_m2 (process_furniture.amount_m2 parametri). Bunlar sistem konfiqurasiyasında müəyyən edilmiş məbləğ hədləridir. Həmçinin, kredit ekspertinin istifadəçi qrupları yoxlanılır: əgər istifadəçi SLO (Senior LO) qrupundadırsa, o istənilən məbləği təsdiqləyə bilər; əgər LO (LO) qrupundadırsa, amount_m2 qədər təsdiqləyə bilər.</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40"/>
          <w:bottom w:type="dxa" w:w="60"/>
          <w:right w:type="dxa" w:w="140"/>
        </w:tblCellMar>
      </w:tblPr>
      <w:tblGrid>
        <w:gridCol w:w="2200"/>
        <w:gridCol w:w="2800"/>
        <w:gridCol w:w="2100"/>
        <w:gridCol w:w="2260"/>
      </w:tblGrid>
      <w:tr>
        <w:trPr>
          <w:tblHeader/>
        </w:trPr>
        <w:tc>
          <w:tcPr>
            <w:tcW w:type="dxa" w:w="2200"/>
            <w:tcBorders>
              <w:top w:val="single" w:color="94A3B8" w:sz="1"/>
              <w:left w:val="single" w:color="94A3B8" w:sz="1"/>
              <w:bottom w:val="single" w:color="94A3B8" w:sz="1"/>
              <w:right w:val="single" w:color="94A3B8" w:sz="1"/>
            </w:tcBorders>
            <w:shd w:fill="E2E8F0" w:val="clear"/>
            <w:vAlign w:val="center"/>
          </w:tcPr>
          <w:p>
            <w:pPr>
              <w:spacing w:line="276"/>
              <w:jc w:val="center"/>
            </w:pPr>
            <w:r>
              <w:rPr>
                <w:rFonts w:ascii="Calibri" w:cs="Calibri" w:eastAsia="Calibri" w:hAnsi="Calibri"/>
                <w:b/>
                <w:bCs/>
                <w:color w:val="020617"/>
                <w:sz w:val="20"/>
                <w:szCs w:val="20"/>
              </w:rPr>
              <w:t xml:space="preserve">Ümumi Məbləğ</w:t>
            </w:r>
          </w:p>
        </w:tc>
        <w:tc>
          <w:tcPr>
            <w:tcW w:type="dxa" w:w="2800"/>
            <w:tcBorders>
              <w:top w:val="single" w:color="94A3B8" w:sz="1"/>
              <w:left w:val="single" w:color="94A3B8" w:sz="1"/>
              <w:bottom w:val="single" w:color="94A3B8" w:sz="1"/>
              <w:right w:val="single" w:color="94A3B8" w:sz="1"/>
            </w:tcBorders>
            <w:shd w:fill="E2E8F0" w:val="clear"/>
            <w:vAlign w:val="center"/>
          </w:tcPr>
          <w:p>
            <w:pPr>
              <w:spacing w:line="276"/>
              <w:jc w:val="center"/>
            </w:pPr>
            <w:r>
              <w:rPr>
                <w:rFonts w:ascii="Calibri" w:cs="Calibri" w:eastAsia="Calibri" w:hAnsi="Calibri"/>
                <w:b/>
                <w:bCs/>
                <w:color w:val="020617"/>
                <w:sz w:val="20"/>
                <w:szCs w:val="20"/>
              </w:rPr>
              <w:t xml:space="preserve">Təsdiq Səviyyəsi</w:t>
            </w:r>
          </w:p>
        </w:tc>
        <w:tc>
          <w:tcPr>
            <w:tcW w:type="dxa" w:w="2100"/>
            <w:tcBorders>
              <w:top w:val="single" w:color="94A3B8" w:sz="1"/>
              <w:left w:val="single" w:color="94A3B8" w:sz="1"/>
              <w:bottom w:val="single" w:color="94A3B8" w:sz="1"/>
              <w:right w:val="single" w:color="94A3B8" w:sz="1"/>
            </w:tcBorders>
            <w:shd w:fill="E2E8F0" w:val="clear"/>
            <w:vAlign w:val="center"/>
          </w:tcPr>
          <w:p>
            <w:pPr>
              <w:spacing w:line="276"/>
              <w:jc w:val="center"/>
            </w:pPr>
            <w:r>
              <w:rPr>
                <w:rFonts w:ascii="Calibri" w:cs="Calibri" w:eastAsia="Calibri" w:hAnsi="Calibri"/>
                <w:b/>
                <w:bCs/>
                <w:color w:val="020617"/>
                <w:sz w:val="20"/>
                <w:szCs w:val="20"/>
              </w:rPr>
              <w:t xml:space="preserve">Keçid</w:t>
            </w:r>
          </w:p>
        </w:tc>
        <w:tc>
          <w:tcPr>
            <w:tcW w:type="dxa" w:w="2260"/>
            <w:tcBorders>
              <w:top w:val="single" w:color="94A3B8" w:sz="1"/>
              <w:left w:val="single" w:color="94A3B8" w:sz="1"/>
              <w:bottom w:val="single" w:color="94A3B8" w:sz="1"/>
              <w:right w:val="single" w:color="94A3B8" w:sz="1"/>
            </w:tcBorders>
            <w:shd w:fill="E2E8F0" w:val="clear"/>
            <w:vAlign w:val="center"/>
          </w:tcPr>
          <w:p>
            <w:pPr>
              <w:spacing w:line="276"/>
              <w:jc w:val="center"/>
            </w:pPr>
            <w:r>
              <w:rPr>
                <w:rFonts w:ascii="Calibri" w:cs="Calibri" w:eastAsia="Calibri" w:hAnsi="Calibri"/>
                <w:b/>
                <w:bCs/>
                <w:color w:val="020617"/>
                <w:sz w:val="20"/>
                <w:szCs w:val="20"/>
              </w:rPr>
              <w:t xml:space="preserve">Təsvir</w:t>
            </w:r>
          </w:p>
        </w:tc>
      </w:tr>
      <w:tr>
        <w:tc>
          <w:tcPr>
            <w:tcW w:type="dxa" w:w="22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 amount_m1</w:t>
            </w:r>
          </w:p>
        </w:tc>
        <w:tc>
          <w:tcPr>
            <w:tcW w:type="dxa" w:w="2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Kredit Eksperti</w:t>
            </w:r>
          </w:p>
        </w:tc>
        <w:tc>
          <w:tcPr>
            <w:tcW w:type="dxa" w:w="21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_APPROVE</w:t>
            </w:r>
          </w:p>
        </w:tc>
        <w:tc>
          <w:tcPr>
            <w:tcW w:type="dxa" w:w="22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Birbaşa Data Validation-ə keçir</w:t>
            </w:r>
          </w:p>
        </w:tc>
      </w:tr>
      <w:tr>
        <w:tc>
          <w:tcPr>
            <w:tcW w:type="dxa" w:w="22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&gt; amount_m1, ≤ amount_m2</w:t>
            </w:r>
          </w:p>
        </w:tc>
        <w:tc>
          <w:tcPr>
            <w:tcW w:type="dxa" w:w="2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LO (Kredit Məsləhətçisi)</w:t>
            </w:r>
          </w:p>
        </w:tc>
        <w:tc>
          <w:tcPr>
            <w:tcW w:type="dxa" w:w="21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_CHECK BY LO</w:t>
            </w:r>
          </w:p>
        </w:tc>
        <w:tc>
          <w:tcPr>
            <w:tcW w:type="dxa" w:w="22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LO təsdiqi tələb olunur</w:t>
            </w:r>
          </w:p>
        </w:tc>
      </w:tr>
      <w:tr>
        <w:tc>
          <w:tcPr>
            <w:tcW w:type="dxa" w:w="22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&gt; amount_m2</w:t>
            </w:r>
          </w:p>
        </w:tc>
        <w:tc>
          <w:tcPr>
            <w:tcW w:type="dxa" w:w="2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Senior LO (Baş Kredit Məsləhətçisi)</w:t>
            </w:r>
          </w:p>
        </w:tc>
        <w:tc>
          <w:tcPr>
            <w:tcW w:type="dxa" w:w="21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_CHECK BY SENIOR LO</w:t>
            </w:r>
          </w:p>
        </w:tc>
        <w:tc>
          <w:tcPr>
            <w:tcW w:type="dxa" w:w="22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Senior LO təsdiqi tələb olunur</w:t>
            </w:r>
          </w:p>
        </w:tc>
      </w:tr>
    </w:tbl>
    <w:p>
      <w:pPr>
        <w:spacing w:after="120" w:line="276"/>
        <w:jc w:val="both"/>
      </w:pPr>
      <w:r>
        <w:rPr>
          <w:rFonts w:ascii="Calibri" w:cs="Calibri" w:eastAsia="Calibri" w:hAnsi="Calibri"/>
          <w:color w:val="1E293B"/>
          <w:sz w:val="22"/>
          <w:szCs w:val="22"/>
        </w:rPr>
        <w:t xml:space="preserve">Cədvəl 2: Təsdiq Səviyyələri və Məbləğ Hədləri</w:t>
      </w:r>
    </w:p>
    <w:p>
      <w:pPr>
        <w:spacing w:after="120" w:line="276"/>
        <w:jc w:val="both"/>
      </w:pPr>
      <w:r>
        <w:rPr>
          <w:rFonts w:ascii="Calibri" w:cs="Calibri" w:eastAsia="Calibri" w:hAnsi="Calibri"/>
          <w:color w:val="1E293B"/>
          <w:sz w:val="22"/>
          <w:szCs w:val="22"/>
        </w:rPr>
        <w:t xml:space="preserve">Ümumi məbləğin hesablanması sadəcə cari müraciətin məbləği deyil, həm də müştərinin bütün cari aktiv kreditlərinin ümumi məbləği nəzərə alınır (total exposure = applicationAmount + outstanding balances). Bu, bankın risk management siyasətinin bir hissəsidir - müştərinin ümumi borc yükü nəzarətdə saxlanılır.</w:t>
      </w:r>
    </w:p>
    <w:p>
      <w:pPr>
        <w:pStyle w:val="Heading2"/>
        <w:spacing w:after="160" w:before="300" w:line="276"/>
      </w:pPr>
      <w:r>
        <w:rPr>
          <w:rFonts w:ascii="Times New Roman" w:cs="Times New Roman" w:eastAsia="Times New Roman" w:hAnsi="Times New Roman"/>
          <w:b/>
          <w:bCs/>
          <w:color w:val="020617"/>
          <w:sz w:val="26"/>
          <w:szCs w:val="26"/>
        </w:rPr>
        <w:t xml:space="preserve">7.3 LO və Senior LO Təsdiqi</w:t>
      </w:r>
    </w:p>
    <w:p>
      <w:pPr>
        <w:spacing w:after="120" w:line="276"/>
        <w:jc w:val="both"/>
      </w:pPr>
      <w:r>
        <w:rPr>
          <w:rFonts w:ascii="Calibri" w:cs="Calibri" w:eastAsia="Calibri" w:hAnsi="Calibri"/>
          <w:color w:val="1E293B"/>
          <w:sz w:val="22"/>
          <w:szCs w:val="22"/>
        </w:rPr>
        <w:t xml:space="preserve">LO (Credit Consultant) təsdiqi 'approve application by LO' node-unda həyata keçirilir. Bu node 'credit consultant' swimlane-ındadır və JLO qrupunda LO roluna malik istifadəçilər tərəfindən icra edilir. 'op_view_full_appl' əməliyyatı ilə müraciət nəzərdən keçirilir. LO read-only rejimdə müraciəti görür və 'reworkCommentRequired' parametri 'true' olduğu üçün rədd edərsə, şərh yazmağı məcburidir. LO üçün üç keçid mövcuddur: 'continue__' (təsdiq), 'cancel task return application__' (əvvəlki addıma qayıt), 'reject__' (rədd et).</w:t>
      </w:r>
    </w:p>
    <w:p>
      <w:pPr>
        <w:spacing w:after="120" w:line="276"/>
        <w:jc w:val="both"/>
      </w:pPr>
      <w:r>
        <w:rPr>
          <w:rFonts w:ascii="Calibri" w:cs="Calibri" w:eastAsia="Calibri" w:hAnsi="Calibri"/>
          <w:color w:val="1E293B"/>
          <w:sz w:val="22"/>
          <w:szCs w:val="22"/>
        </w:rPr>
        <w:t xml:space="preserve">Senior LO təsdiqi eyni prinsiplərlə 'approve application by senior LO' node-unda həyata keçirilir. Bu node 'senior credit consultant' swimlane-ındadır və JLO qrupunda SLO roluna malik istifadəçilər tərəfindən icra edilir. Eyni 'op_view_full_appl' əməliyyatı istifadə olunur, lakin burada 'sfLoanOfficerCanApproveOwnApplications' xüsusi funksiyası yoxlanılır - əgər bu funksiya aktivdirsə, LO öz müraciətini də təsdiqləyə bilər.</w:t>
      </w:r>
    </w:p>
    <w:p>
      <w:pPr>
        <w:pStyle w:val="Heading2"/>
        <w:spacing w:after="160" w:before="300" w:line="276"/>
      </w:pPr>
      <w:r>
        <w:rPr>
          <w:rFonts w:ascii="Times New Roman" w:cs="Times New Roman" w:eastAsia="Times New Roman" w:hAnsi="Times New Roman"/>
          <w:b/>
          <w:bCs/>
          <w:color w:val="020617"/>
          <w:sz w:val="26"/>
          <w:szCs w:val="26"/>
        </w:rPr>
        <w:t xml:space="preserve">7.4 Kredit İnzibatçısının Data Validation</w:t>
      </w:r>
    </w:p>
    <w:p>
      <w:pPr>
        <w:spacing w:after="120" w:line="276"/>
        <w:jc w:val="both"/>
      </w:pPr>
      <w:r>
        <w:rPr>
          <w:rFonts w:ascii="Calibri" w:cs="Calibri" w:eastAsia="Calibri" w:hAnsi="Calibri"/>
          <w:color w:val="1E293B"/>
          <w:sz w:val="22"/>
          <w:szCs w:val="22"/>
        </w:rPr>
        <w:t xml:space="preserve">Bütün təsdiq mərhələlərindən sonra 'data validation' node-una keçid edilir. Bu node-da kredit inzibatçısı (Credit Administrator - CA) müraciətin son yoxlamasını aparır. Task AssignmentHandlerTaskCredAdmin sinfi vasitəsilə həyata keçirilir və kredit inzibatçısı 'credit administrator' swimlane-ından seçilir. 'op_view_full_appl_bo' əməliyyatı icra edilir - 'creditAdminStep' parametri 'true' olduğu üçün bu, kredit inzibatçısına xas görünüşdür.</w:t>
      </w:r>
    </w:p>
    <w:p>
      <w:pPr>
        <w:spacing w:after="120" w:line="276"/>
        <w:jc w:val="both"/>
      </w:pPr>
      <w:r>
        <w:rPr>
          <w:rFonts w:ascii="Calibri" w:cs="Calibri" w:eastAsia="Calibri" w:hAnsi="Calibri"/>
          <w:color w:val="1E293B"/>
          <w:sz w:val="22"/>
          <w:szCs w:val="22"/>
        </w:rPr>
        <w:t xml:space="preserve">Kredit inzibatçıları arasında iş bölgüsü CreditAdminController sinfi vasitəsilə hərəkət edir: hər inzibatçı eyni vaxtda maksimum müəyyən sayda iş görə bilər (creditadmincontroller.max_cases_per_lo və creditadmincontroller.max_cases_lo_cuzdan_mobile parametrləri). LO üçün 3 dəqiqəlik, Shop üçün 5 dəqiqəlik müvəqqəti dayandırma (pause) mexanizmi mövcuddur. Hər bir əsas proses 3 xal hesablanır və inzibatçılar arasında load-balancing aparılır.</w:t>
      </w:r>
    </w:p>
    <w:p>
      <w:pPr>
        <w:pStyle w:val="Heading1"/>
        <w:spacing w:after="200" w:before="400" w:line="276"/>
      </w:pPr>
      <w:r>
        <w:rPr>
          <w:rFonts w:ascii="Times New Roman" w:cs="Times New Roman" w:eastAsia="Times New Roman" w:hAnsi="Times New Roman"/>
          <w:b/>
          <w:bCs/>
          <w:color w:val="020617"/>
          <w:sz w:val="32"/>
          <w:szCs w:val="32"/>
        </w:rPr>
        <w:t xml:space="preserve">8. Sanction Scanner Yoxlaması</w:t>
      </w:r>
    </w:p>
    <w:p>
      <w:pPr>
        <w:spacing w:after="120" w:line="276"/>
        <w:jc w:val="both"/>
      </w:pPr>
      <w:r>
        <w:rPr>
          <w:rFonts w:ascii="Calibri" w:cs="Calibri" w:eastAsia="Calibri" w:hAnsi="Calibri"/>
          <w:color w:val="1E293B"/>
          <w:sz w:val="22"/>
          <w:szCs w:val="22"/>
        </w:rPr>
        <w:t xml:space="preserve">Data validation-dan sonra 'sanction scanner call' avtomatik node-u icra edilir. Bu node-da SanctionscannerController sinfi vasitəsilə müştəri beynəlxalq sanksiya siyahılarında yoxlanılır. Sistem 'https://sandbox-api.sanctionscanner.com/' URL-ə sorğu göndərir, ad və doğum ilinə əsasən axtarış aparır və minimum 90% uyğunluq dərəcəsi (minMatchRate) tələb edir.</w:t>
      </w:r>
    </w:p>
    <w:p>
      <w:pPr>
        <w:spacing w:after="120" w:line="276"/>
        <w:jc w:val="both"/>
      </w:pPr>
      <w:r>
        <w:rPr>
          <w:rFonts w:ascii="Calibri" w:cs="Calibri" w:eastAsia="Calibri" w:hAnsi="Calibri"/>
          <w:color w:val="1E293B"/>
          <w:sz w:val="22"/>
          <w:szCs w:val="22"/>
        </w:rPr>
        <w:t xml:space="preserve">Yoxlama iki nəticə verə bilər: '_CONTINUE' - sanksiya tapılmayıb, proses davam edir; '_FINDING' - sanksiya aşkarlanıb, 'sanction scanner compliance' node-una yönləndirilir. Compliance node-da xüsusi hüquq şöbəsi əməkdaşı nəticəni nəzərdən keçirir və iki seçimi var: 'continue__' - sanksiya qəbul ediləbilir (false positive), proses davam edir; 'reject__' - sanksiya təsdiqlənib, 'reject after sanction scanner' node-una yönləndirilir.</w:t>
      </w:r>
    </w:p>
    <w:p>
      <w:pPr>
        <w:spacing w:after="120" w:line="276"/>
        <w:jc w:val="both"/>
      </w:pPr>
      <w:r>
        <w:rPr>
          <w:rFonts w:ascii="Calibri" w:cs="Calibri" w:eastAsia="Calibri" w:hAnsi="Calibri"/>
          <w:color w:val="1E293B"/>
          <w:sz w:val="22"/>
          <w:szCs w:val="22"/>
        </w:rPr>
        <w:t xml:space="preserve">Sanksiya səbəbiylə rədd etmə 'bpmactRegisterRetailApplicationRejection' sinfi vasitəsilə həyata keçirilir və rejectionCode = '180' kimi qeyd edilir. Bu, müraciətin daimi olaraq rədd edildiyini göstərir. SanctionscannerData entity-si yaratmaqla hər bir yoxlama nəticəsi sistemdə saxlanılır - bu entity partner, application, busCase, retailClient və loan ilə əlaqələndirilir.</w:t>
      </w:r>
    </w:p>
    <w:p>
      <w:pPr>
        <w:pStyle w:val="Heading1"/>
        <w:spacing w:after="200" w:before="400" w:line="276"/>
      </w:pPr>
      <w:r>
        <w:rPr>
          <w:rFonts w:ascii="Times New Roman" w:cs="Times New Roman" w:eastAsia="Times New Roman" w:hAnsi="Times New Roman"/>
          <w:b/>
          <w:bCs/>
          <w:color w:val="020617"/>
          <w:sz w:val="32"/>
          <w:szCs w:val="32"/>
        </w:rPr>
        <w:t xml:space="preserve">9. SIMA KYC Verifikasiyası</w:t>
      </w:r>
    </w:p>
    <w:p>
      <w:pPr>
        <w:spacing w:after="120" w:line="276"/>
        <w:jc w:val="both"/>
      </w:pPr>
      <w:r>
        <w:rPr>
          <w:rFonts w:ascii="Calibri" w:cs="Calibri" w:eastAsia="Calibri" w:hAnsi="Calibri"/>
          <w:color w:val="1E293B"/>
          <w:sz w:val="22"/>
          <w:szCs w:val="22"/>
        </w:rPr>
        <w:t xml:space="preserve">Sanction scanner yoxlamasından keçdikdən sonra 'SIMA KYC2' node-unda elektron kimlik təsdiqi həyata keçirilir. Bu, SIMA (Secure Identity Management Architecture) sistemi vasitəsilə müştərinin şəxsiyyətinin ikinci dəfə təsdiqi deməkdir - birinci dəfə OTP ilə edilmişdi, indi SIMA ilə daha güclü verifikasiya aparılır.</w:t>
      </w:r>
    </w:p>
    <w:p>
      <w:pPr>
        <w:pStyle w:val="Heading2"/>
        <w:spacing w:after="160" w:before="300" w:line="276"/>
      </w:pPr>
      <w:r>
        <w:rPr>
          <w:rFonts w:ascii="Times New Roman" w:cs="Times New Roman" w:eastAsia="Times New Roman" w:hAnsi="Times New Roman"/>
          <w:b/>
          <w:bCs/>
          <w:color w:val="020617"/>
          <w:sz w:val="26"/>
          <w:szCs w:val="26"/>
        </w:rPr>
        <w:t xml:space="preserve">9.1 KYC Prosesinin İşləmə Prinsipi</w:t>
      </w:r>
    </w:p>
    <w:p>
      <w:pPr>
        <w:spacing w:after="120" w:line="276"/>
        <w:jc w:val="both"/>
      </w:pPr>
      <w:r>
        <w:rPr>
          <w:rFonts w:ascii="Calibri" w:cs="Calibri" w:eastAsia="Calibri" w:hAnsi="Calibri"/>
          <w:color w:val="1E293B"/>
          <w:sz w:val="22"/>
          <w:szCs w:val="22"/>
        </w:rPr>
        <w:t xml:space="preserve">'op_sima_kyc_retial' əməliyyatı vasitəsilə KYCData entity-si yaradılır. Sistem SIMA-a JSON formatında 'Auth' tipli sorğu göndərir: sorğuda 'ClientName' kimi 'Kredit tarixçəm haqqında məlumatlarımın Azərbaycan Kredit Bürosundan alınmasına razılıq verirəm' mətni ötürülür. Sorğuda 3 saatlıq (10800000 ms) SMS TTL müəyyən edilir. SIMA server qayıd URL-i: '/services/SIMAService/challenge?tsquery={base64(JSON)}'.</w:t>
      </w:r>
    </w:p>
    <w:p>
      <w:pPr>
        <w:spacing w:after="120" w:line="276"/>
        <w:jc w:val="both"/>
      </w:pPr>
      <w:r>
        <w:rPr>
          <w:rFonts w:ascii="Calibri" w:cs="Calibri" w:eastAsia="Calibri" w:hAnsi="Calibri"/>
          <w:color w:val="1E293B"/>
          <w:sz w:val="22"/>
          <w:szCs w:val="22"/>
        </w:rPr>
        <w:t xml:space="preserve">KYCData sinfi aşağıdakı məlumatları saxlayır: pin (müştəri PIN), person (Person entity), verified (boolean - təsdiq olunub/olunmayıb), smsSent (SMS göndərilmə vaxtı), smsValidTill (SMS-in etibarlılıq müddəti - 3 saat). Verifikasiya 'isVerified()' metodu vasitəsilə yoxlanılır - SIMA-dan qayıtan sertifikatdan PIN çıxarılır və müştərinin PIN-i ilə müqayisə edilir. Uyuşma olduqda verified = true qəbul edilir.</w:t>
      </w:r>
    </w:p>
    <w:p>
      <w:pPr>
        <w:pStyle w:val="Heading1"/>
        <w:spacing w:after="200" w:before="400" w:line="276"/>
      </w:pPr>
      <w:r>
        <w:rPr>
          <w:rFonts w:ascii="Times New Roman" w:cs="Times New Roman" w:eastAsia="Times New Roman" w:hAnsi="Times New Roman"/>
          <w:b/>
          <w:bCs/>
          <w:color w:val="020617"/>
          <w:sz w:val="32"/>
          <w:szCs w:val="32"/>
        </w:rPr>
        <w:t xml:space="preserve">10. Kredit Sözleşməsinin Hazırlanması və İmzalaması</w:t>
      </w:r>
    </w:p>
    <w:p>
      <w:pPr>
        <w:spacing w:after="120" w:line="276"/>
        <w:jc w:val="both"/>
      </w:pPr>
      <w:r>
        <w:rPr>
          <w:rFonts w:ascii="Calibri" w:cs="Calibri" w:eastAsia="Calibri" w:hAnsi="Calibri"/>
          <w:color w:val="1E293B"/>
          <w:sz w:val="22"/>
          <w:szCs w:val="22"/>
        </w:rPr>
        <w:t xml:space="preserve">SIMA KYC2 tamamlanıqdan sonra kredit sözləşməsinin hazırlanması mərhələsinə keçilir. Bu mərhələ bir neçə addımdan ibarətdir: kreditin yaradılması, sözləşmə məlumatlarının hazırlanması, və SIMA ilə onlayn imzalama.</w:t>
      </w:r>
    </w:p>
    <w:p>
      <w:pPr>
        <w:pStyle w:val="Heading2"/>
        <w:spacing w:after="160" w:before="300" w:line="276"/>
      </w:pPr>
      <w:r>
        <w:rPr>
          <w:rFonts w:ascii="Times New Roman" w:cs="Times New Roman" w:eastAsia="Times New Roman" w:hAnsi="Times New Roman"/>
          <w:b/>
          <w:bCs/>
          <w:color w:val="020617"/>
          <w:sz w:val="26"/>
          <w:szCs w:val="26"/>
        </w:rPr>
        <w:t xml:space="preserve">10.1 Kreditin Yaradılması (Create Loan)</w:t>
      </w:r>
    </w:p>
    <w:p>
      <w:pPr>
        <w:spacing w:after="120" w:line="276"/>
        <w:jc w:val="both"/>
      </w:pPr>
      <w:r>
        <w:rPr>
          <w:rFonts w:ascii="Calibri" w:cs="Calibri" w:eastAsia="Calibri" w:hAnsi="Calibri"/>
          <w:color w:val="1E293B"/>
          <w:sz w:val="22"/>
          <w:szCs w:val="22"/>
        </w:rPr>
        <w:t xml:space="preserve">'create loan from retail application' avtomatik node-unda bpmactLoanCreateFromRetailApplication sinfi icra edilir. Bu, ən mühim avtomatik əməliyyatlardan biridir və aşağıdakı addımları yerinə yetirir. Əvvəlcə kredit komitəsi tarixini filialın iş gününə təyin edir. Daha sonra appl.createLoan() metodu çağırılır - bu metod RetailApplication-dan Loan entity-si yaradır, müəyyən edici razılaşma nömrəsini (ZLOANAGR) təyin edir, vərəqələşmə formasını təyin edir, promo kateqoriyasını təyin edir. RetailClientIntegration.addGuarantorToCollateral() metodu vasitəsilə zaminlər təminat (collateral) olaraq əlavə edilir. RCASH kateqoriyası (cash loan category 'RC') üçün nağd kassa order nömrəsi ZLOANCSDSK formatında gener edilir. Kredit inzibatçısı məsul rol (010) olaraq əlavə edilir. l.approve() metodu çağırılaraq kredit təsdiqlənir. UTIL.applyPromo_toSchedule() metodu ilə promo əməliyyatları tətbiq edilir. Müraciətdəki istisna səbəbi kreditə köçürülür. Content repository yaradılır və sənəd əməliyyatları söndürülür. Əgər Cüzdan mobil kreditidirsə, 'Approved' callback göndərilir.</w:t>
      </w:r>
    </w:p>
    <w:p>
      <w:pPr>
        <w:pStyle w:val="Heading2"/>
        <w:spacing w:after="160" w:before="300" w:line="276"/>
      </w:pPr>
      <w:r>
        <w:rPr>
          <w:rFonts w:ascii="Times New Roman" w:cs="Times New Roman" w:eastAsia="Times New Roman" w:hAnsi="Times New Roman"/>
          <w:b/>
          <w:bCs/>
          <w:color w:val="020617"/>
          <w:sz w:val="26"/>
          <w:szCs w:val="26"/>
        </w:rPr>
        <w:t xml:space="preserve">10.2 Vərəqələşmə Forması</w:t>
      </w:r>
    </w:p>
    <w:p>
      <w:pPr>
        <w:spacing w:after="120" w:line="276"/>
        <w:jc w:val="both"/>
      </w:pPr>
      <w:r>
        <w:rPr>
          <w:rFonts w:ascii="Calibri" w:cs="Calibri" w:eastAsia="Calibri" w:hAnsi="Calibri"/>
          <w:color w:val="1E293B"/>
          <w:sz w:val="22"/>
          <w:szCs w:val="22"/>
        </w:rPr>
        <w:t xml:space="preserve">LW sistemində iki vərəqələşmə forması mövcuddur: '010' - Nağd kassa (Cash Desk). Bu, müştərinin bank filialının kassasında nağd pul alması deməkdir. Nağd kassa tipləri 'cash_desk_type' cədvəlində saxlanılır, '010' kodu 'Kassa' (AZ), 'Касса' (RU), 'Cash Desk' (EN) kimi tərcümə olunub. '020' - Kart köçürməsi. Bu, kredit məbləğinin müştərinin bank kartına köçürülməsi deməkdir. RCASH + CüzdanMobile halında sistem avtomatik olaraq '020' (kart) təyin edir. Kart vərəqələşməsində cardNumber sahəsi müştərinin kart nömrəsi ilə doldurulur, l.setExtNumber() metodu vasitəsilə kreditin xarici nömrəsi kartin nömrəsinə təyin edilir.</w:t>
      </w:r>
    </w:p>
    <w:p>
      <w:pPr>
        <w:pStyle w:val="Heading2"/>
        <w:spacing w:after="160" w:before="300" w:line="276"/>
      </w:pPr>
      <w:r>
        <w:rPr>
          <w:rFonts w:ascii="Times New Roman" w:cs="Times New Roman" w:eastAsia="Times New Roman" w:hAnsi="Times New Roman"/>
          <w:b/>
          <w:bCs/>
          <w:color w:val="020617"/>
          <w:sz w:val="26"/>
          <w:szCs w:val="26"/>
        </w:rPr>
        <w:t xml:space="preserve">10.3 Sözleşmə İmzalama (Loan Agreement Sign)</w:t>
      </w:r>
    </w:p>
    <w:p>
      <w:pPr>
        <w:spacing w:after="120" w:line="276"/>
        <w:jc w:val="both"/>
      </w:pPr>
      <w:r>
        <w:rPr>
          <w:rFonts w:ascii="Calibri" w:cs="Calibri" w:eastAsia="Calibri" w:hAnsi="Calibri"/>
          <w:color w:val="1E293B"/>
          <w:sz w:val="22"/>
          <w:szCs w:val="22"/>
        </w:rPr>
        <w:t xml:space="preserve">'preparing loan agreement data' node-unda 'op_addon_loan_agr_sign' əməliyyatı icra edilir. Bu, 't_opLoanAgreementSign' əsas bean-inin törəməsidir və aşağıdakı parametrlərə malikdir: loanVariableName = 'loan', updateDisbursementDateOnStart = true (başlanğıcda vərəqələşmə tarixini yeniləyir), signOnExecution = true (icra edərkən imzalayır), documentsContainerVariable = 'rapplication', hideInsuranceContracts = true (sığorta sözləşmələrini gizlədir).</w:t>
      </w:r>
    </w:p>
    <w:p>
      <w:pPr>
        <w:spacing w:after="120" w:line="276"/>
        <w:jc w:val="both"/>
      </w:pPr>
      <w:r>
        <w:rPr>
          <w:rFonts w:ascii="Calibri" w:cs="Calibri" w:eastAsia="Calibri" w:hAnsi="Calibri"/>
          <w:color w:val="1E293B"/>
          <w:sz w:val="22"/>
          <w:szCs w:val="22"/>
        </w:rPr>
        <w:t xml:space="preserve">Bu node-da kredit sözləşməsinin mətni hazırlanır, müştəri tərəfindən baxılır və onaylanır. Sözleşmədə məbləğ, müddət, faiz dərəcəsi, ödəniş planı, hər iki tərəfin hüquq və öhdəlikləri, gecikmə şərtləri və s. qeyd olunur. Kredit eksperti bu mərhələdə sözleşmənin məzmununu müştəriyə izah edir.</w:t>
      </w:r>
    </w:p>
    <w:p>
      <w:pPr>
        <w:pStyle w:val="Heading2"/>
        <w:spacing w:after="160" w:before="300" w:line="276"/>
      </w:pPr>
      <w:r>
        <w:rPr>
          <w:rFonts w:ascii="Times New Roman" w:cs="Times New Roman" w:eastAsia="Times New Roman" w:hAnsi="Times New Roman"/>
          <w:b/>
          <w:bCs/>
          <w:color w:val="020617"/>
          <w:sz w:val="26"/>
          <w:szCs w:val="26"/>
        </w:rPr>
        <w:t xml:space="preserve">10.4 SIMA ilə Onlayn İmzalama (QR Code)</w:t>
      </w:r>
    </w:p>
    <w:p>
      <w:pPr>
        <w:spacing w:after="120" w:line="276"/>
        <w:jc w:val="both"/>
      </w:pPr>
      <w:r>
        <w:rPr>
          <w:rFonts w:ascii="Calibri" w:cs="Calibri" w:eastAsia="Calibri" w:hAnsi="Calibri"/>
          <w:color w:val="1E293B"/>
          <w:sz w:val="22"/>
          <w:szCs w:val="22"/>
        </w:rPr>
        <w:t xml:space="preserve">Kredit sözləşməsinin onlayn imzalanması 'sign document online' node-unda həyata keçirilir. 'op_addon_sima_generate_qrcode' əməliyyatı vasitəsilə SIMAController QR kod gener edir. SIMA ilə imzalama prosesi belə işləyir: sistem 'Sign' tipli JSON sorğu hazırlayır. Bu sorğuda DataURI kimi '/services/SIMAService/download/{uuid}' - müştərinin imzalanacaq sənədi yükləməsi üçün link; Callback URL: '/services/SIMAService/upload/{uuid}' - müştərinin imzalanmış sənədi yükləməsi üçün link; ClientName: 'Embafinans' ötürülür.</w:t>
      </w:r>
    </w:p>
    <w:p>
      <w:pPr>
        <w:spacing w:after="120" w:line="276"/>
        <w:jc w:val="both"/>
      </w:pPr>
      <w:r>
        <w:rPr>
          <w:rFonts w:ascii="Calibri" w:cs="Calibri" w:eastAsia="Calibri" w:hAnsi="Calibri"/>
          <w:color w:val="1E293B"/>
          <w:sz w:val="22"/>
          <w:szCs w:val="22"/>
        </w:rPr>
        <w:t xml:space="preserve">QR kod 400x400 piksel ölçüsündə (QR_CODE_SIZE = 400) gener edilir. Müştəri SIMA mobil tətbiqini açır, kameranı QR kod-a yönəldir və tətbiq sənədi avtomatik olaraq yükləyir. Müştəri sənədi oxuyur və elektron imzasını yerləşdirir. İmzalanmış sənəd SIMA server-ə yüklənilir və LW sistemə callback göndərilir. Sistem imza sertifikatını təhlil edir: sertifikatdan PIN, ad-soyad və ölkə məlumatları çıxarılır. Əsas müştəri üçün fayl adı 'SIMA-Elektron Imzalanmış sənəd', zamin üçün isə 'Zamin-{PIN}.pdf' formatında saxlanılır. Nəticə SIMAParameters entity-sində saxlanılır: signCertificate, signPin, signFullName, signCountry, signTimestamp sahələri doldurulur.</w:t>
      </w:r>
    </w:p>
    <w:p>
      <w:pPr>
        <w:pStyle w:val="Heading1"/>
        <w:spacing w:after="200" w:before="400" w:line="276"/>
      </w:pPr>
      <w:r>
        <w:rPr>
          <w:rFonts w:ascii="Times New Roman" w:cs="Times New Roman" w:eastAsia="Times New Roman" w:hAnsi="Times New Roman"/>
          <w:b/>
          <w:bCs/>
          <w:color w:val="020617"/>
          <w:sz w:val="32"/>
          <w:szCs w:val="32"/>
        </w:rPr>
        <w:t xml:space="preserve">11. Kreditin Verilməsi (Vərəqələşmə)</w:t>
      </w:r>
    </w:p>
    <w:p>
      <w:pPr>
        <w:spacing w:after="120" w:line="276"/>
        <w:jc w:val="both"/>
      </w:pPr>
      <w:r>
        <w:rPr>
          <w:rFonts w:ascii="Calibri" w:cs="Calibri" w:eastAsia="Calibri" w:hAnsi="Calibri"/>
          <w:color w:val="1E293B"/>
          <w:sz w:val="22"/>
          <w:szCs w:val="22"/>
        </w:rPr>
        <w:t xml:space="preserve">Onlayn imzalama tamamlandıqdan sonra 'loan disbursement in LW' node-unda kreditin faktiki verilməsi həyata keçirilir. Bu node 'junior credit consultant' swimlane-ındadır və 'op_disburse_loan_new' əməliyyatı icra edilir.</w:t>
      </w:r>
    </w:p>
    <w:p>
      <w:pPr>
        <w:pStyle w:val="Heading2"/>
        <w:spacing w:after="160" w:before="300" w:line="276"/>
      </w:pPr>
      <w:r>
        <w:rPr>
          <w:rFonts w:ascii="Times New Roman" w:cs="Times New Roman" w:eastAsia="Times New Roman" w:hAnsi="Times New Roman"/>
          <w:b/>
          <w:bCs/>
          <w:color w:val="020617"/>
          <w:sz w:val="26"/>
          <w:szCs w:val="26"/>
        </w:rPr>
        <w:t xml:space="preserve">11.1 Vərəqələşmə Prosesi</w:t>
      </w:r>
    </w:p>
    <w:p>
      <w:pPr>
        <w:spacing w:after="120" w:line="276"/>
        <w:jc w:val="both"/>
      </w:pPr>
      <w:r>
        <w:rPr>
          <w:rFonts w:ascii="Calibri" w:cs="Calibri" w:eastAsia="Calibri" w:hAnsi="Calibri"/>
          <w:color w:val="1E293B"/>
          <w:sz w:val="22"/>
          <w:szCs w:val="22"/>
        </w:rPr>
        <w:t xml:space="preserve">Kreditin verilməsi bir neçə addımdan ibarətdir. 'before loan disbursement' avtomatik node-u icra edilir (bpmactBeforeLoanDisbursementRetailApplication) - hazırda bu əməliyyat no-op (boş) olsa da, gələcək genişləndirmələr üçün nəzərdə tutulub. Daha sonra 'loan disbursement in LW' node-unda kredit eksperti vərəqələşməni həyata keçirir: nağd kassa halında müştəri bankın kassasına gəlir və pulu alır; kart köçürməsi halında isə CüzdanController vasitəsilə avtomatik köçürmə aparılır.</w:t>
      </w:r>
    </w:p>
    <w:p>
      <w:pPr>
        <w:spacing w:after="120" w:line="276"/>
        <w:jc w:val="both"/>
      </w:pPr>
      <w:r>
        <w:rPr>
          <w:rFonts w:ascii="Calibri" w:cs="Calibri" w:eastAsia="Calibri" w:hAnsi="Calibri"/>
          <w:color w:val="1E293B"/>
          <w:sz w:val="22"/>
          <w:szCs w:val="22"/>
        </w:rPr>
        <w:t xml:space="preserve">Kart köçürməsi CüzdanController.transfer() metodu vasitəsilə həyata keçirilir: POST sorğu göndərilir, body-də profile_id, request_ref, currency_code, amount, token, tran_ref ötürülür, description: 'Transfer of credit amount to customer card'. Əməliyyatın uğurlu olub-olmaması tranStatus == 'A' yoxlaması ilə müəyyən edilir. 'aggregate signatures__' keçidi ilə SIMA imza birləşdirilir, 'disburse__' keçidi ilə isə vərəqələşmə tamamlanır.</w:t>
      </w:r>
    </w:p>
    <w:p>
      <w:pPr>
        <w:pStyle w:val="Heading2"/>
        <w:spacing w:after="160" w:before="300" w:line="276"/>
      </w:pPr>
      <w:r>
        <w:rPr>
          <w:rFonts w:ascii="Times New Roman" w:cs="Times New Roman" w:eastAsia="Times New Roman" w:hAnsi="Times New Roman"/>
          <w:b/>
          <w:bCs/>
          <w:color w:val="020617"/>
          <w:sz w:val="26"/>
          <w:szCs w:val="26"/>
        </w:rPr>
        <w:t xml:space="preserve">11.2 Vərəqələşmədən Sonrakı Əməliyyatlar</w:t>
      </w:r>
    </w:p>
    <w:p>
      <w:pPr>
        <w:spacing w:after="120" w:line="276"/>
        <w:jc w:val="both"/>
      </w:pPr>
      <w:r>
        <w:rPr>
          <w:rFonts w:ascii="Calibri" w:cs="Calibri" w:eastAsia="Calibri" w:hAnsi="Calibri"/>
          <w:color w:val="1E293B"/>
          <w:sz w:val="22"/>
          <w:szCs w:val="22"/>
        </w:rPr>
        <w:t xml:space="preserve">Vərəqələşmə tamamlandıqdan sonra iki avtomatik node icra edilir. 'revert loan changes' (bpmactRevertInterestRate) - əgər ödəniş planında dəyişiklik edilibsə, faiz dərəcəsi əvvəlki vəziyyətinə qaytarılır. 'apply promo actions to schedule' (bpmactApplyPromoActions) - əgər promo aktivdirsə, grace period tətbiq edilir. Bu addımlar kreditin düzgün formalaşdırılması üçün vacibdir.</w:t>
      </w:r>
    </w:p>
    <w:p>
      <w:pPr>
        <w:pStyle w:val="Heading2"/>
        <w:spacing w:after="160" w:before="300" w:line="276"/>
      </w:pPr>
      <w:r>
        <w:rPr>
          <w:rFonts w:ascii="Times New Roman" w:cs="Times New Roman" w:eastAsia="Times New Roman" w:hAnsi="Times New Roman"/>
          <w:b/>
          <w:bCs/>
          <w:color w:val="020617"/>
          <w:sz w:val="26"/>
          <w:szCs w:val="26"/>
        </w:rPr>
        <w:t xml:space="preserve">11.3 Case-in Bağlanması</w:t>
      </w:r>
    </w:p>
    <w:p>
      <w:pPr>
        <w:spacing w:after="120" w:line="276"/>
        <w:jc w:val="both"/>
      </w:pPr>
      <w:r>
        <w:rPr>
          <w:rFonts w:ascii="Calibri" w:cs="Calibri" w:eastAsia="Calibri" w:hAnsi="Calibri"/>
          <w:color w:val="1E293B"/>
          <w:sz w:val="22"/>
          <w:szCs w:val="22"/>
        </w:rPr>
        <w:t xml:space="preserve">Bütün əməliyyatlar tamamlandıqdan sonra 'close case' node-u icra edilir. bpmactCloseCaseAction sinfi endMainProcess = true ilə əsas prosesi bağlayır və 'end-state1' node-una keçid edilir. Bu, kredit müraciəti prosesinin rəsmi bitməsidir. Kredit artıq 'S005 - Outstanding' (Borclud) statusuna keçir və aktiv həyat fazasına daxil olur.</w:t>
      </w:r>
    </w:p>
    <w:p>
      <w:pPr>
        <w:pStyle w:val="Heading2"/>
        <w:spacing w:after="160" w:before="300" w:line="276"/>
      </w:pPr>
      <w:r>
        <w:rPr>
          <w:rFonts w:ascii="Times New Roman" w:cs="Times New Roman" w:eastAsia="Times New Roman" w:hAnsi="Times New Roman"/>
          <w:b/>
          <w:bCs/>
          <w:color w:val="020617"/>
          <w:sz w:val="26"/>
          <w:szCs w:val="26"/>
        </w:rPr>
        <w:t xml:space="preserve">11.4 Müraciətin Rədd Edilməsi</w:t>
      </w:r>
    </w:p>
    <w:p>
      <w:pPr>
        <w:spacing w:after="120" w:line="276"/>
        <w:jc w:val="both"/>
      </w:pPr>
      <w:r>
        <w:rPr>
          <w:rFonts w:ascii="Calibri" w:cs="Calibri" w:eastAsia="Calibri" w:hAnsi="Calibri"/>
          <w:color w:val="1E293B"/>
          <w:sz w:val="22"/>
          <w:szCs w:val="22"/>
        </w:rPr>
        <w:t xml:space="preserve">Prosesin istənilən mərhələsində müraciət rədd edilə bilər: 'reject application' node-unda op_reject_application əməliyyatı icra edilir. RetailApplication.reject() metodu çağırılır, rejected = true qəbul edilir, rejection entity-si yaradılır (tarix, səbəb, rədd edən şəxs). Əgər səbəb kodu (rejectionCode) göstərilibsə (məsələn, sanksiya üçün '180'), həmin kod RejectionReason-a təyin edilir. reject() metodu həmçinin rədd SMS-i göndərir - APLREJ template-i istifadə olunur. CüzdanMobile callback isə 'Rejected' statusu ilə göndərilir (əgər gözləmə müddəti varsa, waitPeriodDays da ötürülür). Bundan sonra 'close case' ilə proses bağlanır.</w:t>
      </w:r>
    </w:p>
    <w:p>
      <w:pPr>
        <w:pStyle w:val="Heading1"/>
        <w:spacing w:after="200" w:before="400" w:line="276"/>
      </w:pPr>
      <w:r>
        <w:rPr>
          <w:rFonts w:ascii="Times New Roman" w:cs="Times New Roman" w:eastAsia="Times New Roman" w:hAnsi="Times New Roman"/>
          <w:b/>
          <w:bCs/>
          <w:color w:val="020617"/>
          <w:sz w:val="32"/>
          <w:szCs w:val="32"/>
        </w:rPr>
        <w:t xml:space="preserve">12. Kreditin Aktiv Fazası - Statuslar</w:t>
      </w:r>
    </w:p>
    <w:p>
      <w:pPr>
        <w:spacing w:after="120" w:line="276"/>
        <w:jc w:val="both"/>
      </w:pPr>
      <w:r>
        <w:rPr>
          <w:rFonts w:ascii="Calibri" w:cs="Calibri" w:eastAsia="Calibri" w:hAnsi="Calibri"/>
          <w:color w:val="1E293B"/>
          <w:sz w:val="22"/>
          <w:szCs w:val="22"/>
        </w:rPr>
        <w:t xml:space="preserve">Kredit vərəqələşdirildikdən və Case bağlandıqdan sonra Loan entity-si 'S005 - Outstanding' (Borclud) statusuna keçir. Bu, kreditin aktiv həyat fazasıdır. LW sistemində aşağıdakı kredit statusları mövcuddur:</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40"/>
          <w:bottom w:type="dxa" w:w="60"/>
          <w:right w:type="dxa" w:w="140"/>
        </w:tblCellMar>
      </w:tblPr>
      <w:tblGrid>
        <w:gridCol w:w="1500"/>
        <w:gridCol w:w="3500"/>
        <w:gridCol w:w="4360"/>
      </w:tblGrid>
      <w:tr>
        <w:trPr>
          <w:tblHeader/>
        </w:trPr>
        <w:tc>
          <w:tcPr>
            <w:tcW w:type="dxa" w:w="1500"/>
            <w:tcBorders>
              <w:top w:val="single" w:color="94A3B8" w:sz="1"/>
              <w:left w:val="single" w:color="94A3B8" w:sz="1"/>
              <w:bottom w:val="single" w:color="94A3B8" w:sz="1"/>
              <w:right w:val="single" w:color="94A3B8" w:sz="1"/>
            </w:tcBorders>
            <w:shd w:fill="E2E8F0" w:val="clear"/>
            <w:vAlign w:val="center"/>
          </w:tcPr>
          <w:p>
            <w:pPr>
              <w:spacing w:line="276"/>
              <w:jc w:val="center"/>
            </w:pPr>
            <w:r>
              <w:rPr>
                <w:rFonts w:ascii="Calibri" w:cs="Calibri" w:eastAsia="Calibri" w:hAnsi="Calibri"/>
                <w:b/>
                <w:bCs/>
                <w:color w:val="020617"/>
                <w:sz w:val="20"/>
                <w:szCs w:val="20"/>
              </w:rPr>
              <w:t xml:space="preserve">Status Kodu</w:t>
            </w:r>
          </w:p>
        </w:tc>
        <w:tc>
          <w:tcPr>
            <w:tcW w:type="dxa" w:w="3500"/>
            <w:tcBorders>
              <w:top w:val="single" w:color="94A3B8" w:sz="1"/>
              <w:left w:val="single" w:color="94A3B8" w:sz="1"/>
              <w:bottom w:val="single" w:color="94A3B8" w:sz="1"/>
              <w:right w:val="single" w:color="94A3B8" w:sz="1"/>
            </w:tcBorders>
            <w:shd w:fill="E2E8F0" w:val="clear"/>
            <w:vAlign w:val="center"/>
          </w:tcPr>
          <w:p>
            <w:pPr>
              <w:spacing w:line="276"/>
              <w:jc w:val="center"/>
            </w:pPr>
            <w:r>
              <w:rPr>
                <w:rFonts w:ascii="Calibri" w:cs="Calibri" w:eastAsia="Calibri" w:hAnsi="Calibri"/>
                <w:b/>
                <w:bCs/>
                <w:color w:val="020617"/>
                <w:sz w:val="20"/>
                <w:szCs w:val="20"/>
              </w:rPr>
              <w:t xml:space="preserve">Status Adı</w:t>
            </w:r>
          </w:p>
        </w:tc>
        <w:tc>
          <w:tcPr>
            <w:tcW w:type="dxa" w:w="4360"/>
            <w:tcBorders>
              <w:top w:val="single" w:color="94A3B8" w:sz="1"/>
              <w:left w:val="single" w:color="94A3B8" w:sz="1"/>
              <w:bottom w:val="single" w:color="94A3B8" w:sz="1"/>
              <w:right w:val="single" w:color="94A3B8" w:sz="1"/>
            </w:tcBorders>
            <w:shd w:fill="E2E8F0" w:val="clear"/>
            <w:vAlign w:val="center"/>
          </w:tcPr>
          <w:p>
            <w:pPr>
              <w:spacing w:line="276"/>
              <w:jc w:val="center"/>
            </w:pPr>
            <w:r>
              <w:rPr>
                <w:rFonts w:ascii="Calibri" w:cs="Calibri" w:eastAsia="Calibri" w:hAnsi="Calibri"/>
                <w:b/>
                <w:bCs/>
                <w:color w:val="020617"/>
                <w:sz w:val="20"/>
                <w:szCs w:val="20"/>
              </w:rPr>
              <w:t xml:space="preserve">Təsvir</w:t>
            </w:r>
          </w:p>
        </w:tc>
      </w:tr>
      <w:tr>
        <w:tc>
          <w:tcPr>
            <w:tcW w:type="dxa" w:w="15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S001</w:t>
            </w:r>
          </w:p>
        </w:tc>
        <w:tc>
          <w:tcPr>
            <w:tcW w:type="dxa" w:w="35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New (Yeni)</w:t>
            </w:r>
          </w:p>
        </w:tc>
        <w:tc>
          <w:tcPr>
            <w:tcW w:type="dxa" w:w="43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Kredit müraciəti yaradılıb, hələ təsdiq edilməyib</w:t>
            </w:r>
          </w:p>
        </w:tc>
      </w:tr>
      <w:tr>
        <w:tc>
          <w:tcPr>
            <w:tcW w:type="dxa" w:w="15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S002</w:t>
            </w:r>
          </w:p>
        </w:tc>
        <w:tc>
          <w:tcPr>
            <w:tcW w:type="dxa" w:w="35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Approved (Təsdiq Edilib)</w:t>
            </w:r>
          </w:p>
        </w:tc>
        <w:tc>
          <w:tcPr>
            <w:tcW w:type="dxa" w:w="43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Kredit təsdiq edilib, lakin hələ vərəqələşdirilməyib</w:t>
            </w:r>
          </w:p>
        </w:tc>
      </w:tr>
      <w:tr>
        <w:tc>
          <w:tcPr>
            <w:tcW w:type="dxa" w:w="15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S003</w:t>
            </w:r>
          </w:p>
        </w:tc>
        <w:tc>
          <w:tcPr>
            <w:tcW w:type="dxa" w:w="35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RejectedAfterApproval (Təsdiqdən Sonra Rədd Edilib)</w:t>
            </w:r>
          </w:p>
        </w:tc>
        <w:tc>
          <w:tcPr>
            <w:tcW w:type="dxa" w:w="43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Təsdiq edildikdən sonra ləğv edilib</w:t>
            </w:r>
          </w:p>
        </w:tc>
      </w:tr>
      <w:tr>
        <w:tc>
          <w:tcPr>
            <w:tcW w:type="dxa" w:w="15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S004</w:t>
            </w:r>
          </w:p>
        </w:tc>
        <w:tc>
          <w:tcPr>
            <w:tcW w:type="dxa" w:w="35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CancelledNew</w:t>
            </w:r>
          </w:p>
        </w:tc>
        <w:tc>
          <w:tcPr>
            <w:tcW w:type="dxa" w:w="43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Yeni mərhələdə ləğv edilib</w:t>
            </w:r>
          </w:p>
        </w:tc>
      </w:tr>
      <w:tr>
        <w:tc>
          <w:tcPr>
            <w:tcW w:type="dxa" w:w="15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S005</w:t>
            </w:r>
          </w:p>
        </w:tc>
        <w:tc>
          <w:tcPr>
            <w:tcW w:type="dxa" w:w="35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Outstanding (Borclud)</w:t>
            </w:r>
          </w:p>
        </w:tc>
        <w:tc>
          <w:tcPr>
            <w:tcW w:type="dxa" w:w="43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Kredit vərəqələşdirilib, aktiv borc var</w:t>
            </w:r>
          </w:p>
        </w:tc>
      </w:tr>
      <w:tr>
        <w:tc>
          <w:tcPr>
            <w:tcW w:type="dxa" w:w="15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S006</w:t>
            </w:r>
          </w:p>
        </w:tc>
        <w:tc>
          <w:tcPr>
            <w:tcW w:type="dxa" w:w="35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Completed (Tamamlanıb)</w:t>
            </w:r>
          </w:p>
        </w:tc>
        <w:tc>
          <w:tcPr>
            <w:tcW w:type="dxa" w:w="43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Kredit tamamilə ödənilib</w:t>
            </w:r>
          </w:p>
        </w:tc>
      </w:tr>
      <w:tr>
        <w:tc>
          <w:tcPr>
            <w:tcW w:type="dxa" w:w="15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S007</w:t>
            </w:r>
          </w:p>
        </w:tc>
        <w:tc>
          <w:tcPr>
            <w:tcW w:type="dxa" w:w="35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ConditionallyOutstanding (Şərti Borclud)</w:t>
            </w:r>
          </w:p>
        </w:tc>
        <w:tc>
          <w:tcPr>
            <w:tcW w:type="dxa" w:w="43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Kredit borclud, lakin şərti ödənişlər var</w:t>
            </w:r>
          </w:p>
        </w:tc>
      </w:tr>
      <w:tr>
        <w:tc>
          <w:tcPr>
            <w:tcW w:type="dxa" w:w="15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S008</w:t>
            </w:r>
          </w:p>
        </w:tc>
        <w:tc>
          <w:tcPr>
            <w:tcW w:type="dxa" w:w="35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CancelledOutstanding</w:t>
            </w:r>
          </w:p>
        </w:tc>
        <w:tc>
          <w:tcPr>
            <w:tcW w:type="dxa" w:w="43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Borclud vəziyyətdə ləğv edilib</w:t>
            </w:r>
          </w:p>
        </w:tc>
      </w:tr>
      <w:tr>
        <w:tc>
          <w:tcPr>
            <w:tcW w:type="dxa" w:w="15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S010</w:t>
            </w:r>
          </w:p>
        </w:tc>
        <w:tc>
          <w:tcPr>
            <w:tcW w:type="dxa" w:w="35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OffBalance (Balansdan Kənarlaşdırılıb)</w:t>
            </w:r>
          </w:p>
        </w:tc>
        <w:tc>
          <w:tcPr>
            <w:tcW w:type="dxa" w:w="43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Kredit write-off edilib</w:t>
            </w:r>
          </w:p>
        </w:tc>
      </w:tr>
    </w:tbl>
    <w:p>
      <w:pPr>
        <w:spacing w:after="120" w:line="276"/>
        <w:jc w:val="both"/>
      </w:pPr>
      <w:r>
        <w:rPr>
          <w:rFonts w:ascii="Calibri" w:cs="Calibri" w:eastAsia="Calibri" w:hAnsi="Calibri"/>
          <w:color w:val="1E293B"/>
          <w:sz w:val="22"/>
          <w:szCs w:val="22"/>
        </w:rPr>
        <w:t xml:space="preserve">Cədvəl 3: Kredit Statusları</w:t>
      </w:r>
    </w:p>
    <w:p>
      <w:pPr>
        <w:spacing w:after="120" w:line="276"/>
        <w:jc w:val="both"/>
      </w:pPr>
      <w:r>
        <w:rPr>
          <w:rFonts w:ascii="Calibri" w:cs="Calibri" w:eastAsia="Calibri" w:hAnsi="Calibri"/>
          <w:color w:val="1E293B"/>
          <w:sz w:val="22"/>
          <w:szCs w:val="22"/>
        </w:rPr>
        <w:t xml:space="preserve">Aktiv kreditlər üçün cari statuslar S005 və S007-dir. Kredit S005 statusundan S006-ya (tam ödənilmə) və ya S010-a (write-off) keçə bilər. Əgər müştəri vaxtında ödəniş edirsə, kredit normal şəkildə S006-ya qədər davam edir. Əgər gecikmə baş verirsə, kredit S007-ya keçə bilər və kolleksiya prosesi başlayır.</w:t>
      </w:r>
    </w:p>
    <w:p>
      <w:pPr>
        <w:pStyle w:val="Heading1"/>
        <w:spacing w:after="200" w:before="400" w:line="276"/>
      </w:pPr>
      <w:r>
        <w:rPr>
          <w:rFonts w:ascii="Times New Roman" w:cs="Times New Roman" w:eastAsia="Times New Roman" w:hAnsi="Times New Roman"/>
          <w:b/>
          <w:bCs/>
          <w:color w:val="020617"/>
          <w:sz w:val="32"/>
          <w:szCs w:val="32"/>
        </w:rPr>
        <w:t xml:space="preserve">13. Normal Ödənişlər</w:t>
      </w:r>
    </w:p>
    <w:p>
      <w:pPr>
        <w:spacing w:after="120" w:line="276"/>
        <w:jc w:val="both"/>
      </w:pPr>
      <w:r>
        <w:rPr>
          <w:rFonts w:ascii="Calibri" w:cs="Calibri" w:eastAsia="Calibri" w:hAnsi="Calibri"/>
          <w:color w:val="1E293B"/>
          <w:sz w:val="22"/>
          <w:szCs w:val="22"/>
        </w:rPr>
        <w:t xml:space="preserve">Kredit aktiv olduqdan sonra müştəri hər ay ödəniş planına uyğun olaraq aylıq ödəniş edir. Ödənişlər bir neçə kanal vasitəsilə qeydə alına bilər.</w:t>
      </w:r>
    </w:p>
    <w:p>
      <w:pPr>
        <w:pStyle w:val="Heading2"/>
        <w:spacing w:after="160" w:before="300" w:line="276"/>
      </w:pPr>
      <w:r>
        <w:rPr>
          <w:rFonts w:ascii="Times New Roman" w:cs="Times New Roman" w:eastAsia="Times New Roman" w:hAnsi="Times New Roman"/>
          <w:b/>
          <w:bCs/>
          <w:color w:val="020617"/>
          <w:sz w:val="26"/>
          <w:szCs w:val="26"/>
        </w:rPr>
        <w:t xml:space="preserve">13.1 Ödəniş Qeydiyyatı</w:t>
      </w:r>
    </w:p>
    <w:p>
      <w:pPr>
        <w:spacing w:after="120" w:line="276"/>
        <w:jc w:val="both"/>
      </w:pPr>
      <w:r>
        <w:rPr>
          <w:rFonts w:ascii="Calibri" w:cs="Calibri" w:eastAsia="Calibri" w:hAnsi="Calibri"/>
          <w:color w:val="1E293B"/>
          <w:sz w:val="22"/>
          <w:szCs w:val="22"/>
        </w:rPr>
        <w:t xml:space="preserve">RegisterRepaymentController sinfi ödəniş qeydiyyatını idarə edir. Bu sinif IRegisterRepaymentController interfeysini həyata keçirir və sadəcə default ödəniş tarixi təmin edir: filialın iş günündən 1 gün əvvəl (branchDate - 1 gün). Əsl ödəniş qeydiyyatı LoanAccounting.registerRepayment() metodu vasitəsilə həyata keçirilir. Ödəniş FutureRepayments distribution mode-da qeyd edilir - yəni ödəniş növbəti aylıq ödənişlərə tətbiq olunur.</w:t>
      </w:r>
    </w:p>
    <w:p>
      <w:pPr>
        <w:spacing w:after="120" w:line="276"/>
        <w:jc w:val="both"/>
      </w:pPr>
      <w:r>
        <w:rPr>
          <w:rFonts w:ascii="Calibri" w:cs="Calibri" w:eastAsia="Calibri" w:hAnsi="Calibri"/>
          <w:color w:val="1E293B"/>
          <w:sz w:val="22"/>
          <w:szCs w:val="22"/>
        </w:rPr>
        <w:t xml:space="preserve">Web service vasitəsilə də ödəniş qeyd edilə bilər: registerRepayment methodu agreementNumber, amount, currency, transactionId, paymentSystemId parametrlərini qəbul edir. Loan agreement nömrəsi ilə kredit tapılır və ödəniş qeyd edilir. Bu, onlayn ödəniş kanallarının (Cüzdan, bank kartı və s.) LW ilə inteqrasiyası üçün istifadə olunur.</w:t>
      </w:r>
    </w:p>
    <w:p>
      <w:pPr>
        <w:pStyle w:val="Heading2"/>
        <w:spacing w:after="160" w:before="300" w:line="276"/>
      </w:pPr>
      <w:r>
        <w:rPr>
          <w:rFonts w:ascii="Times New Roman" w:cs="Times New Roman" w:eastAsia="Times New Roman" w:hAnsi="Times New Roman"/>
          <w:b/>
          <w:bCs/>
          <w:color w:val="020617"/>
          <w:sz w:val="26"/>
          <w:szCs w:val="26"/>
        </w:rPr>
        <w:t xml:space="preserve">13.2 Onlayn Ödənişlər (Cüzdan)</w:t>
      </w:r>
    </w:p>
    <w:p>
      <w:pPr>
        <w:spacing w:after="120" w:line="276"/>
        <w:jc w:val="both"/>
      </w:pPr>
      <w:r>
        <w:rPr>
          <w:rFonts w:ascii="Calibri" w:cs="Calibri" w:eastAsia="Calibri" w:hAnsi="Calibri"/>
          <w:color w:val="1E293B"/>
          <w:sz w:val="22"/>
          <w:szCs w:val="22"/>
        </w:rPr>
        <w:t xml:space="preserve">CüzdanController sinfi vasitəsilə onlayn ödənişlər həyata keçirilir. Ödəniş prosesi belə işləyir: paymentRequest() metodu ilə əvvəlcə kart qeydiyyatı aparılır (tokenise=2). Bu POST sorğusunda profile_id, cart_id, cart_amount, cart_currency, cart_description='Card registration', callback URL ötürülür. Əgər əməliyyat uğurludursa (status 'A'), kart token-ı alınır. Sonra transfer() metodu ilə kredit məbləği müştərinin kartına köçürülür. Bu, ödəniş emalının əsas hissəsidir. Onlayn ödəniş qeydi edilərkən IntegrationMappingController.getMappingValue('ONLINE_PAYMENT_SERVICE_SYSTEM_ID', paymentSystemId) vasitəsilə xarici ödəniş sistemi ID-si daxili LW hərəkət formasına çevrilir.</w:t>
      </w:r>
    </w:p>
    <w:p>
      <w:pPr>
        <w:pStyle w:val="Heading2"/>
        <w:spacing w:after="160" w:before="300" w:line="276"/>
      </w:pPr>
      <w:r>
        <w:rPr>
          <w:rFonts w:ascii="Times New Roman" w:cs="Times New Roman" w:eastAsia="Times New Roman" w:hAnsi="Times New Roman"/>
          <w:b/>
          <w:bCs/>
          <w:color w:val="020617"/>
          <w:sz w:val="26"/>
          <w:szCs w:val="26"/>
        </w:rPr>
        <w:t xml:space="preserve">13.3 ContractAccountMovement</w:t>
      </w:r>
    </w:p>
    <w:p>
      <w:pPr>
        <w:spacing w:after="120" w:line="276"/>
        <w:jc w:val="both"/>
      </w:pPr>
      <w:r>
        <w:rPr>
          <w:rFonts w:ascii="Calibri" w:cs="Calibri" w:eastAsia="Calibri" w:hAnsi="Calibri"/>
          <w:color w:val="1E293B"/>
          <w:sz w:val="22"/>
          <w:szCs w:val="22"/>
        </w:rPr>
        <w:t xml:space="preserve">Hər bir ödəniş ContractAccountMovement entity-si kimi saxlanılır. Bu entity-nin mühüm sahələri: date (ödəniş tarixi), postingDate (hesablaşma tarixi), movementType (hərəkət növü - Disbursement, Repayment, Deposit, Withdrawal), accountType (hesab növü - INT faiz, INT_A yığılmış faiz, PEN cərimə), amount (məbləğ), writeOff (write-off bayrağı), writeOffReason (write-off səbəbi), cancelled (ləğv olunub), preliminary (preliminary). Hər bir ödəniş sistemdə tam audit trail ilə qeyd edilir.</w:t>
      </w:r>
    </w:p>
    <w:p>
      <w:pPr>
        <w:pStyle w:val="Heading1"/>
        <w:spacing w:after="200" w:before="400" w:line="276"/>
      </w:pPr>
      <w:r>
        <w:rPr>
          <w:rFonts w:ascii="Times New Roman" w:cs="Times New Roman" w:eastAsia="Times New Roman" w:hAnsi="Times New Roman"/>
          <w:b/>
          <w:bCs/>
          <w:color w:val="020617"/>
          <w:sz w:val="32"/>
          <w:szCs w:val="32"/>
        </w:rPr>
        <w:t xml:space="preserve">14. Gecikmə və Kolleksiya Prosesi</w:t>
      </w:r>
    </w:p>
    <w:p>
      <w:pPr>
        <w:spacing w:after="120" w:line="276"/>
        <w:jc w:val="both"/>
      </w:pPr>
      <w:r>
        <w:rPr>
          <w:rFonts w:ascii="Calibri" w:cs="Calibri" w:eastAsia="Calibri" w:hAnsi="Calibri"/>
          <w:color w:val="1E293B"/>
          <w:sz w:val="22"/>
          <w:szCs w:val="22"/>
        </w:rPr>
        <w:t xml:space="preserve">Müştəri aylık ödənişi vaxtında etmədisə, kredit gecikmə vəziyyətinə düşür. LW sistemində kolleksiya prosesi tamamilə avtomatlaşdırılmışdır və CollectionCase entity-si ətrafında qurulur. Gecikmə günlərinə (daysInArrear) əsasən kredit müxtəlif kolleksiya bölmələri arasında avtomatik ötürülür.</w:t>
      </w:r>
    </w:p>
    <w:p>
      <w:pPr>
        <w:pStyle w:val="Heading2"/>
        <w:spacing w:after="160" w:before="300" w:line="276"/>
      </w:pPr>
      <w:r>
        <w:rPr>
          <w:rFonts w:ascii="Times New Roman" w:cs="Times New Roman" w:eastAsia="Times New Roman" w:hAnsi="Times New Roman"/>
          <w:b/>
          <w:bCs/>
          <w:color w:val="020617"/>
          <w:sz w:val="26"/>
          <w:szCs w:val="26"/>
        </w:rPr>
        <w:t xml:space="preserve">14.1 CollectionCase-in Yaradılması</w:t>
      </w:r>
    </w:p>
    <w:p>
      <w:pPr>
        <w:spacing w:after="120" w:line="276"/>
        <w:jc w:val="both"/>
      </w:pPr>
      <w:r>
        <w:rPr>
          <w:rFonts w:ascii="Calibri" w:cs="Calibri" w:eastAsia="Calibri" w:hAnsi="Calibri"/>
          <w:color w:val="1E293B"/>
          <w:sz w:val="22"/>
          <w:szCs w:val="22"/>
        </w:rPr>
        <w:t xml:space="preserve">Kolleksiya işi (CollectionCase) avtomatik olaraq yaradılır. Yaradılma qaydaları: SME kreditləri və OL (onlayn) məhsul kateqoriyası üçün 1-ci gecikmə günündən; digər retail kreditlər üçün 6-cı gecikmə günündən; bəzi 'delayed' məhsullar üçün 11-ci gecikmə günündən. FKR məhsulları kolleksiyaya daxil edilmir (EXCLUDE_PRODUCT_OIDS). Əgər eyni kredit üçün əvvəlki kolleksiya işində courtDecisionExists = true varsa, yeni iş birbaşa HCOL (Hard Collection) bölməsində yaradılır.</w:t>
      </w:r>
    </w:p>
    <w:p>
      <w:pPr>
        <w:spacing w:after="120" w:line="276"/>
        <w:jc w:val="both"/>
      </w:pPr>
      <w:r>
        <w:rPr>
          <w:rFonts w:ascii="Calibri" w:cs="Calibri" w:eastAsia="Calibri" w:hAnsi="Calibri"/>
          <w:color w:val="1E293B"/>
          <w:sz w:val="22"/>
          <w:szCs w:val="22"/>
        </w:rPr>
        <w:t xml:space="preserve">CollectionCase entity-sinin sahələri: uuid, busCase (BPM Case), loan (kredit), division (kolleksiya bölməsi), actions (hərəkətlər siyahısı), documentsSentToCourt (sənədlər məhkəməyə göndərilib), courtDecisionExists (məhkəmə qərarı var), dateDocumentsSentToCourt, dateCourtDecision. Hər bir kolleksiya işi öz BPM Case-ına malikdir və 'collection' adlı BPM proses definisiyası ilə idarə olunur.</w:t>
      </w:r>
    </w:p>
    <w:p>
      <w:pPr>
        <w:pStyle w:val="Heading2"/>
        <w:spacing w:after="160" w:before="300" w:line="276"/>
      </w:pPr>
      <w:r>
        <w:rPr>
          <w:rFonts w:ascii="Times New Roman" w:cs="Times New Roman" w:eastAsia="Times New Roman" w:hAnsi="Times New Roman"/>
          <w:b/>
          <w:bCs/>
          <w:color w:val="020617"/>
          <w:sz w:val="26"/>
          <w:szCs w:val="26"/>
        </w:rPr>
        <w:t xml:space="preserve">14.2 Kolleksiya Bölmələri və Escalation (Gecikmə Günləri)</w:t>
      </w:r>
    </w:p>
    <w:p>
      <w:pPr>
        <w:spacing w:after="120" w:line="276"/>
        <w:jc w:val="both"/>
      </w:pPr>
      <w:r>
        <w:rPr>
          <w:rFonts w:ascii="Calibri" w:cs="Calibri" w:eastAsia="Calibri" w:hAnsi="Calibri"/>
          <w:color w:val="1E293B"/>
          <w:sz w:val="22"/>
          <w:szCs w:val="22"/>
        </w:rPr>
        <w:t xml:space="preserve">LW sistemində 7 kolleksiya bölməsi (CollectionDivision) mövcuddur və hər biri müəyyən gecikmə günü aralığına cavab verir:</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40"/>
          <w:bottom w:type="dxa" w:w="60"/>
          <w:right w:type="dxa" w:w="140"/>
        </w:tblCellMar>
      </w:tblPr>
      <w:tblGrid>
        <w:gridCol w:w="1500"/>
        <w:gridCol w:w="1000"/>
        <w:gridCol w:w="2200"/>
        <w:gridCol w:w="2300"/>
        <w:gridCol w:w="2360"/>
      </w:tblGrid>
      <w:tr>
        <w:trPr>
          <w:tblHeader/>
        </w:trPr>
        <w:tc>
          <w:tcPr>
            <w:tcW w:type="dxa" w:w="1500"/>
            <w:tcBorders>
              <w:top w:val="single" w:color="94A3B8" w:sz="1"/>
              <w:left w:val="single" w:color="94A3B8" w:sz="1"/>
              <w:bottom w:val="single" w:color="94A3B8" w:sz="1"/>
              <w:right w:val="single" w:color="94A3B8" w:sz="1"/>
            </w:tcBorders>
            <w:shd w:fill="E2E8F0" w:val="clear"/>
            <w:vAlign w:val="center"/>
          </w:tcPr>
          <w:p>
            <w:pPr>
              <w:spacing w:line="276"/>
              <w:jc w:val="center"/>
            </w:pPr>
            <w:r>
              <w:rPr>
                <w:rFonts w:ascii="Calibri" w:cs="Calibri" w:eastAsia="Calibri" w:hAnsi="Calibri"/>
                <w:b/>
                <w:bCs/>
                <w:color w:val="020617"/>
                <w:sz w:val="20"/>
                <w:szCs w:val="20"/>
              </w:rPr>
              <w:t xml:space="preserve">Bölmə</w:t>
            </w:r>
          </w:p>
        </w:tc>
        <w:tc>
          <w:tcPr>
            <w:tcW w:type="dxa" w:w="1000"/>
            <w:tcBorders>
              <w:top w:val="single" w:color="94A3B8" w:sz="1"/>
              <w:left w:val="single" w:color="94A3B8" w:sz="1"/>
              <w:bottom w:val="single" w:color="94A3B8" w:sz="1"/>
              <w:right w:val="single" w:color="94A3B8" w:sz="1"/>
            </w:tcBorders>
            <w:shd w:fill="E2E8F0" w:val="clear"/>
            <w:vAlign w:val="center"/>
          </w:tcPr>
          <w:p>
            <w:pPr>
              <w:spacing w:line="276"/>
              <w:jc w:val="center"/>
            </w:pPr>
            <w:r>
              <w:rPr>
                <w:rFonts w:ascii="Calibri" w:cs="Calibri" w:eastAsia="Calibri" w:hAnsi="Calibri"/>
                <w:b/>
                <w:bCs/>
                <w:color w:val="020617"/>
                <w:sz w:val="20"/>
                <w:szCs w:val="20"/>
              </w:rPr>
              <w:t xml:space="preserve">Kod</w:t>
            </w:r>
          </w:p>
        </w:tc>
        <w:tc>
          <w:tcPr>
            <w:tcW w:type="dxa" w:w="2200"/>
            <w:tcBorders>
              <w:top w:val="single" w:color="94A3B8" w:sz="1"/>
              <w:left w:val="single" w:color="94A3B8" w:sz="1"/>
              <w:bottom w:val="single" w:color="94A3B8" w:sz="1"/>
              <w:right w:val="single" w:color="94A3B8" w:sz="1"/>
            </w:tcBorders>
            <w:shd w:fill="E2E8F0" w:val="clear"/>
            <w:vAlign w:val="center"/>
          </w:tcPr>
          <w:p>
            <w:pPr>
              <w:spacing w:line="276"/>
              <w:jc w:val="center"/>
            </w:pPr>
            <w:r>
              <w:rPr>
                <w:rFonts w:ascii="Calibri" w:cs="Calibri" w:eastAsia="Calibri" w:hAnsi="Calibri"/>
                <w:b/>
                <w:bCs/>
                <w:color w:val="020617"/>
                <w:sz w:val="20"/>
                <w:szCs w:val="20"/>
              </w:rPr>
              <w:t xml:space="preserve">Gecikmə Günləri</w:t>
            </w:r>
          </w:p>
        </w:tc>
        <w:tc>
          <w:tcPr>
            <w:tcW w:type="dxa" w:w="2300"/>
            <w:tcBorders>
              <w:top w:val="single" w:color="94A3B8" w:sz="1"/>
              <w:left w:val="single" w:color="94A3B8" w:sz="1"/>
              <w:bottom w:val="single" w:color="94A3B8" w:sz="1"/>
              <w:right w:val="single" w:color="94A3B8" w:sz="1"/>
            </w:tcBorders>
            <w:shd w:fill="E2E8F0" w:val="clear"/>
            <w:vAlign w:val="center"/>
          </w:tcPr>
          <w:p>
            <w:pPr>
              <w:spacing w:line="276"/>
              <w:jc w:val="center"/>
            </w:pPr>
            <w:r>
              <w:rPr>
                <w:rFonts w:ascii="Calibri" w:cs="Calibri" w:eastAsia="Calibri" w:hAnsi="Calibri"/>
                <w:b/>
                <w:bCs/>
                <w:color w:val="020617"/>
                <w:sz w:val="20"/>
                <w:szCs w:val="20"/>
              </w:rPr>
              <w:t xml:space="preserve">İrəli Keçid Şərti</w:t>
            </w:r>
          </w:p>
        </w:tc>
        <w:tc>
          <w:tcPr>
            <w:tcW w:type="dxa" w:w="2360"/>
            <w:tcBorders>
              <w:top w:val="single" w:color="94A3B8" w:sz="1"/>
              <w:left w:val="single" w:color="94A3B8" w:sz="1"/>
              <w:bottom w:val="single" w:color="94A3B8" w:sz="1"/>
              <w:right w:val="single" w:color="94A3B8" w:sz="1"/>
            </w:tcBorders>
            <w:shd w:fill="E2E8F0" w:val="clear"/>
            <w:vAlign w:val="center"/>
          </w:tcPr>
          <w:p>
            <w:pPr>
              <w:spacing w:line="276"/>
              <w:jc w:val="center"/>
            </w:pPr>
            <w:r>
              <w:rPr>
                <w:rFonts w:ascii="Calibri" w:cs="Calibri" w:eastAsia="Calibri" w:hAnsi="Calibri"/>
                <w:b/>
                <w:bCs/>
                <w:color w:val="020617"/>
                <w:sz w:val="20"/>
                <w:szCs w:val="20"/>
              </w:rPr>
              <w:t xml:space="preserve">Geri Keçid Şərti</w:t>
            </w:r>
          </w:p>
        </w:tc>
      </w:tr>
      <w:tr>
        <w:tc>
          <w:tcPr>
            <w:tcW w:type="dxa" w:w="15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Kredit Zabitli</w:t>
            </w:r>
          </w:p>
        </w:tc>
        <w:tc>
          <w:tcPr>
            <w:tcW w:type="dxa" w:w="1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LO</w:t>
            </w:r>
          </w:p>
        </w:tc>
        <w:tc>
          <w:tcPr>
            <w:tcW w:type="dxa" w:w="22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0-10 gün (retail) / 0-30 gün (SME)</w:t>
            </w:r>
          </w:p>
        </w:tc>
        <w:tc>
          <w:tcPr>
            <w:tcW w:type="dxa" w:w="23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&gt;10/30 gün → COL</w:t>
            </w:r>
          </w:p>
        </w:tc>
        <w:tc>
          <w:tcPr>
            <w:tcW w:type="dxa" w:w="23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w:t>
            </w:r>
          </w:p>
        </w:tc>
      </w:tr>
      <w:tr>
        <w:tc>
          <w:tcPr>
            <w:tcW w:type="dxa" w:w="15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Yumuşaq Kolleksiya</w:t>
            </w:r>
          </w:p>
        </w:tc>
        <w:tc>
          <w:tcPr>
            <w:tcW w:type="dxa" w:w="1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COL</w:t>
            </w:r>
          </w:p>
        </w:tc>
        <w:tc>
          <w:tcPr>
            <w:tcW w:type="dxa" w:w="22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10-31 gün</w:t>
            </w:r>
          </w:p>
        </w:tc>
        <w:tc>
          <w:tcPr>
            <w:tcW w:type="dxa" w:w="23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&gt;31 gün → SOFT2</w:t>
            </w:r>
          </w:p>
        </w:tc>
        <w:tc>
          <w:tcPr>
            <w:tcW w:type="dxa" w:w="23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≤10/30 gün → LO</w:t>
            </w:r>
          </w:p>
        </w:tc>
      </w:tr>
      <w:tr>
        <w:tc>
          <w:tcPr>
            <w:tcW w:type="dxa" w:w="15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Yumuşaq Kolleksiya 2</w:t>
            </w:r>
          </w:p>
        </w:tc>
        <w:tc>
          <w:tcPr>
            <w:tcW w:type="dxa" w:w="1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SOFT2</w:t>
            </w:r>
          </w:p>
        </w:tc>
        <w:tc>
          <w:tcPr>
            <w:tcW w:type="dxa" w:w="22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31-61 gün</w:t>
            </w:r>
          </w:p>
        </w:tc>
        <w:tc>
          <w:tcPr>
            <w:tcW w:type="dxa" w:w="23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&gt;61 gün → SOFT3</w:t>
            </w:r>
          </w:p>
        </w:tc>
        <w:tc>
          <w:tcPr>
            <w:tcW w:type="dxa" w:w="23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≤31 gün → COL</w:t>
            </w:r>
          </w:p>
        </w:tc>
      </w:tr>
      <w:tr>
        <w:tc>
          <w:tcPr>
            <w:tcW w:type="dxa" w:w="15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Yumuşaq Kolleksiya 3</w:t>
            </w:r>
          </w:p>
        </w:tc>
        <w:tc>
          <w:tcPr>
            <w:tcW w:type="dxa" w:w="1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SOFT3</w:t>
            </w:r>
          </w:p>
        </w:tc>
        <w:tc>
          <w:tcPr>
            <w:tcW w:type="dxa" w:w="22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61-91 gün</w:t>
            </w:r>
          </w:p>
        </w:tc>
        <w:tc>
          <w:tcPr>
            <w:tcW w:type="dxa" w:w="23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&gt;91 gün → SOFT4</w:t>
            </w:r>
          </w:p>
        </w:tc>
        <w:tc>
          <w:tcPr>
            <w:tcW w:type="dxa" w:w="23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≤61 gün → SOFT2</w:t>
            </w:r>
          </w:p>
        </w:tc>
      </w:tr>
      <w:tr>
        <w:tc>
          <w:tcPr>
            <w:tcW w:type="dxa" w:w="15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Yumuşaq Kolleksiya 4</w:t>
            </w:r>
          </w:p>
        </w:tc>
        <w:tc>
          <w:tcPr>
            <w:tcW w:type="dxa" w:w="1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SOFT4</w:t>
            </w:r>
          </w:p>
        </w:tc>
        <w:tc>
          <w:tcPr>
            <w:tcW w:type="dxa" w:w="22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91-500 gün</w:t>
            </w:r>
          </w:p>
        </w:tc>
        <w:tc>
          <w:tcPr>
            <w:tcW w:type="dxa" w:w="23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&gt;500 gün + docs → HCOL</w:t>
            </w:r>
          </w:p>
        </w:tc>
        <w:tc>
          <w:tcPr>
            <w:tcW w:type="dxa" w:w="23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≤91 gün → SOFT3</w:t>
            </w:r>
          </w:p>
        </w:tc>
      </w:tr>
      <w:tr>
        <w:tc>
          <w:tcPr>
            <w:tcW w:type="dxa" w:w="15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Sərt Kolleksiya</w:t>
            </w:r>
          </w:p>
        </w:tc>
        <w:tc>
          <w:tcPr>
            <w:tcW w:type="dxa" w:w="1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HCOL</w:t>
            </w:r>
          </w:p>
        </w:tc>
        <w:tc>
          <w:tcPr>
            <w:tcW w:type="dxa" w:w="22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200+ gün və ya məhkəmə qərarı</w:t>
            </w:r>
          </w:p>
        </w:tc>
        <w:tc>
          <w:tcPr>
            <w:tcW w:type="dxa" w:w="23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&gt;200 gün və ya court → LCOL</w:t>
            </w:r>
          </w:p>
        </w:tc>
        <w:tc>
          <w:tcPr>
            <w:tcW w:type="dxa" w:w="23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w:t>
            </w:r>
          </w:p>
        </w:tc>
      </w:tr>
      <w:tr>
        <w:tc>
          <w:tcPr>
            <w:tcW w:type="dxa" w:w="15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Hüquqi Kolleksiya</w:t>
            </w:r>
          </w:p>
        </w:tc>
        <w:tc>
          <w:tcPr>
            <w:tcW w:type="dxa" w:w="1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LCOL</w:t>
            </w:r>
          </w:p>
        </w:tc>
        <w:tc>
          <w:tcPr>
            <w:tcW w:type="dxa" w:w="22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Final mərhələ</w:t>
            </w:r>
          </w:p>
        </w:tc>
        <w:tc>
          <w:tcPr>
            <w:tcW w:type="dxa" w:w="23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w:t>
            </w:r>
          </w:p>
        </w:tc>
        <w:tc>
          <w:tcPr>
            <w:tcW w:type="dxa" w:w="23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w:t>
            </w:r>
          </w:p>
        </w:tc>
      </w:tr>
    </w:tbl>
    <w:p>
      <w:pPr>
        <w:spacing w:after="120" w:line="276"/>
        <w:jc w:val="both"/>
      </w:pPr>
      <w:r>
        <w:rPr>
          <w:rFonts w:ascii="Calibri" w:cs="Calibri" w:eastAsia="Calibri" w:hAnsi="Calibri"/>
          <w:color w:val="1E293B"/>
          <w:sz w:val="22"/>
          <w:szCs w:val="22"/>
        </w:rPr>
        <w:t xml:space="preserve">Cədvəl 4: Kolleksiya Bölmələri və Gecikmə Günləri</w:t>
      </w:r>
    </w:p>
    <w:p>
      <w:pPr>
        <w:spacing w:after="120" w:line="276"/>
        <w:jc w:val="both"/>
      </w:pPr>
      <w:r>
        <w:rPr>
          <w:rFonts w:ascii="Calibri" w:cs="Calibri" w:eastAsia="Calibri" w:hAnsi="Calibri"/>
          <w:color w:val="1E293B"/>
          <w:sz w:val="22"/>
          <w:szCs w:val="22"/>
        </w:rPr>
        <w:t xml:space="preserve">Escalation tamamilə avtomatikdir və batch job vasitəsilə gündəlik icra edilir. Əsas prinsip: kredit gecikmə günləri artdıqca, kolleksiya bölməsi irəli ötürülür; əgər müştəri ödəniş edərək gecikmə günləri azalarsa, kolleksiya bölməsi geri ötürülür. Bunun bir istisnası var: OL (onlayn) məhsul kateqoriyasına aid kreditlər heç vaxt LO bölməsinə qayıtmır - onlar həmişə kolleksiya bölməsində qalır.</w:t>
      </w:r>
    </w:p>
    <w:p>
      <w:pPr>
        <w:pStyle w:val="Heading2"/>
        <w:spacing w:after="160" w:before="300" w:line="276"/>
      </w:pPr>
      <w:r>
        <w:rPr>
          <w:rFonts w:ascii="Times New Roman" w:cs="Times New Roman" w:eastAsia="Times New Roman" w:hAnsi="Times New Roman"/>
          <w:b/>
          <w:bCs/>
          <w:color w:val="020617"/>
          <w:sz w:val="26"/>
          <w:szCs w:val="26"/>
        </w:rPr>
        <w:t xml:space="preserve">14.3 Kolleksiya Hərəkətləri (Actions)</w:t>
      </w:r>
    </w:p>
    <w:p>
      <w:pPr>
        <w:spacing w:after="120" w:line="276"/>
        <w:jc w:val="both"/>
      </w:pPr>
      <w:r>
        <w:rPr>
          <w:rFonts w:ascii="Calibri" w:cs="Calibri" w:eastAsia="Calibri" w:hAnsi="Calibri"/>
          <w:color w:val="1E293B"/>
          <w:sz w:val="22"/>
          <w:szCs w:val="22"/>
        </w:rPr>
        <w:t xml:space="preserve">Hər bir kolleksiya işçisi (collector) öz task node-unda müştəri ilə əlaqə saxlayır və hər bir əlaqəni CollectionCaseAction olaraq qeyd edir. Action-da aşağıdakı məlumatlar saxlanılır: date (tarix), type (hərəkət növü - telefon zəngi, SMS, şəxsi səfər və s.), division (bölmə), description (təsvir), comment (şərh), shortNote (qısa qeyd kateqoriyası), ptp (Promise To Pay - ödəmə vədi), ptpDate (öhdəlik tarixi), ptpAmount (öhdəlik məbləği).</w:t>
      </w:r>
    </w:p>
    <w:p>
      <w:pPr>
        <w:spacing w:after="120" w:line="276"/>
        <w:jc w:val="both"/>
      </w:pPr>
      <w:r>
        <w:rPr>
          <w:rFonts w:ascii="Calibri" w:cs="Calibri" w:eastAsia="Calibri" w:hAnsi="Calibri"/>
          <w:color w:val="1E293B"/>
          <w:sz w:val="22"/>
          <w:szCs w:val="22"/>
        </w:rPr>
        <w:t xml:space="preserve">Promise To Pay (PTP) xüsusi əhəmiyyət kəsb edir - kolleksiya işçisi müştəri ilə razılaşır ki, müştəri müəyyən tarixə qədər müəyyən məbləğ ödəyəcək. Bu məlumat sistemdə qeyd edilir və monitorinq üçün istifadə olunur. Əgər müştəri ödənişi vaxtında etmədisə və gecikmə günləri aşağı düşməyibsə, kolleksiya bölməsi avtomatik olaraq irəli ötürülür.</w:t>
      </w:r>
    </w:p>
    <w:p>
      <w:pPr>
        <w:pStyle w:val="Heading2"/>
        <w:spacing w:after="160" w:before="300" w:line="276"/>
      </w:pPr>
      <w:r>
        <w:rPr>
          <w:rFonts w:ascii="Times New Roman" w:cs="Times New Roman" w:eastAsia="Times New Roman" w:hAnsi="Times New Roman"/>
          <w:b/>
          <w:bCs/>
          <w:color w:val="020617"/>
          <w:sz w:val="26"/>
          <w:szCs w:val="26"/>
        </w:rPr>
        <w:t xml:space="preserve">14.4 Kolleksiya Status Tarixi</w:t>
      </w:r>
    </w:p>
    <w:p>
      <w:pPr>
        <w:spacing w:after="120" w:line="276"/>
        <w:jc w:val="both"/>
      </w:pPr>
      <w:r>
        <w:rPr>
          <w:rFonts w:ascii="Calibri" w:cs="Calibri" w:eastAsia="Calibri" w:hAnsi="Calibri"/>
          <w:color w:val="1E293B"/>
          <w:sz w:val="22"/>
          <w:szCs w:val="22"/>
        </w:rPr>
        <w:t xml:space="preserve">CollectionLoanStatusHistory sinfi vasitəsilə hər bir kolleksiya işinin status dəyişiklikləri qeyd edilir. Bu sinif: uuid, version, loan (kredit), status (CollectionLoanStatus), collectionCase (kolleksiya işi), user (istifadəçi), timestamp (vaxt) sahələrini saxlayır. Hər bir status dəyişikliyi avtomatik olaraq istifadəçi və vaxt ilə qeyd edilir. Statuslar 'brief' və 'detailed' olaraq iki növə bölünür - 'brief' statuslar qısa icmal üçün, 'detailed' statuslar isə tam izah üçün istifadə olunur.</w:t>
      </w:r>
    </w:p>
    <w:p>
      <w:pPr>
        <w:pStyle w:val="Heading1"/>
        <w:spacing w:after="200" w:before="400" w:line="276"/>
      </w:pPr>
      <w:r>
        <w:rPr>
          <w:rFonts w:ascii="Times New Roman" w:cs="Times New Roman" w:eastAsia="Times New Roman" w:hAnsi="Times New Roman"/>
          <w:b/>
          <w:bCs/>
          <w:color w:val="020617"/>
          <w:sz w:val="32"/>
          <w:szCs w:val="32"/>
        </w:rPr>
        <w:t xml:space="preserve">15. Məhkəmə Prosesi</w:t>
      </w:r>
    </w:p>
    <w:p>
      <w:pPr>
        <w:spacing w:after="120" w:line="276"/>
        <w:jc w:val="both"/>
      </w:pPr>
      <w:r>
        <w:rPr>
          <w:rFonts w:ascii="Calibri" w:cs="Calibri" w:eastAsia="Calibri" w:hAnsi="Calibri"/>
          <w:color w:val="1E293B"/>
          <w:sz w:val="22"/>
          <w:szCs w:val="22"/>
        </w:rPr>
        <w:t xml:space="preserve">Kolleksiya prosesinin ən ciddi mərhələsi məhkəmə prosesidir. LW sistemində məhkəməyə müraciət prosesi SOFT2, SOFT3 və SOFT4 bölmələrində başlaya bilər.</w:t>
      </w:r>
    </w:p>
    <w:p>
      <w:pPr>
        <w:pStyle w:val="Heading2"/>
        <w:spacing w:after="160" w:before="300" w:line="276"/>
      </w:pPr>
      <w:r>
        <w:rPr>
          <w:rFonts w:ascii="Times New Roman" w:cs="Times New Roman" w:eastAsia="Times New Roman" w:hAnsi="Times New Roman"/>
          <w:b/>
          <w:bCs/>
          <w:color w:val="020617"/>
          <w:sz w:val="26"/>
          <w:szCs w:val="26"/>
        </w:rPr>
        <w:t xml:space="preserve">15.1 Sənədlərin Məhkəməyə Göndərilməsi</w:t>
      </w:r>
    </w:p>
    <w:p>
      <w:pPr>
        <w:spacing w:after="120" w:line="276"/>
        <w:jc w:val="both"/>
      </w:pPr>
      <w:r>
        <w:rPr>
          <w:rFonts w:ascii="Calibri" w:cs="Calibri" w:eastAsia="Calibri" w:hAnsi="Calibri"/>
          <w:color w:val="1E293B"/>
          <w:sz w:val="22"/>
          <w:szCs w:val="22"/>
        </w:rPr>
        <w:t xml:space="preserve">'register sending documents to court' əməliyyatı SOFT2, SOFT3 və SOFT4 kolleksiyaçıları tərəfindən icra edilə bilər. bpmopRegisterSendingDocuments sinfi icra edilir: collectionCase.setDateDocumentsSentToCourt(tarix) - məhkəməyə sənədlərin göndərilməsi tarixi qeyd edilir; collectionCase.setDocumentsSentToCourt(true) - sənədlərin göndərildiyi bayrağı qoyulur. Əgər sənədlər göndərilibsə, sistem avtomatik olaraq hüquq şöbəsinə e-poçt göndərir - 'addon_emailTemplateColCaseLegalAdmin' template-i istifadə olunur. Bu, hüquq şöbəsini məhkəmə prosesinin başlandığı barədə məlumatlandırır.</w:t>
      </w:r>
    </w:p>
    <w:p>
      <w:pPr>
        <w:spacing w:after="120" w:line="276"/>
        <w:jc w:val="both"/>
      </w:pPr>
      <w:r>
        <w:rPr>
          <w:rFonts w:ascii="Calibri" w:cs="Calibri" w:eastAsia="Calibri" w:hAnsi="Calibri"/>
          <w:color w:val="1E293B"/>
          <w:sz w:val="22"/>
          <w:szCs w:val="22"/>
        </w:rPr>
        <w:t xml:space="preserve">Xüsusi diqqət: sənədlərin məhkəməyə göndərilməsi mütləq deyil, lakin SOFT4 bölməsində gecikmə 500 günü keçibsə və sənədlər hələ göndərilməyibsə, sistem avtomatik olaraq senior kolleksiya işçisinə xəbərdarlıq e-poçtu göndərir ('addon_emailTemplateColCase61Days' template-i).</w:t>
      </w:r>
    </w:p>
    <w:p>
      <w:pPr>
        <w:pStyle w:val="Heading2"/>
        <w:spacing w:after="160" w:before="300" w:line="276"/>
      </w:pPr>
      <w:r>
        <w:rPr>
          <w:rFonts w:ascii="Times New Roman" w:cs="Times New Roman" w:eastAsia="Times New Roman" w:hAnsi="Times New Roman"/>
          <w:b/>
          <w:bCs/>
          <w:color w:val="020617"/>
          <w:sz w:val="26"/>
          <w:szCs w:val="26"/>
        </w:rPr>
        <w:t xml:space="preserve">15.2 Məhkəmə Qərarının Qeyd Edilməsi</w:t>
      </w:r>
    </w:p>
    <w:p>
      <w:pPr>
        <w:spacing w:after="120" w:line="276"/>
        <w:jc w:val="both"/>
      </w:pPr>
      <w:r>
        <w:rPr>
          <w:rFonts w:ascii="Calibri" w:cs="Calibri" w:eastAsia="Calibri" w:hAnsi="Calibri"/>
          <w:color w:val="1E293B"/>
          <w:sz w:val="22"/>
          <w:szCs w:val="22"/>
        </w:rPr>
        <w:t xml:space="preserve">Məhkəmə qərarı iki yerdən qeyd edilə bilər: HCOL (Hard Collector) node-unda '_REGISTER COURT DECISION' keçidi ilə; və ya LCOL (Legal Administrator) node-undan. bpmopRegisterCourtDecision sinfi icra edilir: əgər pane.isCourtDecisionExists() == false olarsa, 'ERR_NO_COURT_DEC' səhv mesajı atılır - yəni məhkəmə qərarının olması mütləqdir. Əks halda: collectionCase.setDateCourtDecision(tarix), collectionCase.setCourtDecisionExists(true).</w:t>
      </w:r>
    </w:p>
    <w:p>
      <w:pPr>
        <w:spacing w:after="120" w:line="276"/>
        <w:jc w:val="both"/>
      </w:pPr>
      <w:r>
        <w:rPr>
          <w:rFonts w:ascii="Calibri" w:cs="Calibri" w:eastAsia="Calibri" w:hAnsi="Calibri"/>
          <w:color w:val="1E293B"/>
          <w:sz w:val="22"/>
          <w:szCs w:val="22"/>
        </w:rPr>
        <w:t xml:space="preserve">Məhkəmə qərarı qeyd edildikdən sonra bir neçə ssenari mümkündür: HCOL-da qeyd edilərsə, '_TO LEGAL' keçidi ilə birbaşa hüquqi kolleksiyaya (LCOL) ötürülür; LCOL-da 'cancel' keçidi ilə qərar ləğv edilə bilər və geri qayıdılır; və ya hüquqi kolleksiya prosesi davam edir.</w:t>
      </w:r>
    </w:p>
    <w:p>
      <w:pPr>
        <w:pStyle w:val="Heading2"/>
        <w:spacing w:after="160" w:before="300" w:line="276"/>
      </w:pPr>
      <w:r>
        <w:rPr>
          <w:rFonts w:ascii="Times New Roman" w:cs="Times New Roman" w:eastAsia="Times New Roman" w:hAnsi="Times New Roman"/>
          <w:b/>
          <w:bCs/>
          <w:color w:val="020617"/>
          <w:sz w:val="26"/>
          <w:szCs w:val="26"/>
        </w:rPr>
        <w:t xml:space="preserve">15.3 Hard Collector-a Ötürülən Avtomatik Qaydalar</w:t>
      </w:r>
    </w:p>
    <w:p>
      <w:pPr>
        <w:spacing w:after="120" w:line="276"/>
        <w:jc w:val="both"/>
      </w:pPr>
      <w:r>
        <w:rPr>
          <w:rFonts w:ascii="Calibri" w:cs="Calibri" w:eastAsia="Calibri" w:hAnsi="Calibri"/>
          <w:color w:val="1E293B"/>
          <w:sz w:val="22"/>
          <w:szCs w:val="22"/>
        </w:rPr>
        <w:t xml:space="preserve">SOFT4 bölməsində gecikmə 500 günü keçibsə və sənədlər məhkəməyə göndərilibsə (documentsSentToCourt = true), kredit avtomatik olaraq HCOL bölməsinə ötürülür. Bu '_TO HARD__' keçidi vasitəsilə həyata keçir. HCOL-da isə: əgər gecikmə 200 günü keçibsə VƏYA məhkəmə qərarı varsa (courtDecisionExists = true), kredit avtomatik olaraq LCOL-a ötürülür. Əgər gecikmə 200 günü keçib, amma məhkəmə qərarı yoxdursa, sistem həm senior kolleksiya işçisinə, həm də senior hüquq kolleksiyaçısına xəbərdarlıq e-poçtu göndərir ('addon_emailTemplateColCase181Days' template-i).</w:t>
      </w:r>
    </w:p>
    <w:p>
      <w:pPr>
        <w:pStyle w:val="Heading2"/>
        <w:spacing w:after="160" w:before="300" w:line="276"/>
      </w:pPr>
      <w:r>
        <w:rPr>
          <w:rFonts w:ascii="Times New Roman" w:cs="Times New Roman" w:eastAsia="Times New Roman" w:hAnsi="Times New Roman"/>
          <w:b/>
          <w:bCs/>
          <w:color w:val="020617"/>
          <w:sz w:val="26"/>
          <w:szCs w:val="26"/>
        </w:rPr>
        <w:t xml:space="preserve">15.4 Hüquqi Kolleksiya (LCOL) Prosesi</w:t>
      </w:r>
    </w:p>
    <w:p>
      <w:pPr>
        <w:spacing w:after="120" w:line="276"/>
        <w:jc w:val="both"/>
      </w:pPr>
      <w:r>
        <w:rPr>
          <w:rFonts w:ascii="Calibri" w:cs="Calibri" w:eastAsia="Calibri" w:hAnsi="Calibri"/>
          <w:color w:val="1E293B"/>
          <w:sz w:val="22"/>
          <w:szCs w:val="22"/>
        </w:rPr>
        <w:t xml:space="preserve">LCOL bölməsinə keçid '_ASSIGN RESPONSIBLE LEGAL' node-u vasitəsilə həyata keçirilir. Bu node-da hüquq kolleksiyaçısı (Legal Collector) təyin edilir. bpmopAssignResponsibleLegalCollector sinfi təyinat edir və CollectorsAssignmentController vasitəsilə round-robin prinsipi ilə hüquq kolleksiyaçıları arasında iş bölgüsü aparılır. LCOL-da hüquqi kolleksiyaçı müştəri ilə hüquqi yollarla əlaqə saxlayır: məhkəmə icraatı, borcun məcburi ödənilməsi, əmlakın həbsi və s. hərəkətlər CollectionCaseAction olaraq qeyd edilir.</w:t>
      </w:r>
    </w:p>
    <w:p>
      <w:pPr>
        <w:pStyle w:val="Heading1"/>
        <w:spacing w:after="200" w:before="400" w:line="276"/>
      </w:pPr>
      <w:r>
        <w:rPr>
          <w:rFonts w:ascii="Times New Roman" w:cs="Times New Roman" w:eastAsia="Times New Roman" w:hAnsi="Times New Roman"/>
          <w:b/>
          <w:bCs/>
          <w:color w:val="020617"/>
          <w:sz w:val="32"/>
          <w:szCs w:val="32"/>
        </w:rPr>
        <w:t xml:space="preserve">16. Kolleksiya Həll Yolları (Resolution)</w:t>
      </w:r>
    </w:p>
    <w:p>
      <w:pPr>
        <w:spacing w:after="120" w:line="276"/>
        <w:jc w:val="both"/>
      </w:pPr>
      <w:r>
        <w:rPr>
          <w:rFonts w:ascii="Calibri" w:cs="Calibri" w:eastAsia="Calibri" w:hAnsi="Calibri"/>
          <w:color w:val="1E293B"/>
          <w:sz w:val="22"/>
          <w:szCs w:val="22"/>
        </w:rPr>
        <w:t xml:space="preserve">Kolleksiya prosesi ərzində müxtəlif həll yolları sınaqdan keçirilə bilər. Bu həll yolları CollectionResolutionData entity-si ilə qeyd edilir.</w:t>
      </w:r>
    </w:p>
    <w:p>
      <w:pPr>
        <w:pStyle w:val="Heading2"/>
        <w:spacing w:after="160" w:before="300" w:line="276"/>
      </w:pPr>
      <w:r>
        <w:rPr>
          <w:rFonts w:ascii="Times New Roman" w:cs="Times New Roman" w:eastAsia="Times New Roman" w:hAnsi="Times New Roman"/>
          <w:b/>
          <w:bCs/>
          <w:color w:val="020617"/>
          <w:sz w:val="26"/>
          <w:szCs w:val="26"/>
        </w:rPr>
        <w:t xml:space="preserve">16.1 CollectionResolutionData</w:t>
      </w:r>
    </w:p>
    <w:p>
      <w:pPr>
        <w:spacing w:after="120" w:line="276"/>
        <w:jc w:val="both"/>
      </w:pPr>
      <w:r>
        <w:rPr>
          <w:rFonts w:ascii="Calibri" w:cs="Calibri" w:eastAsia="Calibri" w:hAnsi="Calibri"/>
          <w:color w:val="1E293B"/>
          <w:sz w:val="22"/>
          <w:szCs w:val="22"/>
        </w:rPr>
        <w:t xml:space="preserve">Həll yolu data strukturunda aşağıdakı sahələr var: collectionCase (kolleksiya işi), loan (kredit), resolutionType (həll növü - məsələn, 'Məhkəmə', 'Arbitraj', 'Mediasiya'), resolutionResult (həll nəticəsi - məsələn, 'Əlverişli', 'Əlverişsiz'), employee (əməkdaş), documentNumber (sənəd nömrəsi), documentDate (sənəd tarixi), mainAmount (əsas borc məbləği), interestAmount (faiz məbləği), penaltyAmount (cərimə məbləği), stateFee (dövlət rüsumu). getTotalAmount() metodu bütün komponentləri cəmləyir.</w:t>
      </w:r>
    </w:p>
    <w:p>
      <w:pPr>
        <w:spacing w:after="120" w:line="276"/>
        <w:jc w:val="both"/>
      </w:pPr>
      <w:r>
        <w:rPr>
          <w:rFonts w:ascii="Calibri" w:cs="Calibri" w:eastAsia="Calibri" w:hAnsi="Calibri"/>
          <w:color w:val="1E293B"/>
          <w:sz w:val="22"/>
          <w:szCs w:val="22"/>
        </w:rPr>
        <w:t xml:space="preserve">Bu məlumatlar kolleksiya işinin hüquqi nəticəsini əks etdirir. Məsələn, məhkəmə qərarından sonra borcun məbləği, faizi, cəriməsi və dövlət rüsumu hesablanaraq qeyd edilir. Bu, bankın maliyyə hesabatı və risk management üçün vacib məlumatdır.</w:t>
      </w:r>
    </w:p>
    <w:p>
      <w:pPr>
        <w:pStyle w:val="Heading2"/>
        <w:spacing w:after="160" w:before="300" w:line="276"/>
      </w:pPr>
      <w:r>
        <w:rPr>
          <w:rFonts w:ascii="Times New Roman" w:cs="Times New Roman" w:eastAsia="Times New Roman" w:hAnsi="Times New Roman"/>
          <w:b/>
          <w:bCs/>
          <w:color w:val="020617"/>
          <w:sz w:val="26"/>
          <w:szCs w:val="26"/>
        </w:rPr>
        <w:t xml:space="preserve">16.2 Cərimə (Penalty) Hesablaması</w:t>
      </w:r>
    </w:p>
    <w:p>
      <w:pPr>
        <w:spacing w:after="120" w:line="276"/>
        <w:jc w:val="both"/>
      </w:pPr>
      <w:r>
        <w:rPr>
          <w:rFonts w:ascii="Calibri" w:cs="Calibri" w:eastAsia="Calibri" w:hAnsi="Calibri"/>
          <w:color w:val="1E293B"/>
          <w:sz w:val="22"/>
          <w:szCs w:val="22"/>
        </w:rPr>
        <w:t xml:space="preserve">Gecikmiş ödənişlər üçün cərimə (penalty) hesablanır. Cərimə 'PEN' hesab növü ilə uçota alınır. Cərimə yığılması bəzi 'ONE_POINT' məhsulları üçün razılaşma bitmə tarixindən sonra dayandırıla bilər. Cərimə hesablaması: penSuspendFrom-dan MAX_DATE-a qədər cərimə yığılmır. Sistem həmçinin INT (faiz), INT_A (yığılmış faiz), PEN (cərimə) hesab növlərini izləyir. CBI (Mərkəzi Bank) hesabatlarında penaltyAmount sahəsi ayrıca qeyd edilir.</w:t>
      </w:r>
    </w:p>
    <w:p>
      <w:pPr>
        <w:pStyle w:val="Heading1"/>
        <w:spacing w:after="200" w:before="400" w:line="276"/>
      </w:pPr>
      <w:r>
        <w:rPr>
          <w:rFonts w:ascii="Times New Roman" w:cs="Times New Roman" w:eastAsia="Times New Roman" w:hAnsi="Times New Roman"/>
          <w:b/>
          <w:bCs/>
          <w:color w:val="020617"/>
          <w:sz w:val="32"/>
          <w:szCs w:val="32"/>
        </w:rPr>
        <w:t xml:space="preserve">17. Write-Off (Balansdan Çıxarma) Prosesi</w:t>
      </w:r>
    </w:p>
    <w:p>
      <w:pPr>
        <w:spacing w:after="120" w:line="276"/>
        <w:jc w:val="both"/>
      </w:pPr>
      <w:r>
        <w:rPr>
          <w:rFonts w:ascii="Calibri" w:cs="Calibri" w:eastAsia="Calibri" w:hAnsi="Calibri"/>
          <w:color w:val="1E293B"/>
          <w:sz w:val="22"/>
          <w:szCs w:val="22"/>
        </w:rPr>
        <w:t xml:space="preserve">Kolleksiya prosesinin uğursuz nəticələnəcəyi halda, bank krediti balansdan çıxarmağa (write-off) qərar verə bilər. Bu, kreditin S010 - OffBalance statusuna keçməsi deməkdir.</w:t>
      </w:r>
    </w:p>
    <w:p>
      <w:pPr>
        <w:pStyle w:val="Heading2"/>
        <w:spacing w:after="160" w:before="300" w:line="276"/>
      </w:pPr>
      <w:r>
        <w:rPr>
          <w:rFonts w:ascii="Times New Roman" w:cs="Times New Roman" w:eastAsia="Times New Roman" w:hAnsi="Times New Roman"/>
          <w:b/>
          <w:bCs/>
          <w:color w:val="020617"/>
          <w:sz w:val="26"/>
          <w:szCs w:val="26"/>
        </w:rPr>
        <w:t xml:space="preserve">17.1 Write-Off Yolları</w:t>
      </w:r>
    </w:p>
    <w:p>
      <w:pPr>
        <w:spacing w:after="120" w:line="276"/>
        <w:jc w:val="both"/>
      </w:pPr>
      <w:r>
        <w:rPr>
          <w:rFonts w:ascii="Calibri" w:cs="Calibri" w:eastAsia="Calibri" w:hAnsi="Calibri"/>
          <w:color w:val="1E293B"/>
          <w:sz w:val="22"/>
          <w:szCs w:val="22"/>
        </w:rPr>
        <w:t xml:space="preserve">LW sistemində iki write-off yolu var. Birinci, CSV batch import: WriteOffJob sinfi vasitəsilə CSV fayl oxunur. CSV formatı: agreementNumber, amount, date, reasonId, comment. Bu fayl müəyyən edilmiş qovluqdan oxunur və batch şəklində icra edilir. İkinci, manual write-off: Loan repayment əməliyyatında writeOff bayrağı true edilir. WriteOffValidator sinfi yoxlayır ki, write-off tarixi kreditin vərəqələşmə tarixindən sonra olsun və MAX_WRITEOFF_DELAY_IN_DAYS = 3 (3 iş günü) həddini aşmasın.</w:t>
      </w:r>
    </w:p>
    <w:p>
      <w:pPr>
        <w:pStyle w:val="Heading2"/>
        <w:spacing w:after="160" w:before="300" w:line="276"/>
      </w:pPr>
      <w:r>
        <w:rPr>
          <w:rFonts w:ascii="Times New Roman" w:cs="Times New Roman" w:eastAsia="Times New Roman" w:hAnsi="Times New Roman"/>
          <w:b/>
          <w:bCs/>
          <w:color w:val="020617"/>
          <w:sz w:val="26"/>
          <w:szCs w:val="26"/>
        </w:rPr>
        <w:t xml:space="preserve">17.2 Write-Off Şərtləri</w:t>
      </w:r>
    </w:p>
    <w:p>
      <w:pPr>
        <w:spacing w:after="120" w:line="276"/>
        <w:jc w:val="both"/>
      </w:pPr>
      <w:r>
        <w:rPr>
          <w:rFonts w:ascii="Calibri" w:cs="Calibri" w:eastAsia="Calibri" w:hAnsi="Calibri"/>
          <w:color w:val="1E293B"/>
          <w:sz w:val="22"/>
          <w:szCs w:val="22"/>
        </w:rPr>
        <w:t xml:space="preserve">Write-off üçün aşağıdakı şərtlər tələb olunur: kredit OutstandingOffBalance statusunda olmalıdır (S005, S007 və ya S010); kredit valyutası yalnız AZN ola bilər; write-off tarixi vərəqələşmə tarixindən böyük olmalıdır; write-off tarixi bu günə ən çox 3 iş günü əvvəl ola bilər. Əgər write-off məbləği kreditin tam bağlanma məbləğini (getCompleteTotalAmountToClose) ödəyirsə, tarix 3 iş günü daxilində olmalıdır. Əgər qismən write-off edirlərsə, daha uzun müddət mümkün ola bilər.</w:t>
      </w:r>
    </w:p>
    <w:p>
      <w:pPr>
        <w:spacing w:after="120" w:line="276"/>
        <w:jc w:val="both"/>
      </w:pPr>
      <w:r>
        <w:rPr>
          <w:rFonts w:ascii="Calibri" w:cs="Calibri" w:eastAsia="Calibri" w:hAnsi="Calibri"/>
          <w:color w:val="1E293B"/>
          <w:sz w:val="22"/>
          <w:szCs w:val="22"/>
        </w:rPr>
        <w:t xml:space="preserve">Write-Off prosesi: əvvəlcə write-off tarixindən sonra olan bütün aktiv ödəniş hərəkətləri ləğv edilir (cancelled = true); yeni repayment yaradılır writeOff = true və writeOffReason = səbəb ilə; əvvəl ləğv edilmiş ödənişlər yenidən qeyd edilir; kredit avtomatik olaraq S010 statusuna keçir. Yeganə qeyd olunmuş write-off səbəbi: '040' - 'Təminata yönəldilmiş məbləğ' (Collateralized amount).</w:t>
      </w:r>
    </w:p>
    <w:p>
      <w:pPr>
        <w:pStyle w:val="Heading1"/>
        <w:spacing w:after="200" w:before="400" w:line="276"/>
      </w:pPr>
      <w:r>
        <w:rPr>
          <w:rFonts w:ascii="Times New Roman" w:cs="Times New Roman" w:eastAsia="Times New Roman" w:hAnsi="Times New Roman"/>
          <w:b/>
          <w:bCs/>
          <w:color w:val="020617"/>
          <w:sz w:val="32"/>
          <w:szCs w:val="32"/>
        </w:rPr>
        <w:t xml:space="preserve">18. Kreditin Restrukturizasiyası</w:t>
      </w:r>
    </w:p>
    <w:p>
      <w:pPr>
        <w:spacing w:after="120" w:line="276"/>
        <w:jc w:val="both"/>
      </w:pPr>
      <w:r>
        <w:rPr>
          <w:rFonts w:ascii="Calibri" w:cs="Calibri" w:eastAsia="Calibri" w:hAnsi="Calibri"/>
          <w:color w:val="1E293B"/>
          <w:sz w:val="22"/>
          <w:szCs w:val="22"/>
        </w:rPr>
        <w:t xml:space="preserve">Bəzi hallarda bank və ya müştəri təşəbbüsü ilə kreditin restrukturizasiyası ( yenidən qurulması) həyata keçirilir. Bu, kreditin şərtlərinin dəyişdirilməsi deməkdir - məsələn, müddətin uzadılması, faiz dərəcəsinin dəyişdirilməsi və s.</w:t>
      </w:r>
    </w:p>
    <w:p>
      <w:pPr>
        <w:spacing w:after="120" w:line="276"/>
        <w:jc w:val="both"/>
      </w:pPr>
      <w:r>
        <w:rPr>
          <w:rFonts w:ascii="Calibri" w:cs="Calibri" w:eastAsia="Calibri" w:hAnsi="Calibri"/>
          <w:color w:val="1E293B"/>
          <w:sz w:val="22"/>
          <w:szCs w:val="22"/>
        </w:rPr>
        <w:t xml:space="preserve">LW sistemində restrukturizasiya 'c_restructured' bayrağı ilə qeyd edilir. Bu bayraq Loan entity-sində saxlanılır ( Loan.c_restructured ). Default olaraq 0 (restrukturizasiya yoxdur), restrukturizasiya edildikdən sonra 1 olur. Restrukturizasiya 'restr_endorsement_loan' və 'restr_endorsm_add_data' cədvəllərində qeyd edilir - hər bir restrukturizasiya endorsment (təsdiq) kimi saxlanılır və əlavə məlumatlar (additional data) ilə əlaqələndirilir.</w:t>
      </w:r>
    </w:p>
    <w:p>
      <w:pPr>
        <w:spacing w:after="120" w:line="276"/>
        <w:jc w:val="both"/>
      </w:pPr>
      <w:r>
        <w:rPr>
          <w:rFonts w:ascii="Calibri" w:cs="Calibri" w:eastAsia="Calibri" w:hAnsi="Calibri"/>
          <w:color w:val="1E293B"/>
          <w:sz w:val="22"/>
          <w:szCs w:val="22"/>
        </w:rPr>
        <w:t xml:space="preserve">Restrukturizasiya olunmuş kreditlər CBI (Mərkəzi Bank) hesabatlarında fərqli kodla göndərilir: normal kreditlər '007' kodu ilə, restrukturizasiya olunmuş kreditlər isə '008' kodu ilə hesabatlaşılır. Bu, bankın risk profili üçün vacib məlumatdır - restrukturizasiya olunmuş kreditlər daha yüksək risk kimi qiymətləndirilir. Ödəniş planının modifikasiya səbəbləri: '010' - Tranche vərəqələşməsi, '020' - Faiz dərəcəsinin dəyişdirilməsi, '030' - Erkən ödəniş, '040' - Tranche vərəqələşməsinin ləği.</w:t>
      </w:r>
    </w:p>
    <w:p>
      <w:pPr>
        <w:pStyle w:val="Heading1"/>
        <w:spacing w:after="200" w:before="400" w:line="276"/>
      </w:pPr>
      <w:r>
        <w:rPr>
          <w:rFonts w:ascii="Times New Roman" w:cs="Times New Roman" w:eastAsia="Times New Roman" w:hAnsi="Times New Roman"/>
          <w:b/>
          <w:bCs/>
          <w:color w:val="020617"/>
          <w:sz w:val="32"/>
          <w:szCs w:val="32"/>
        </w:rPr>
        <w:t xml:space="preserve">19. Kreditin Tam Bağlanması</w:t>
      </w:r>
    </w:p>
    <w:p>
      <w:pPr>
        <w:spacing w:after="120" w:line="276"/>
        <w:jc w:val="both"/>
      </w:pPr>
      <w:r>
        <w:rPr>
          <w:rFonts w:ascii="Calibri" w:cs="Calibri" w:eastAsia="Calibri" w:hAnsi="Calibri"/>
          <w:color w:val="1E293B"/>
          <w:sz w:val="22"/>
          <w:szCs w:val="22"/>
        </w:rPr>
        <w:t xml:space="preserve">Kreditin tam bağlanması iki yolla baş verə bilər: normal ödənişlərlə tam ödənmə və ya write-off.</w:t>
      </w:r>
    </w:p>
    <w:p>
      <w:pPr>
        <w:pStyle w:val="Heading2"/>
        <w:spacing w:after="160" w:before="300" w:line="276"/>
      </w:pPr>
      <w:r>
        <w:rPr>
          <w:rFonts w:ascii="Times New Roman" w:cs="Times New Roman" w:eastAsia="Times New Roman" w:hAnsi="Times New Roman"/>
          <w:b/>
          <w:bCs/>
          <w:color w:val="020617"/>
          <w:sz w:val="26"/>
          <w:szCs w:val="26"/>
        </w:rPr>
        <w:t xml:space="preserve">19.1 Normal Tam Ödənmə (S006)</w:t>
      </w:r>
    </w:p>
    <w:p>
      <w:pPr>
        <w:spacing w:after="120" w:line="276"/>
        <w:jc w:val="both"/>
      </w:pPr>
      <w:r>
        <w:rPr>
          <w:rFonts w:ascii="Calibri" w:cs="Calibri" w:eastAsia="Calibri" w:hAnsi="Calibri"/>
          <w:color w:val="1E293B"/>
          <w:sz w:val="22"/>
          <w:szCs w:val="22"/>
        </w:rPr>
        <w:t xml:space="preserve">Müştəri bütün aylıq ödənişləri (əsas borc, faiz və cərimə) tamamilə ödədikdən sonra kredit S006 - Completed statusuna keçir. Bu avtomatik olaraq baş verir - sistem kreditin qalan borcunu yoxlayır və 0 olduğu təqdirdə statusu dəyişir. Kreditin tam ödənilməsi ilə kolleksiya işi (əgər varsa) avtomatik olaraq bağlanır: postProcessRecalculateAndChangeStatus() metodu yoxlayır ki, əgər əvvəl gecikmə var idisə (daysInArrearsBefore &gt; 0) və indi yoxdursa (daysInArrear == 0), closeCollectionCaseIfExists() çağırılır.</w:t>
      </w:r>
    </w:p>
    <w:p>
      <w:pPr>
        <w:pStyle w:val="Heading2"/>
        <w:spacing w:after="160" w:before="300" w:line="276"/>
      </w:pPr>
      <w:r>
        <w:rPr>
          <w:rFonts w:ascii="Times New Roman" w:cs="Times New Roman" w:eastAsia="Times New Roman" w:hAnsi="Times New Roman"/>
          <w:b/>
          <w:bCs/>
          <w:color w:val="020617"/>
          <w:sz w:val="26"/>
          <w:szCs w:val="26"/>
        </w:rPr>
        <w:t xml:space="preserve">19.2 Off-Balance (S010)</w:t>
      </w:r>
    </w:p>
    <w:p>
      <w:pPr>
        <w:spacing w:after="120" w:line="276"/>
        <w:jc w:val="both"/>
      </w:pPr>
      <w:r>
        <w:rPr>
          <w:rFonts w:ascii="Calibri" w:cs="Calibri" w:eastAsia="Calibri" w:hAnsi="Calibri"/>
          <w:color w:val="1E293B"/>
          <w:sz w:val="22"/>
          <w:szCs w:val="22"/>
        </w:rPr>
        <w:t xml:space="preserve">Write-off edildikdən sonra kredit S010 - OffBalance statusuna keçir. Bu status kreditin bankın balansında deyil, balansdan kənarlaşdırılmış hesablarında saxlanldığını göstərir. Buna baxmayaraq, S010 statuslu kreditlər üçün də kolleksiya prosesi davam edə bilər - bank hələ də borcun ödənilməsi üçün cəhdlərini davam etdirir. CBI hesabatlarında S010 statuslu kreditlər off_balance_date-ə əsasən '003' və ya '007' kodları ilə göndərilir.</w:t>
      </w:r>
    </w:p>
    <w:p>
      <w:pPr>
        <w:spacing w:after="120" w:line="276"/>
        <w:jc w:val="both"/>
      </w:pPr>
      <w:r>
        <w:rPr>
          <w:rFonts w:ascii="Calibri" w:cs="Calibri" w:eastAsia="Calibri" w:hAnsi="Calibri"/>
          <w:color w:val="1E293B"/>
          <w:sz w:val="22"/>
          <w:szCs w:val="22"/>
        </w:rPr>
        <w:t xml:space="preserve">Kreditin off_balance_date sahəsi SQL ilə hesablanır: loan_status_history cədvəlindən new_status='S010' olan ən qədim tarix tapılır. Bu, kreditin nə vaxt balansdan kənarlaşdırıldığını göstərir və maliyyə hesabatlarında istifadə olunur.</w:t>
      </w:r>
    </w:p>
    <w:p>
      <w:pPr>
        <w:pStyle w:val="Heading2"/>
        <w:spacing w:after="160" w:before="300" w:line="276"/>
      </w:pPr>
      <w:r>
        <w:rPr>
          <w:rFonts w:ascii="Times New Roman" w:cs="Times New Roman" w:eastAsia="Times New Roman" w:hAnsi="Times New Roman"/>
          <w:b/>
          <w:bCs/>
          <w:color w:val="020617"/>
          <w:sz w:val="26"/>
          <w:szCs w:val="26"/>
        </w:rPr>
        <w:t xml:space="preserve">19.3 Kolleksiya İşinin Bağlanması</w:t>
      </w:r>
    </w:p>
    <w:p>
      <w:pPr>
        <w:spacing w:after="120" w:line="276"/>
        <w:jc w:val="both"/>
      </w:pPr>
      <w:r>
        <w:rPr>
          <w:rFonts w:ascii="Calibri" w:cs="Calibri" w:eastAsia="Calibri" w:hAnsi="Calibri"/>
          <w:color w:val="1E293B"/>
          <w:sz w:val="22"/>
          <w:szCs w:val="22"/>
        </w:rPr>
        <w:t xml:space="preserve">Kolleksiya işinin bağlanması CollectionCase.close() metodu vasitəsilə həyata keçirilir. Bağlanma qaydaları: əgər hard collector təyin edilməyibsə və ya xüsusi filiallardan (4 filial UUID-si) birindədirsə, və həmçinin legal administrator və legal collector təyin edilməyibsə, Case bağlana bilər. Onlayn kreditlər (OL) heç vaxt LO-ya qayıtmır, buna görə onların kolleksiya işi yalnız kolleksiya bölməsinin bağlanması ilə bitir.</w:t>
      </w:r>
    </w:p>
    <w:p>
      <w:pPr>
        <w:pStyle w:val="Heading1"/>
        <w:spacing w:after="200" w:before="400" w:line="276"/>
      </w:pPr>
      <w:r>
        <w:rPr>
          <w:rFonts w:ascii="Times New Roman" w:cs="Times New Roman" w:eastAsia="Times New Roman" w:hAnsi="Times New Roman"/>
          <w:b/>
          <w:bCs/>
          <w:color w:val="020617"/>
          <w:sz w:val="32"/>
          <w:szCs w:val="32"/>
        </w:rPr>
        <w:t xml:space="preserve">20. Xarici Xidmət İnteqrasiyaları</w:t>
      </w:r>
    </w:p>
    <w:p>
      <w:pPr>
        <w:spacing w:after="120" w:line="276"/>
        <w:jc w:val="both"/>
      </w:pPr>
      <w:r>
        <w:rPr>
          <w:rFonts w:ascii="Calibri" w:cs="Calibri" w:eastAsia="Calibri" w:hAnsi="Calibri"/>
          <w:color w:val="1E293B"/>
          <w:sz w:val="22"/>
          <w:szCs w:val="22"/>
        </w:rPr>
        <w:t xml:space="preserve">LW sistemi bir neçə xarici xidmətlə inteqrə olunub və kredit həyat dövrünün müxtəlif mərhələlərində bu xidmətlərdən istifadə olunur.</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40"/>
          <w:bottom w:type="dxa" w:w="60"/>
          <w:right w:type="dxa" w:w="140"/>
        </w:tblCellMar>
      </w:tblPr>
      <w:tblGrid>
        <w:gridCol w:w="1500"/>
        <w:gridCol w:w="2800"/>
        <w:gridCol w:w="2100"/>
        <w:gridCol w:w="2960"/>
      </w:tblGrid>
      <w:tr>
        <w:trPr>
          <w:tblHeader/>
        </w:trPr>
        <w:tc>
          <w:tcPr>
            <w:tcW w:type="dxa" w:w="1500"/>
            <w:tcBorders>
              <w:top w:val="single" w:color="94A3B8" w:sz="1"/>
              <w:left w:val="single" w:color="94A3B8" w:sz="1"/>
              <w:bottom w:val="single" w:color="94A3B8" w:sz="1"/>
              <w:right w:val="single" w:color="94A3B8" w:sz="1"/>
            </w:tcBorders>
            <w:shd w:fill="E2E8F0" w:val="clear"/>
            <w:vAlign w:val="center"/>
          </w:tcPr>
          <w:p>
            <w:pPr>
              <w:spacing w:line="276"/>
              <w:jc w:val="center"/>
            </w:pPr>
            <w:r>
              <w:rPr>
                <w:rFonts w:ascii="Calibri" w:cs="Calibri" w:eastAsia="Calibri" w:hAnsi="Calibri"/>
                <w:b/>
                <w:bCs/>
                <w:color w:val="020617"/>
                <w:sz w:val="20"/>
                <w:szCs w:val="20"/>
              </w:rPr>
              <w:t xml:space="preserve">Xidmət</w:t>
            </w:r>
          </w:p>
        </w:tc>
        <w:tc>
          <w:tcPr>
            <w:tcW w:type="dxa" w:w="2800"/>
            <w:tcBorders>
              <w:top w:val="single" w:color="94A3B8" w:sz="1"/>
              <w:left w:val="single" w:color="94A3B8" w:sz="1"/>
              <w:bottom w:val="single" w:color="94A3B8" w:sz="1"/>
              <w:right w:val="single" w:color="94A3B8" w:sz="1"/>
            </w:tcBorders>
            <w:shd w:fill="E2E8F0" w:val="clear"/>
            <w:vAlign w:val="center"/>
          </w:tcPr>
          <w:p>
            <w:pPr>
              <w:spacing w:line="276"/>
              <w:jc w:val="center"/>
            </w:pPr>
            <w:r>
              <w:rPr>
                <w:rFonts w:ascii="Calibri" w:cs="Calibri" w:eastAsia="Calibri" w:hAnsi="Calibri"/>
                <w:b/>
                <w:bCs/>
                <w:color w:val="020617"/>
                <w:sz w:val="20"/>
                <w:szCs w:val="20"/>
              </w:rPr>
              <w:t xml:space="preserve">Endpoint</w:t>
            </w:r>
          </w:p>
        </w:tc>
        <w:tc>
          <w:tcPr>
            <w:tcW w:type="dxa" w:w="2100"/>
            <w:tcBorders>
              <w:top w:val="single" w:color="94A3B8" w:sz="1"/>
              <w:left w:val="single" w:color="94A3B8" w:sz="1"/>
              <w:bottom w:val="single" w:color="94A3B8" w:sz="1"/>
              <w:right w:val="single" w:color="94A3B8" w:sz="1"/>
            </w:tcBorders>
            <w:shd w:fill="E2E8F0" w:val="clear"/>
            <w:vAlign w:val="center"/>
          </w:tcPr>
          <w:p>
            <w:pPr>
              <w:spacing w:line="276"/>
              <w:jc w:val="center"/>
            </w:pPr>
            <w:r>
              <w:rPr>
                <w:rFonts w:ascii="Calibri" w:cs="Calibri" w:eastAsia="Calibri" w:hAnsi="Calibri"/>
                <w:b/>
                <w:bCs/>
                <w:color w:val="020617"/>
                <w:sz w:val="20"/>
                <w:szCs w:val="20"/>
              </w:rPr>
              <w:t xml:space="preserve">İstifadə Mərhələsi</w:t>
            </w:r>
          </w:p>
        </w:tc>
        <w:tc>
          <w:tcPr>
            <w:tcW w:type="dxa" w:w="2960"/>
            <w:tcBorders>
              <w:top w:val="single" w:color="94A3B8" w:sz="1"/>
              <w:left w:val="single" w:color="94A3B8" w:sz="1"/>
              <w:bottom w:val="single" w:color="94A3B8" w:sz="1"/>
              <w:right w:val="single" w:color="94A3B8" w:sz="1"/>
            </w:tcBorders>
            <w:shd w:fill="E2E8F0" w:val="clear"/>
            <w:vAlign w:val="center"/>
          </w:tcPr>
          <w:p>
            <w:pPr>
              <w:spacing w:line="276"/>
              <w:jc w:val="center"/>
            </w:pPr>
            <w:r>
              <w:rPr>
                <w:rFonts w:ascii="Calibri" w:cs="Calibri" w:eastAsia="Calibri" w:hAnsi="Calibri"/>
                <w:b/>
                <w:bCs/>
                <w:color w:val="020617"/>
                <w:sz w:val="20"/>
                <w:szCs w:val="20"/>
              </w:rPr>
              <w:t xml:space="preserve">Təsvir</w:t>
            </w:r>
          </w:p>
        </w:tc>
      </w:tr>
      <w:tr>
        <w:tc>
          <w:tcPr>
            <w:tcW w:type="dxa" w:w="15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Asanfinance</w:t>
            </w:r>
          </w:p>
        </w:tc>
        <w:tc>
          <w:tcPr>
            <w:tcW w:type="dxa" w:w="2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/api/v1/PersonalInfo/</w:t>
            </w:r>
          </w:p>
        </w:tc>
        <w:tc>
          <w:tcPr>
            <w:tcW w:type="dxa" w:w="21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Müştəri identifikasiyası</w:t>
            </w:r>
          </w:p>
        </w:tc>
        <w:tc>
          <w:tcPr>
            <w:tcW w:type="dxa" w:w="29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Şəxsi, işçi və müəllim məlumatları</w:t>
            </w:r>
          </w:p>
        </w:tc>
      </w:tr>
      <w:tr>
        <w:tc>
          <w:tcPr>
            <w:tcW w:type="dxa" w:w="15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AKB/MKR</w:t>
            </w:r>
          </w:p>
        </w:tc>
        <w:tc>
          <w:tcPr>
            <w:tcW w:type="dxa" w:w="2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/api/v1/inq/score-report/create/ex</w:t>
            </w:r>
          </w:p>
        </w:tc>
        <w:tc>
          <w:tcPr>
            <w:tcW w:type="dxa" w:w="21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Scoring</w:t>
            </w:r>
          </w:p>
        </w:tc>
        <w:tc>
          <w:tcPr>
            <w:tcW w:type="dxa" w:w="29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Kredit bürosu scoring və tarixi</w:t>
            </w:r>
          </w:p>
        </w:tc>
      </w:tr>
      <w:tr>
        <w:tc>
          <w:tcPr>
            <w:tcW w:type="dxa" w:w="15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SIMA</w:t>
            </w:r>
          </w:p>
        </w:tc>
        <w:tc>
          <w:tcPr>
            <w:tcW w:type="dxa" w:w="2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/services/SIMAService/</w:t>
            </w:r>
          </w:p>
        </w:tc>
        <w:tc>
          <w:tcPr>
            <w:tcW w:type="dxa" w:w="21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KYC və İmza</w:t>
            </w:r>
          </w:p>
        </w:tc>
        <w:tc>
          <w:tcPr>
            <w:tcW w:type="dxa" w:w="29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Elektron kimlik təsdiqi və onlayn imza</w:t>
            </w:r>
          </w:p>
        </w:tc>
      </w:tr>
      <w:tr>
        <w:tc>
          <w:tcPr>
            <w:tcW w:type="dxa" w:w="15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Cüzdan</w:t>
            </w:r>
          </w:p>
        </w:tc>
        <w:tc>
          <w:tcPr>
            <w:tcW w:type="dxa" w:w="2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Card payment API</w:t>
            </w:r>
          </w:p>
        </w:tc>
        <w:tc>
          <w:tcPr>
            <w:tcW w:type="dxa" w:w="21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Vərəqələşmə və Ödəniş</w:t>
            </w:r>
          </w:p>
        </w:tc>
        <w:tc>
          <w:tcPr>
            <w:tcW w:type="dxa" w:w="29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Kart köçürməsi, refund, top-up</w:t>
            </w:r>
          </w:p>
        </w:tc>
      </w:tr>
      <w:tr>
        <w:tc>
          <w:tcPr>
            <w:tcW w:type="dxa" w:w="15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Sanction Scanner</w:t>
            </w:r>
          </w:p>
        </w:tc>
        <w:tc>
          <w:tcPr>
            <w:tcW w:type="dxa" w:w="2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/api/Search/SearchByName</w:t>
            </w:r>
          </w:p>
        </w:tc>
        <w:tc>
          <w:tcPr>
            <w:tcW w:type="dxa" w:w="21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Data validation</w:t>
            </w:r>
          </w:p>
        </w:tc>
        <w:tc>
          <w:tcPr>
            <w:tcW w:type="dxa" w:w="29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Beynəlxalq sanksiya yoxlaması</w:t>
            </w:r>
          </w:p>
        </w:tc>
      </w:tr>
      <w:tr>
        <w:tc>
          <w:tcPr>
            <w:tcW w:type="dxa" w:w="15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SMS</w:t>
            </w:r>
          </w:p>
        </w:tc>
        <w:tc>
          <w:tcPr>
            <w:tcW w:type="dxa" w:w="2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SMS Gateway</w:t>
            </w:r>
          </w:p>
        </w:tc>
        <w:tc>
          <w:tcPr>
            <w:tcW w:type="dxa" w:w="21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OTP və bildirişlər</w:t>
            </w:r>
          </w:p>
        </w:tc>
        <w:tc>
          <w:tcPr>
            <w:tcW w:type="dxa" w:w="29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OTP kodları, rədd SMS-i</w:t>
            </w:r>
          </w:p>
        </w:tc>
      </w:tr>
    </w:tbl>
    <w:p>
      <w:pPr>
        <w:spacing w:after="120" w:line="276"/>
        <w:jc w:val="both"/>
      </w:pPr>
      <w:r>
        <w:rPr>
          <w:rFonts w:ascii="Calibri" w:cs="Calibri" w:eastAsia="Calibri" w:hAnsi="Calibri"/>
          <w:color w:val="1E293B"/>
          <w:sz w:val="22"/>
          <w:szCs w:val="22"/>
        </w:rPr>
        <w:t xml:space="preserve">Cədvəl 5: Xarici Xidmət İnteqrasiyaları</w:t>
      </w:r>
    </w:p>
    <w:p>
      <w:pPr>
        <w:spacing w:after="120" w:line="276"/>
        <w:jc w:val="both"/>
      </w:pPr>
      <w:r>
        <w:rPr>
          <w:rFonts w:ascii="Calibri" w:cs="Calibri" w:eastAsia="Calibri" w:hAnsi="Calibri"/>
          <w:color w:val="1E293B"/>
          <w:sz w:val="22"/>
          <w:szCs w:val="22"/>
        </w:rPr>
        <w:t xml:space="preserve">Hər bir xarici xidmət üçün gündəlik çağırış limiti, cache müddəti və timeout konfiqurasiya edilmişdir. Xidmətlərin uğursuz olması prosesin dayanmasına səbəb ola bilər - buna görə hər bir inteqrasiya point üçün səhv idarəetmə (error handling) mexanizmləri mövcuddur. Əgər MKR API çağrısı uğursuz olsa, scoring 'hasError' qeyd edir və manuel yoxlama tələb olunur. Əgər Asanfinance cavab verməsə, kredit eksperti məlumatları əllə daxil etməlidir.</w:t>
      </w:r>
    </w:p>
    <w:p>
      <w:pPr>
        <w:pStyle w:val="Heading1"/>
        <w:spacing w:after="200" w:before="400" w:line="276"/>
      </w:pPr>
      <w:r>
        <w:rPr>
          <w:rFonts w:ascii="Times New Roman" w:cs="Times New Roman" w:eastAsia="Times New Roman" w:hAnsi="Times New Roman"/>
          <w:b/>
          <w:bCs/>
          <w:color w:val="020617"/>
          <w:sz w:val="32"/>
          <w:szCs w:val="32"/>
        </w:rPr>
        <w:t xml:space="preserve">21. Bütün Prosesin Xülasəsi - Addım-Addım</w:t>
      </w:r>
    </w:p>
    <w:p>
      <w:pPr>
        <w:spacing w:after="120" w:line="276"/>
        <w:jc w:val="both"/>
      </w:pPr>
      <w:r>
        <w:rPr>
          <w:rFonts w:ascii="Calibri" w:cs="Calibri" w:eastAsia="Calibri" w:hAnsi="Calibri"/>
          <w:color w:val="1E293B"/>
          <w:sz w:val="22"/>
          <w:szCs w:val="22"/>
        </w:rPr>
        <w:t xml:space="preserve">Aşağıdakı cədvəldə LW sistemində RCASH nağd kreditinin tam həyat dövrü addım-addım təsvir olunur:</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40"/>
          <w:bottom w:type="dxa" w:w="60"/>
          <w:right w:type="dxa" w:w="140"/>
        </w:tblCellMar>
      </w:tblPr>
      <w:tblGrid>
        <w:gridCol w:w="400"/>
        <w:gridCol w:w="1800"/>
        <w:gridCol w:w="2800"/>
        <w:gridCol w:w="2000"/>
        <w:gridCol w:w="2360"/>
      </w:tblGrid>
      <w:tr>
        <w:trPr>
          <w:tblHeader/>
        </w:trPr>
        <w:tc>
          <w:tcPr>
            <w:tcW w:type="dxa" w:w="400"/>
            <w:tcBorders>
              <w:top w:val="single" w:color="94A3B8" w:sz="1"/>
              <w:left w:val="single" w:color="94A3B8" w:sz="1"/>
              <w:bottom w:val="single" w:color="94A3B8" w:sz="1"/>
              <w:right w:val="single" w:color="94A3B8" w:sz="1"/>
            </w:tcBorders>
            <w:shd w:fill="E2E8F0" w:val="clear"/>
            <w:vAlign w:val="center"/>
          </w:tcPr>
          <w:p>
            <w:pPr>
              <w:spacing w:line="276"/>
              <w:jc w:val="center"/>
            </w:pPr>
            <w:r>
              <w:rPr>
                <w:rFonts w:ascii="Calibri" w:cs="Calibri" w:eastAsia="Calibri" w:hAnsi="Calibri"/>
                <w:b/>
                <w:bCs/>
                <w:color w:val="020617"/>
                <w:sz w:val="20"/>
                <w:szCs w:val="20"/>
              </w:rPr>
              <w:t xml:space="preserve">#</w:t>
            </w:r>
          </w:p>
        </w:tc>
        <w:tc>
          <w:tcPr>
            <w:tcW w:type="dxa" w:w="1800"/>
            <w:tcBorders>
              <w:top w:val="single" w:color="94A3B8" w:sz="1"/>
              <w:left w:val="single" w:color="94A3B8" w:sz="1"/>
              <w:bottom w:val="single" w:color="94A3B8" w:sz="1"/>
              <w:right w:val="single" w:color="94A3B8" w:sz="1"/>
            </w:tcBorders>
            <w:shd w:fill="E2E8F0" w:val="clear"/>
            <w:vAlign w:val="center"/>
          </w:tcPr>
          <w:p>
            <w:pPr>
              <w:spacing w:line="276"/>
              <w:jc w:val="center"/>
            </w:pPr>
            <w:r>
              <w:rPr>
                <w:rFonts w:ascii="Calibri" w:cs="Calibri" w:eastAsia="Calibri" w:hAnsi="Calibri"/>
                <w:b/>
                <w:bCs/>
                <w:color w:val="020617"/>
                <w:sz w:val="20"/>
                <w:szCs w:val="20"/>
              </w:rPr>
              <w:t xml:space="preserve">Addım</w:t>
            </w:r>
          </w:p>
        </w:tc>
        <w:tc>
          <w:tcPr>
            <w:tcW w:type="dxa" w:w="2800"/>
            <w:tcBorders>
              <w:top w:val="single" w:color="94A3B8" w:sz="1"/>
              <w:left w:val="single" w:color="94A3B8" w:sz="1"/>
              <w:bottom w:val="single" w:color="94A3B8" w:sz="1"/>
              <w:right w:val="single" w:color="94A3B8" w:sz="1"/>
            </w:tcBorders>
            <w:shd w:fill="E2E8F0" w:val="clear"/>
            <w:vAlign w:val="center"/>
          </w:tcPr>
          <w:p>
            <w:pPr>
              <w:spacing w:line="276"/>
              <w:jc w:val="center"/>
            </w:pPr>
            <w:r>
              <w:rPr>
                <w:rFonts w:ascii="Calibri" w:cs="Calibri" w:eastAsia="Calibri" w:hAnsi="Calibri"/>
                <w:b/>
                <w:bCs/>
                <w:color w:val="020617"/>
                <w:sz w:val="20"/>
                <w:szCs w:val="20"/>
              </w:rPr>
              <w:t xml:space="preserve">Node/Əməliyyat</w:t>
            </w:r>
          </w:p>
        </w:tc>
        <w:tc>
          <w:tcPr>
            <w:tcW w:type="dxa" w:w="2000"/>
            <w:tcBorders>
              <w:top w:val="single" w:color="94A3B8" w:sz="1"/>
              <w:left w:val="single" w:color="94A3B8" w:sz="1"/>
              <w:bottom w:val="single" w:color="94A3B8" w:sz="1"/>
              <w:right w:val="single" w:color="94A3B8" w:sz="1"/>
            </w:tcBorders>
            <w:shd w:fill="E2E8F0" w:val="clear"/>
            <w:vAlign w:val="center"/>
          </w:tcPr>
          <w:p>
            <w:pPr>
              <w:spacing w:line="276"/>
              <w:jc w:val="center"/>
            </w:pPr>
            <w:r>
              <w:rPr>
                <w:rFonts w:ascii="Calibri" w:cs="Calibri" w:eastAsia="Calibri" w:hAnsi="Calibri"/>
                <w:b/>
                <w:bCs/>
                <w:color w:val="020617"/>
                <w:sz w:val="20"/>
                <w:szCs w:val="20"/>
              </w:rPr>
              <w:t xml:space="preserve">Swimlane/Rol</w:t>
            </w:r>
          </w:p>
        </w:tc>
        <w:tc>
          <w:tcPr>
            <w:tcW w:type="dxa" w:w="2360"/>
            <w:tcBorders>
              <w:top w:val="single" w:color="94A3B8" w:sz="1"/>
              <w:left w:val="single" w:color="94A3B8" w:sz="1"/>
              <w:bottom w:val="single" w:color="94A3B8" w:sz="1"/>
              <w:right w:val="single" w:color="94A3B8" w:sz="1"/>
            </w:tcBorders>
            <w:shd w:fill="E2E8F0" w:val="clear"/>
            <w:vAlign w:val="center"/>
          </w:tcPr>
          <w:p>
            <w:pPr>
              <w:spacing w:line="276"/>
              <w:jc w:val="center"/>
            </w:pPr>
            <w:r>
              <w:rPr>
                <w:rFonts w:ascii="Calibri" w:cs="Calibri" w:eastAsia="Calibri" w:hAnsi="Calibri"/>
                <w:b/>
                <w:bCs/>
                <w:color w:val="020617"/>
                <w:sz w:val="20"/>
                <w:szCs w:val="20"/>
              </w:rPr>
              <w:t xml:space="preserve">Avtomatik?</w:t>
            </w:r>
          </w:p>
        </w:tc>
      </w:tr>
      <w:tr>
        <w:tc>
          <w:tcPr>
            <w:tcW w:type="dxa" w:w="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1</w:t>
            </w:r>
          </w:p>
        </w:tc>
        <w:tc>
          <w:tcPr>
            <w:tcW w:type="dxa" w:w="1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Filial seçimi</w:t>
            </w:r>
          </w:p>
        </w:tc>
        <w:tc>
          <w:tcPr>
            <w:tcW w:type="dxa" w:w="2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cuzdan choose branch</w:t>
            </w:r>
          </w:p>
        </w:tc>
        <w:tc>
          <w:tcPr>
            <w:tcW w:type="dxa" w:w="2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Junior Credit Consultant</w:t>
            </w:r>
          </w:p>
        </w:tc>
        <w:tc>
          <w:tcPr>
            <w:tcW w:type="dxa" w:w="23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Xeyr</w:t>
            </w:r>
          </w:p>
        </w:tc>
      </w:tr>
      <w:tr>
        <w:tc>
          <w:tcPr>
            <w:tcW w:type="dxa" w:w="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2</w:t>
            </w:r>
          </w:p>
        </w:tc>
        <w:tc>
          <w:tcPr>
            <w:tcW w:type="dxa" w:w="1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Məhsul seçimi</w:t>
            </w:r>
          </w:p>
        </w:tc>
        <w:tc>
          <w:tcPr>
            <w:tcW w:type="dxa" w:w="2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select product</w:t>
            </w:r>
          </w:p>
        </w:tc>
        <w:tc>
          <w:tcPr>
            <w:tcW w:type="dxa" w:w="2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Junior Credit Consultant</w:t>
            </w:r>
          </w:p>
        </w:tc>
        <w:tc>
          <w:tcPr>
            <w:tcW w:type="dxa" w:w="23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Xeyr</w:t>
            </w:r>
          </w:p>
        </w:tc>
      </w:tr>
      <w:tr>
        <w:tc>
          <w:tcPr>
            <w:tcW w:type="dxa" w:w="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3</w:t>
            </w:r>
          </w:p>
        </w:tc>
        <w:tc>
          <w:tcPr>
            <w:tcW w:type="dxa" w:w="1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OTP sorğusu</w:t>
            </w:r>
          </w:p>
        </w:tc>
        <w:tc>
          <w:tcPr>
            <w:tcW w:type="dxa" w:w="2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OTP</w:t>
            </w:r>
          </w:p>
        </w:tc>
        <w:tc>
          <w:tcPr>
            <w:tcW w:type="dxa" w:w="2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Junior Credit Consultant</w:t>
            </w:r>
          </w:p>
        </w:tc>
        <w:tc>
          <w:tcPr>
            <w:tcW w:type="dxa" w:w="23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Xeyr</w:t>
            </w:r>
          </w:p>
        </w:tc>
      </w:tr>
      <w:tr>
        <w:tc>
          <w:tcPr>
            <w:tcW w:type="dxa" w:w="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4</w:t>
            </w:r>
          </w:p>
        </w:tc>
        <w:tc>
          <w:tcPr>
            <w:tcW w:type="dxa" w:w="1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OTP təsdiqi</w:t>
            </w:r>
          </w:p>
        </w:tc>
        <w:tc>
          <w:tcPr>
            <w:tcW w:type="dxa" w:w="2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op_person_otp</w:t>
            </w:r>
          </w:p>
        </w:tc>
        <w:tc>
          <w:tcPr>
            <w:tcW w:type="dxa" w:w="2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Junior Credit Consultant</w:t>
            </w:r>
          </w:p>
        </w:tc>
        <w:tc>
          <w:tcPr>
            <w:tcW w:type="dxa" w:w="23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Xeyr</w:t>
            </w:r>
          </w:p>
        </w:tc>
      </w:tr>
      <w:tr>
        <w:tc>
          <w:tcPr>
            <w:tcW w:type="dxa" w:w="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5</w:t>
            </w:r>
          </w:p>
        </w:tc>
        <w:tc>
          <w:tcPr>
            <w:tcW w:type="dxa" w:w="1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PIN daxil etmə</w:t>
            </w:r>
          </w:p>
        </w:tc>
        <w:tc>
          <w:tcPr>
            <w:tcW w:type="dxa" w:w="2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enter client id</w:t>
            </w:r>
          </w:p>
        </w:tc>
        <w:tc>
          <w:tcPr>
            <w:tcW w:type="dxa" w:w="2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Junior Credit Consultant</w:t>
            </w:r>
          </w:p>
        </w:tc>
        <w:tc>
          <w:tcPr>
            <w:tcW w:type="dxa" w:w="23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Xeyr</w:t>
            </w:r>
          </w:p>
        </w:tc>
      </w:tr>
      <w:tr>
        <w:tc>
          <w:tcPr>
            <w:tcW w:type="dxa" w:w="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6</w:t>
            </w:r>
          </w:p>
        </w:tc>
        <w:tc>
          <w:tcPr>
            <w:tcW w:type="dxa" w:w="1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Asanfinance çağırışı</w:t>
            </w:r>
          </w:p>
        </w:tc>
        <w:tc>
          <w:tcPr>
            <w:tcW w:type="dxa" w:w="2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request asanfinance personal info</w:t>
            </w:r>
          </w:p>
        </w:tc>
        <w:tc>
          <w:tcPr>
            <w:tcW w:type="dxa" w:w="2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Avtomatik</w:t>
            </w:r>
          </w:p>
        </w:tc>
        <w:tc>
          <w:tcPr>
            <w:tcW w:type="dxa" w:w="23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Bəli</w:t>
            </w:r>
          </w:p>
        </w:tc>
      </w:tr>
      <w:tr>
        <w:tc>
          <w:tcPr>
            <w:tcW w:type="dxa" w:w="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7</w:t>
            </w:r>
          </w:p>
        </w:tc>
        <w:tc>
          <w:tcPr>
            <w:tcW w:type="dxa" w:w="1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Müştəri yaratma/baxma</w:t>
            </w:r>
          </w:p>
        </w:tc>
        <w:tc>
          <w:tcPr>
            <w:tcW w:type="dxa" w:w="2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create new client / show existing</w:t>
            </w:r>
          </w:p>
        </w:tc>
        <w:tc>
          <w:tcPr>
            <w:tcW w:type="dxa" w:w="2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Junior Credit Consultant</w:t>
            </w:r>
          </w:p>
        </w:tc>
        <w:tc>
          <w:tcPr>
            <w:tcW w:type="dxa" w:w="23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Xeyr</w:t>
            </w:r>
          </w:p>
        </w:tc>
      </w:tr>
      <w:tr>
        <w:tc>
          <w:tcPr>
            <w:tcW w:type="dxa" w:w="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8</w:t>
            </w:r>
          </w:p>
        </w:tc>
        <w:tc>
          <w:tcPr>
            <w:tcW w:type="dxa" w:w="1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Case təsviri</w:t>
            </w:r>
          </w:p>
        </w:tc>
        <w:tc>
          <w:tcPr>
            <w:tcW w:type="dxa" w:w="2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set case description 1</w:t>
            </w:r>
          </w:p>
        </w:tc>
        <w:tc>
          <w:tcPr>
            <w:tcW w:type="dxa" w:w="2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Avtomatik</w:t>
            </w:r>
          </w:p>
        </w:tc>
        <w:tc>
          <w:tcPr>
            <w:tcW w:type="dxa" w:w="23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Bəli</w:t>
            </w:r>
          </w:p>
        </w:tc>
      </w:tr>
      <w:tr>
        <w:tc>
          <w:tcPr>
            <w:tcW w:type="dxa" w:w="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9</w:t>
            </w:r>
          </w:p>
        </w:tc>
        <w:tc>
          <w:tcPr>
            <w:tcW w:type="dxa" w:w="1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Müraciət yaratma</w:t>
            </w:r>
          </w:p>
        </w:tc>
        <w:tc>
          <w:tcPr>
            <w:tcW w:type="dxa" w:w="2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create application</w:t>
            </w:r>
          </w:p>
        </w:tc>
        <w:tc>
          <w:tcPr>
            <w:tcW w:type="dxa" w:w="2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Junior Credit Consultant</w:t>
            </w:r>
          </w:p>
        </w:tc>
        <w:tc>
          <w:tcPr>
            <w:tcW w:type="dxa" w:w="23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Xeyr</w:t>
            </w:r>
          </w:p>
        </w:tc>
      </w:tr>
      <w:tr>
        <w:tc>
          <w:tcPr>
            <w:tcW w:type="dxa" w:w="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10</w:t>
            </w:r>
          </w:p>
        </w:tc>
        <w:tc>
          <w:tcPr>
            <w:tcW w:type="dxa" w:w="1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Qısa məlumatlar</w:t>
            </w:r>
          </w:p>
        </w:tc>
        <w:tc>
          <w:tcPr>
            <w:tcW w:type="dxa" w:w="2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enter brief application data</w:t>
            </w:r>
          </w:p>
        </w:tc>
        <w:tc>
          <w:tcPr>
            <w:tcW w:type="dxa" w:w="2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Credit Officer</w:t>
            </w:r>
          </w:p>
        </w:tc>
        <w:tc>
          <w:tcPr>
            <w:tcW w:type="dxa" w:w="23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Xeyr</w:t>
            </w:r>
          </w:p>
        </w:tc>
      </w:tr>
      <w:tr>
        <w:tc>
          <w:tcPr>
            <w:tcW w:type="dxa" w:w="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11</w:t>
            </w:r>
          </w:p>
        </w:tc>
        <w:tc>
          <w:tcPr>
            <w:tcW w:type="dxa" w:w="1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Ödəniş planı baxma</w:t>
            </w:r>
          </w:p>
        </w:tc>
        <w:tc>
          <w:tcPr>
            <w:tcW w:type="dxa" w:w="2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enter initial schedule</w:t>
            </w:r>
          </w:p>
        </w:tc>
        <w:tc>
          <w:tcPr>
            <w:tcW w:type="dxa" w:w="2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Junior Credit Consultant</w:t>
            </w:r>
          </w:p>
        </w:tc>
        <w:tc>
          <w:tcPr>
            <w:tcW w:type="dxa" w:w="23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Xeyr</w:t>
            </w:r>
          </w:p>
        </w:tc>
      </w:tr>
      <w:tr>
        <w:tc>
          <w:tcPr>
            <w:tcW w:type="dxa" w:w="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12</w:t>
            </w:r>
          </w:p>
        </w:tc>
        <w:tc>
          <w:tcPr>
            <w:tcW w:type="dxa" w:w="1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RCASH scoring</w:t>
            </w:r>
          </w:p>
        </w:tc>
        <w:tc>
          <w:tcPr>
            <w:tcW w:type="dxa" w:w="2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cuzdan pre-scoring / scoring result RCASH</w:t>
            </w:r>
          </w:p>
        </w:tc>
        <w:tc>
          <w:tcPr>
            <w:tcW w:type="dxa" w:w="2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Avtomatik/Risk Officer</w:t>
            </w:r>
          </w:p>
        </w:tc>
        <w:tc>
          <w:tcPr>
            <w:tcW w:type="dxa" w:w="23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Bəli</w:t>
            </w:r>
          </w:p>
        </w:tc>
      </w:tr>
      <w:tr>
        <w:tc>
          <w:tcPr>
            <w:tcW w:type="dxa" w:w="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13</w:t>
            </w:r>
          </w:p>
        </w:tc>
        <w:tc>
          <w:tcPr>
            <w:tcW w:type="dxa" w:w="1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Avtomatik yoxlamalar</w:t>
            </w:r>
          </w:p>
        </w:tc>
        <w:tc>
          <w:tcPr>
            <w:tcW w:type="dxa" w:w="2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data verification</w:t>
            </w:r>
          </w:p>
        </w:tc>
        <w:tc>
          <w:tcPr>
            <w:tcW w:type="dxa" w:w="2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Avtomatik</w:t>
            </w:r>
          </w:p>
        </w:tc>
        <w:tc>
          <w:tcPr>
            <w:tcW w:type="dxa" w:w="23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Bəli</w:t>
            </w:r>
          </w:p>
        </w:tc>
      </w:tr>
      <w:tr>
        <w:tc>
          <w:tcPr>
            <w:tcW w:type="dxa" w:w="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14</w:t>
            </w:r>
          </w:p>
        </w:tc>
        <w:tc>
          <w:tcPr>
            <w:tcW w:type="dxa" w:w="1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Zamin (əgər var)</w:t>
            </w:r>
          </w:p>
        </w:tc>
        <w:tc>
          <w:tcPr>
            <w:tcW w:type="dxa" w:w="2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OTP guarantor → add guarantor</w:t>
            </w:r>
          </w:p>
        </w:tc>
        <w:tc>
          <w:tcPr>
            <w:tcW w:type="dxa" w:w="2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Junior Credit Consultant</w:t>
            </w:r>
          </w:p>
        </w:tc>
        <w:tc>
          <w:tcPr>
            <w:tcW w:type="dxa" w:w="23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Xeyr</w:t>
            </w:r>
          </w:p>
        </w:tc>
      </w:tr>
      <w:tr>
        <w:tc>
          <w:tcPr>
            <w:tcW w:type="dxa" w:w="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15</w:t>
            </w:r>
          </w:p>
        </w:tc>
        <w:tc>
          <w:tcPr>
            <w:tcW w:type="dxa" w:w="1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Tam məlumatlar</w:t>
            </w:r>
          </w:p>
        </w:tc>
        <w:tc>
          <w:tcPr>
            <w:tcW w:type="dxa" w:w="2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enter full application data</w:t>
            </w:r>
          </w:p>
        </w:tc>
        <w:tc>
          <w:tcPr>
            <w:tcW w:type="dxa" w:w="2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Credit Officer</w:t>
            </w:r>
          </w:p>
        </w:tc>
        <w:tc>
          <w:tcPr>
            <w:tcW w:type="dxa" w:w="23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Xeyr</w:t>
            </w:r>
          </w:p>
        </w:tc>
      </w:tr>
      <w:tr>
        <w:tc>
          <w:tcPr>
            <w:tcW w:type="dxa" w:w="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16</w:t>
            </w:r>
          </w:p>
        </w:tc>
        <w:tc>
          <w:tcPr>
            <w:tcW w:type="dxa" w:w="1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Foto yükləmə</w:t>
            </w:r>
          </w:p>
        </w:tc>
        <w:tc>
          <w:tcPr>
            <w:tcW w:type="dxa" w:w="2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upload client photo</w:t>
            </w:r>
          </w:p>
        </w:tc>
        <w:tc>
          <w:tcPr>
            <w:tcW w:type="dxa" w:w="2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Junior Credit Consultant</w:t>
            </w:r>
          </w:p>
        </w:tc>
        <w:tc>
          <w:tcPr>
            <w:tcW w:type="dxa" w:w="23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Xeyr</w:t>
            </w:r>
          </w:p>
        </w:tc>
      </w:tr>
      <w:tr>
        <w:tc>
          <w:tcPr>
            <w:tcW w:type="dxa" w:w="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17</w:t>
            </w:r>
          </w:p>
        </w:tc>
        <w:tc>
          <w:tcPr>
            <w:tcW w:type="dxa" w:w="1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Ekspert təsdiqi</w:t>
            </w:r>
          </w:p>
        </w:tc>
        <w:tc>
          <w:tcPr>
            <w:tcW w:type="dxa" w:w="2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approve application</w:t>
            </w:r>
          </w:p>
        </w:tc>
        <w:tc>
          <w:tcPr>
            <w:tcW w:type="dxa" w:w="2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Junior Credit Consultant</w:t>
            </w:r>
          </w:p>
        </w:tc>
        <w:tc>
          <w:tcPr>
            <w:tcW w:type="dxa" w:w="23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Xeyr</w:t>
            </w:r>
          </w:p>
        </w:tc>
      </w:tr>
      <w:tr>
        <w:tc>
          <w:tcPr>
            <w:tcW w:type="dxa" w:w="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18</w:t>
            </w:r>
          </w:p>
        </w:tc>
        <w:tc>
          <w:tcPr>
            <w:tcW w:type="dxa" w:w="1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Məbləğ səviyyəsi</w:t>
            </w:r>
          </w:p>
        </w:tc>
        <w:tc>
          <w:tcPr>
            <w:tcW w:type="dxa" w:w="2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select person for approve</w:t>
            </w:r>
          </w:p>
        </w:tc>
        <w:tc>
          <w:tcPr>
            <w:tcW w:type="dxa" w:w="2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Avtomatik</w:t>
            </w:r>
          </w:p>
        </w:tc>
        <w:tc>
          <w:tcPr>
            <w:tcW w:type="dxa" w:w="23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Bəli</w:t>
            </w:r>
          </w:p>
        </w:tc>
      </w:tr>
      <w:tr>
        <w:tc>
          <w:tcPr>
            <w:tcW w:type="dxa" w:w="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19</w:t>
            </w:r>
          </w:p>
        </w:tc>
        <w:tc>
          <w:tcPr>
            <w:tcW w:type="dxa" w:w="1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LO/Senior LO təsdiqi</w:t>
            </w:r>
          </w:p>
        </w:tc>
        <w:tc>
          <w:tcPr>
            <w:tcW w:type="dxa" w:w="2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approve application by LO/SLO</w:t>
            </w:r>
          </w:p>
        </w:tc>
        <w:tc>
          <w:tcPr>
            <w:tcW w:type="dxa" w:w="2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LO/SLO</w:t>
            </w:r>
          </w:p>
        </w:tc>
        <w:tc>
          <w:tcPr>
            <w:tcW w:type="dxa" w:w="23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Xeyr</w:t>
            </w:r>
          </w:p>
        </w:tc>
      </w:tr>
      <w:tr>
        <w:tc>
          <w:tcPr>
            <w:tcW w:type="dxa" w:w="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20</w:t>
            </w:r>
          </w:p>
        </w:tc>
        <w:tc>
          <w:tcPr>
            <w:tcW w:type="dxa" w:w="1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Kredit admin yoxlaması</w:t>
            </w:r>
          </w:p>
        </w:tc>
        <w:tc>
          <w:tcPr>
            <w:tcW w:type="dxa" w:w="2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data validation</w:t>
            </w:r>
          </w:p>
        </w:tc>
        <w:tc>
          <w:tcPr>
            <w:tcW w:type="dxa" w:w="2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Credit Administrator</w:t>
            </w:r>
          </w:p>
        </w:tc>
        <w:tc>
          <w:tcPr>
            <w:tcW w:type="dxa" w:w="23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Xeyr</w:t>
            </w:r>
          </w:p>
        </w:tc>
      </w:tr>
      <w:tr>
        <w:tc>
          <w:tcPr>
            <w:tcW w:type="dxa" w:w="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21</w:t>
            </w:r>
          </w:p>
        </w:tc>
        <w:tc>
          <w:tcPr>
            <w:tcW w:type="dxa" w:w="1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Sanction scanner</w:t>
            </w:r>
          </w:p>
        </w:tc>
        <w:tc>
          <w:tcPr>
            <w:tcW w:type="dxa" w:w="2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sanction scanner call</w:t>
            </w:r>
          </w:p>
        </w:tc>
        <w:tc>
          <w:tcPr>
            <w:tcW w:type="dxa" w:w="2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Avtomatik/Compliance</w:t>
            </w:r>
          </w:p>
        </w:tc>
        <w:tc>
          <w:tcPr>
            <w:tcW w:type="dxa" w:w="23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Bəli</w:t>
            </w:r>
          </w:p>
        </w:tc>
      </w:tr>
      <w:tr>
        <w:tc>
          <w:tcPr>
            <w:tcW w:type="dxa" w:w="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22</w:t>
            </w:r>
          </w:p>
        </w:tc>
        <w:tc>
          <w:tcPr>
            <w:tcW w:type="dxa" w:w="1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SIMA KYC2</w:t>
            </w:r>
          </w:p>
        </w:tc>
        <w:tc>
          <w:tcPr>
            <w:tcW w:type="dxa" w:w="2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SIMA KYC2</w:t>
            </w:r>
          </w:p>
        </w:tc>
        <w:tc>
          <w:tcPr>
            <w:tcW w:type="dxa" w:w="2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Avtomatik</w:t>
            </w:r>
          </w:p>
        </w:tc>
        <w:tc>
          <w:tcPr>
            <w:tcW w:type="dxa" w:w="23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Bəli</w:t>
            </w:r>
          </w:p>
        </w:tc>
      </w:tr>
      <w:tr>
        <w:tc>
          <w:tcPr>
            <w:tcW w:type="dxa" w:w="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23</w:t>
            </w:r>
          </w:p>
        </w:tc>
        <w:tc>
          <w:tcPr>
            <w:tcW w:type="dxa" w:w="1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Kredit yaratma</w:t>
            </w:r>
          </w:p>
        </w:tc>
        <w:tc>
          <w:tcPr>
            <w:tcW w:type="dxa" w:w="2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create loan from retail application</w:t>
            </w:r>
          </w:p>
        </w:tc>
        <w:tc>
          <w:tcPr>
            <w:tcW w:type="dxa" w:w="2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Avtomatik</w:t>
            </w:r>
          </w:p>
        </w:tc>
        <w:tc>
          <w:tcPr>
            <w:tcW w:type="dxa" w:w="23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Bəli</w:t>
            </w:r>
          </w:p>
        </w:tc>
      </w:tr>
      <w:tr>
        <w:tc>
          <w:tcPr>
            <w:tcW w:type="dxa" w:w="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24</w:t>
            </w:r>
          </w:p>
        </w:tc>
        <w:tc>
          <w:tcPr>
            <w:tcW w:type="dxa" w:w="1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Sözleşmə imzalama</w:t>
            </w:r>
          </w:p>
        </w:tc>
        <w:tc>
          <w:tcPr>
            <w:tcW w:type="dxa" w:w="2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preparing loan agreement data</w:t>
            </w:r>
          </w:p>
        </w:tc>
        <w:tc>
          <w:tcPr>
            <w:tcW w:type="dxa" w:w="2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Junior Credit Consultant</w:t>
            </w:r>
          </w:p>
        </w:tc>
        <w:tc>
          <w:tcPr>
            <w:tcW w:type="dxa" w:w="23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Xeyr</w:t>
            </w:r>
          </w:p>
        </w:tc>
      </w:tr>
      <w:tr>
        <w:tc>
          <w:tcPr>
            <w:tcW w:type="dxa" w:w="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25</w:t>
            </w:r>
          </w:p>
        </w:tc>
        <w:tc>
          <w:tcPr>
            <w:tcW w:type="dxa" w:w="1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SIMA QR imza</w:t>
            </w:r>
          </w:p>
        </w:tc>
        <w:tc>
          <w:tcPr>
            <w:tcW w:type="dxa" w:w="2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sign document online</w:t>
            </w:r>
          </w:p>
        </w:tc>
        <w:tc>
          <w:tcPr>
            <w:tcW w:type="dxa" w:w="2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Junior Credit Consultant</w:t>
            </w:r>
          </w:p>
        </w:tc>
        <w:tc>
          <w:tcPr>
            <w:tcW w:type="dxa" w:w="23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Xeyr</w:t>
            </w:r>
          </w:p>
        </w:tc>
      </w:tr>
      <w:tr>
        <w:tc>
          <w:tcPr>
            <w:tcW w:type="dxa" w:w="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26</w:t>
            </w:r>
          </w:p>
        </w:tc>
        <w:tc>
          <w:tcPr>
            <w:tcW w:type="dxa" w:w="1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Vərəqələşmə</w:t>
            </w:r>
          </w:p>
        </w:tc>
        <w:tc>
          <w:tcPr>
            <w:tcW w:type="dxa" w:w="2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loan disbursement in LW</w:t>
            </w:r>
          </w:p>
        </w:tc>
        <w:tc>
          <w:tcPr>
            <w:tcW w:type="dxa" w:w="2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Junior Credit Consultant</w:t>
            </w:r>
          </w:p>
        </w:tc>
        <w:tc>
          <w:tcPr>
            <w:tcW w:type="dxa" w:w="23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Xeyr</w:t>
            </w:r>
          </w:p>
        </w:tc>
      </w:tr>
      <w:tr>
        <w:tc>
          <w:tcPr>
            <w:tcW w:type="dxa" w:w="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27</w:t>
            </w:r>
          </w:p>
        </w:tc>
        <w:tc>
          <w:tcPr>
            <w:tcW w:type="dxa" w:w="1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Promo tətbiq</w:t>
            </w:r>
          </w:p>
        </w:tc>
        <w:tc>
          <w:tcPr>
            <w:tcW w:type="dxa" w:w="2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apply promo actions</w:t>
            </w:r>
          </w:p>
        </w:tc>
        <w:tc>
          <w:tcPr>
            <w:tcW w:type="dxa" w:w="2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Avtomatik</w:t>
            </w:r>
          </w:p>
        </w:tc>
        <w:tc>
          <w:tcPr>
            <w:tcW w:type="dxa" w:w="23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Bəli</w:t>
            </w:r>
          </w:p>
        </w:tc>
      </w:tr>
      <w:tr>
        <w:tc>
          <w:tcPr>
            <w:tcW w:type="dxa" w:w="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28</w:t>
            </w:r>
          </w:p>
        </w:tc>
        <w:tc>
          <w:tcPr>
            <w:tcW w:type="dxa" w:w="1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Case bağlama</w:t>
            </w:r>
          </w:p>
        </w:tc>
        <w:tc>
          <w:tcPr>
            <w:tcW w:type="dxa" w:w="2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close case</w:t>
            </w:r>
          </w:p>
        </w:tc>
        <w:tc>
          <w:tcPr>
            <w:tcW w:type="dxa" w:w="2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Avtomatik</w:t>
            </w:r>
          </w:p>
        </w:tc>
        <w:tc>
          <w:tcPr>
            <w:tcW w:type="dxa" w:w="23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Bəli</w:t>
            </w:r>
          </w:p>
        </w:tc>
      </w:tr>
      <w:tr>
        <w:tc>
          <w:tcPr>
            <w:tcW w:type="dxa" w:w="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29</w:t>
            </w:r>
          </w:p>
        </w:tc>
        <w:tc>
          <w:tcPr>
            <w:tcW w:type="dxa" w:w="1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Aylıq ödənişlər</w:t>
            </w:r>
          </w:p>
        </w:tc>
        <w:tc>
          <w:tcPr>
            <w:tcW w:type="dxa" w:w="2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RegisterRepayment</w:t>
            </w:r>
          </w:p>
        </w:tc>
        <w:tc>
          <w:tcPr>
            <w:tcW w:type="dxa" w:w="2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Müxtəlif kanallar</w:t>
            </w:r>
          </w:p>
        </w:tc>
        <w:tc>
          <w:tcPr>
            <w:tcW w:type="dxa" w:w="23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Bəli</w:t>
            </w:r>
          </w:p>
        </w:tc>
      </w:tr>
      <w:tr>
        <w:tc>
          <w:tcPr>
            <w:tcW w:type="dxa" w:w="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30</w:t>
            </w:r>
          </w:p>
        </w:tc>
        <w:tc>
          <w:tcPr>
            <w:tcW w:type="dxa" w:w="1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Kolleksiya (gecikmə)</w:t>
            </w:r>
          </w:p>
        </w:tc>
        <w:tc>
          <w:tcPr>
            <w:tcW w:type="dxa" w:w="2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Collection BPM process</w:t>
            </w:r>
          </w:p>
        </w:tc>
        <w:tc>
          <w:tcPr>
            <w:tcW w:type="dxa" w:w="2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LO→COL→SOFT2→...→LCOL</w:t>
            </w:r>
          </w:p>
        </w:tc>
        <w:tc>
          <w:tcPr>
            <w:tcW w:type="dxa" w:w="23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Avtomatik</w:t>
            </w:r>
          </w:p>
        </w:tc>
      </w:tr>
      <w:tr>
        <w:tc>
          <w:tcPr>
            <w:tcW w:type="dxa" w:w="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31</w:t>
            </w:r>
          </w:p>
        </w:tc>
        <w:tc>
          <w:tcPr>
            <w:tcW w:type="dxa" w:w="1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Məhkəmə</w:t>
            </w:r>
          </w:p>
        </w:tc>
        <w:tc>
          <w:tcPr>
            <w:tcW w:type="dxa" w:w="2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register sending documents to court</w:t>
            </w:r>
          </w:p>
        </w:tc>
        <w:tc>
          <w:tcPr>
            <w:tcW w:type="dxa" w:w="2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SOFT2/SOFT3/SOFT4</w:t>
            </w:r>
          </w:p>
        </w:tc>
        <w:tc>
          <w:tcPr>
            <w:tcW w:type="dxa" w:w="23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Xeyr</w:t>
            </w:r>
          </w:p>
        </w:tc>
      </w:tr>
      <w:tr>
        <w:tc>
          <w:tcPr>
            <w:tcW w:type="dxa" w:w="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32</w:t>
            </w:r>
          </w:p>
        </w:tc>
        <w:tc>
          <w:tcPr>
            <w:tcW w:type="dxa" w:w="1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Write-off</w:t>
            </w:r>
          </w:p>
        </w:tc>
        <w:tc>
          <w:tcPr>
            <w:tcW w:type="dxa" w:w="2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WriteOffJob</w:t>
            </w:r>
          </w:p>
        </w:tc>
        <w:tc>
          <w:tcPr>
            <w:tcW w:type="dxa" w:w="2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Batch/Manual</w:t>
            </w:r>
          </w:p>
        </w:tc>
        <w:tc>
          <w:tcPr>
            <w:tcW w:type="dxa" w:w="23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Bəli</w:t>
            </w:r>
          </w:p>
        </w:tc>
      </w:tr>
    </w:tbl>
    <w:p>
      <w:pPr>
        <w:spacing w:after="120" w:line="276"/>
        <w:jc w:val="both"/>
      </w:pPr>
      <w:r>
        <w:rPr>
          <w:rFonts w:ascii="Calibri" w:cs="Calibri" w:eastAsia="Calibri" w:hAnsi="Calibri"/>
          <w:color w:val="1E293B"/>
          <w:sz w:val="22"/>
          <w:szCs w:val="22"/>
        </w:rPr>
        <w:t xml:space="preserve">Cədvəl 6: RCASH Nağd Kredit Tam Həyat Dövrü</w:t>
      </w:r>
    </w:p>
    <w:p>
      <w:pPr>
        <w:sectPr>
          <w:headerReference w:type="default" r:id="rId9"/>
          <w:footerReference w:type="default" r:id="rId10"/>
          <w:pgSz w:w="11906" w:h="16838" w:orient="portrait"/>
          <w:pgMar w:top="1800" w:right="1440" w:bottom="1440" w:left="1440" w:header="708" w:footer="708" w:gutter="0"/>
          <w:pgNumType/>
          <w:docGrid w:linePitch="360"/>
        </w:sectPr>
      </w:pPr>
    </w:p>
    <w:p>
      <w:pPr>
        <w:spacing w:before="6000"/>
      </w:pPr>
    </w:p>
    <w:p>
      <w:pPr>
        <w:jc w:val="center"/>
      </w:pPr>
      <w:r>
        <w:rPr>
          <w:rFonts w:ascii="Times New Roman" w:cs="Times New Roman" w:eastAsia="Times New Roman" w:hAnsi="Times New Roman"/>
          <w:b/>
          <w:bCs/>
          <w:color w:val="020617"/>
          <w:sz w:val="32"/>
          <w:szCs w:val="32"/>
        </w:rPr>
        <w:t xml:space="preserve">EMBAFINANS</w:t>
      </w:r>
    </w:p>
    <w:p>
      <w:pPr>
        <w:spacing w:before="200"/>
        <w:jc w:val="center"/>
      </w:pPr>
      <w:r>
        <w:rPr>
          <w:rFonts w:ascii="Calibri" w:cs="Calibri" w:eastAsia="Calibri" w:hAnsi="Calibri"/>
          <w:color w:val="64748B"/>
          <w:sz w:val="22"/>
          <w:szCs w:val="22"/>
        </w:rPr>
        <w:t xml:space="preserve">Loan Workbench - RCASH Kredit Prosesləri</w:t>
      </w:r>
    </w:p>
    <w:p>
      <w:pPr>
        <w:spacing w:before="200"/>
        <w:jc w:val="center"/>
      </w:pPr>
      <w:r>
        <w:rPr>
          <w:rFonts w:ascii="Calibri" w:cs="Calibri" w:eastAsia="Calibri" w:hAnsi="Calibri"/>
          <w:color w:val="94A3B8"/>
          <w:sz w:val="20"/>
          <w:szCs w:val="20"/>
        </w:rPr>
        <w:t xml:space="preserve">Daxili istifadə üçün</w:t>
      </w:r>
    </w:p>
    <w:sectPr>
      <w:headerReference w:type="default" r:id="rId11"/>
      <w:footerReference w:type="default" r:id="rId12"/>
      <w:pgSz w:w="11906" w:h="16838" w:orient="portrait"/>
      <w:pgMar w:top="0" w:right="0" w:bottom="0" w:left="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4A3B8"/>
        <w:sz w:val="18"/>
        <w:szCs w:val="18"/>
      </w:rPr>
      <w:t xml:space="preserve">Səhifə </w:t>
    </w:r>
    <w:r>
      <w:rPr>
        <w:rFonts w:ascii="Calibri" w:cs="Calibri" w:eastAsia="Calibri" w:hAnsi="Calibri"/>
        <w:color w:val="94A3B8"/>
        <w:sz w:val="18"/>
        <w:szCs w:val="18"/>
      </w:rPr>
      <w:fldChar w:fldCharType="begin"/>
      <w:instrText xml:space="preserve">PAGE</w:instrText>
      <w:fldChar w:fldCharType="separate"/>
      <w:fldChar w:fldCharType="end"/>
    </w:r>
    <w:r>
      <w:rPr>
        <w:rFonts w:ascii="Calibri" w:cs="Calibri" w:eastAsia="Calibri" w:hAnsi="Calibri"/>
        <w:color w:val="94A3B8"/>
        <w:sz w:val="18"/>
        <w:szCs w:val="18"/>
      </w:rPr>
      <w:t xml:space="preserve"> / </w:t>
    </w:r>
    <w:r>
      <w:rPr>
        <w:rFonts w:ascii="Calibri" w:cs="Calibri" w:eastAsia="Calibri" w:hAnsi="Calibri"/>
        <w:color w:val="94A3B8"/>
        <w:sz w:val="18"/>
        <w:szCs w:val="18"/>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4A3B8"/>
        <w:sz w:val="18"/>
        <w:szCs w:val="18"/>
      </w:rPr>
      <w:t xml:space="preserve">LW RCASH Kredit Prosesləri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after="160" w:before="300"/>
      <w:outlineLvl w:val="1"/>
    </w:pPr>
    <w:rPr>
      <w:rFonts w:ascii="Times New Roman" w:cs="Times New Roman" w:eastAsia="Times New Roman" w:hAnsi="Times New Roman"/>
      <w:b/>
      <w:bCs/>
      <w:color w:val="020617"/>
      <w:sz w:val="26"/>
      <w:szCs w:val="26"/>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2026-04-08T20:21:31.154Z</dcterms:created>
  <dcterms:modified xsi:type="dcterms:W3CDTF">2026-04-08T20:21:31.155Z</dcterms:modified>
</cp:coreProperties>
</file>

<file path=docProps/custom.xml><?xml version="1.0" encoding="utf-8"?>
<Properties xmlns="http://schemas.openxmlformats.org/officeDocument/2006/custom-properties" xmlns:vt="http://schemas.openxmlformats.org/officeDocument/2006/docPropsVTypes"/>
</file>