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500"/>
        <w:jc w:val="center"/>
      </w:pPr>
    </w:p>
    <w:p>
      <w:pPr>
        <w:spacing w:after="200" w:line="250"/>
        <w:jc w:val="center"/>
      </w:pPr>
      <w:r>
        <w:rPr>
          <w:rFonts w:ascii="Times New Roman" w:cs="Times New Roman" w:eastAsia="Times New Roman" w:hAnsi="Times New Roman"/>
          <w:b/>
          <w:bCs/>
          <w:color w:val="26211F"/>
          <w:sz w:val="56"/>
          <w:szCs w:val="56"/>
        </w:rPr>
        <w:t xml:space="preserve">EMBAFINANS</w:t>
      </w:r>
    </w:p>
    <w:p>
      <w:pPr>
        <w:spacing w:after="100" w:line="250"/>
        <w:jc w:val="center"/>
      </w:pPr>
      <w:r>
        <w:rPr>
          <w:rFonts w:ascii="Times New Roman" w:cs="Times New Roman" w:eastAsia="Times New Roman" w:hAnsi="Times New Roman"/>
          <w:color w:val="C19A6B"/>
          <w:sz w:val="36"/>
          <w:szCs w:val="36"/>
        </w:rPr>
        <w:t xml:space="preserve">Loan Workbench (LW)</w:t>
      </w:r>
    </w:p>
    <w:p>
      <w:pPr>
        <w:spacing w:before="600"/>
        <w:jc w:val="center"/>
      </w:pPr>
    </w:p>
    <w:p>
      <w:pPr>
        <w:spacing w:after="200" w:line="250"/>
        <w:jc w:val="center"/>
      </w:pPr>
      <w:r>
        <w:rPr>
          <w:rFonts w:ascii="Times New Roman" w:cs="Times New Roman" w:eastAsia="Times New Roman" w:hAnsi="Times New Roman"/>
          <w:b/>
          <w:bCs/>
          <w:color w:val="26211F"/>
          <w:sz w:val="44"/>
          <w:szCs w:val="44"/>
        </w:rPr>
        <w:t xml:space="preserve">Nağd Kreditin Tam Həyat Sikli</w:t>
      </w:r>
    </w:p>
    <w:p>
      <w:pPr>
        <w:spacing w:after="100" w:line="250"/>
        <w:jc w:val="center"/>
      </w:pPr>
      <w:r>
        <w:rPr>
          <w:rFonts w:ascii="Times New Roman" w:cs="Times New Roman" w:eastAsia="Times New Roman" w:hAnsi="Times New Roman"/>
          <w:color w:val="6B6361"/>
          <w:sz w:val="28"/>
          <w:szCs w:val="28"/>
        </w:rPr>
        <w:t xml:space="preserve">Müraciətdən Məhkəməyə Qədər:</w:t>
      </w:r>
    </w:p>
    <w:p>
      <w:pPr>
        <w:spacing w:after="300" w:line="250"/>
        <w:jc w:val="center"/>
      </w:pPr>
      <w:r>
        <w:rPr>
          <w:rFonts w:ascii="Times New Roman" w:cs="Times New Roman" w:eastAsia="Times New Roman" w:hAnsi="Times New Roman"/>
          <w:color w:val="6B6361"/>
          <w:sz w:val="28"/>
          <w:szCs w:val="28"/>
        </w:rPr>
        <w:t xml:space="preserve">Sistem Arxitekturası və Biznes Prosesləri</w:t>
      </w:r>
    </w:p>
    <w:p>
      <w:pPr>
        <w:spacing w:before="1500"/>
        <w:jc w:val="center"/>
      </w:pPr>
    </w:p>
    <w:p>
      <w:pPr>
        <w:spacing w:after="80" w:line="250"/>
        <w:jc w:val="center"/>
      </w:pPr>
      <w:r>
        <w:rPr>
          <w:rFonts w:ascii="Calibri" w:cs="Calibri" w:eastAsia="Calibri" w:hAnsi="Calibri"/>
          <w:color w:val="6B6361"/>
          <w:sz w:val="22"/>
          <w:szCs w:val="22"/>
        </w:rPr>
        <w:t xml:space="preserve">Tarix: 2026-04-09</w:t>
      </w:r>
    </w:p>
    <w:p>
      <w:pPr>
        <w:spacing w:after="80" w:line="250"/>
        <w:jc w:val="center"/>
      </w:pPr>
      <w:r>
        <w:rPr>
          <w:rFonts w:ascii="Calibri" w:cs="Calibri" w:eastAsia="Calibri" w:hAnsi="Calibri"/>
          <w:color w:val="6B6361"/>
          <w:sz w:val="22"/>
          <w:szCs w:val="22"/>
        </w:rPr>
        <w:t xml:space="preserve">Mənbə: Dekompillənmiş Java/Clojure kod bazası (~1.8M sətir)</w:t>
      </w:r>
    </w:p>
    <w:p>
      <w:pPr>
        <w:spacing w:after="80" w:line="250"/>
        <w:jc w:val="center"/>
      </w:pPr>
      <w:r>
        <w:rPr>
          <w:rFonts w:ascii="Calibri" w:cs="Calibri" w:eastAsia="Calibri" w:hAnsi="Calibri"/>
          <w:color w:val="6B6361"/>
          <w:sz w:val="22"/>
          <w:szCs w:val="22"/>
        </w:rPr>
        <w:t xml:space="preserve">Repozitoriya: Zam83-AZE/codes</w:t>
      </w:r>
    </w:p>
    <w:p>
      <w:pPr>
        <w:sectPr>
          <w:pgSz w:w="11906" w:h="16838" w:orient="portrait"/>
          <w:pgMar w:top="0" w:right="0" w:bottom="0" w:left="0" w:header="708" w:footer="708" w:gutter="0"/>
          <w:pgNumType/>
          <w:docGrid w:linePitch="360"/>
        </w:sectPr>
      </w:pPr>
    </w:p>
    <w:p>
      <w:pPr>
        <w:spacing w:after="200" w:line="250"/>
        <w:jc w:val="center"/>
      </w:pPr>
      <w:r>
        <w:rPr>
          <w:rFonts w:ascii="Times New Roman" w:cs="Times New Roman" w:eastAsia="Times New Roman" w:hAnsi="Times New Roman"/>
          <w:b/>
          <w:bCs/>
          <w:color w:val="26211F"/>
          <w:sz w:val="36"/>
          <w:szCs w:val="36"/>
        </w:rPr>
        <w:t xml:space="preserve">MÜNDƏRİCAT</w:t>
      </w:r>
    </w:p>
    <w:sdt>
      <w:sdtPr>
        <w:alias w:val="Mündəricat"/>
      </w:sdtPr>
      <w:sdtContent>
        <w:p>
          <w:r>
            <w:fldChar w:fldCharType="begin" w:dirty="true"/>
            <w:instrText xml:space="preserve">TOC \h \o "1-3"</w:instrText>
            <w:fldChar w:fldCharType="separate"/>
          </w:r>
        </w:p>
        <w:p>
          <w:pPr>
            <w:pStyle w:val="9"/>
            <w:tabs>
              <w:tab w:val="right" w:leader="dot" w:pos="9026"/>
            </w:tabs>
          </w:pPr>
          <w:r>
            <w:t>1. Giris ve Sistem Umumi Baxis</w:t>
          </w:r>
          <w:r>
            <w:tab/>
          </w:r>
          <w:r>
            <w:t>1</w:t>
          </w:r>
        </w:p>
        <w:p>
          <w:pPr>
            <w:pStyle w:val="9"/>
            <w:tabs>
              <w:tab w:val="right" w:leader="dot" w:pos="9026"/>
            </w:tabs>
          </w:pPr>
          <w:r>
            <w:t>2. Kredit Muraciyyetinin Yaradilmasi</w:t>
          </w:r>
          <w:r>
            <w:tab/>
          </w:r>
          <w:r>
            <w:t>4</w:t>
          </w:r>
        </w:p>
        <w:p>
          <w:pPr>
            <w:pStyle w:val="9"/>
            <w:tabs>
              <w:tab w:val="right" w:leader="dot" w:pos="9026"/>
            </w:tabs>
          </w:pPr>
          <w:r>
            <w:t>3. Musteri Verifikasiyasi ve Scoring</w:t>
          </w:r>
          <w:r>
            <w:tab/>
          </w:r>
          <w:r>
            <w:t>7</w:t>
          </w:r>
        </w:p>
        <w:p>
          <w:pPr>
            <w:pStyle w:val="9"/>
            <w:tabs>
              <w:tab w:val="right" w:leader="dot" w:pos="9026"/>
            </w:tabs>
          </w:pPr>
          <w:r>
            <w:t>4. Kredit Tesdiqi ve Kredit Komitesi</w:t>
          </w:r>
          <w:r>
            <w:tab/>
          </w:r>
          <w:r>
            <w:t>10</w:t>
          </w:r>
        </w:p>
        <w:p>
          <w:pPr>
            <w:pStyle w:val="9"/>
            <w:tabs>
              <w:tab w:val="right" w:leader="dot" w:pos="9026"/>
            </w:tabs>
          </w:pPr>
          <w:r>
            <w:t>5. Muqavile Imzalamasi</w:t>
          </w:r>
          <w:r>
            <w:tab/>
          </w:r>
          <w:r>
            <w:t>12</w:t>
          </w:r>
        </w:p>
        <w:p>
          <w:pPr>
            <w:pStyle w:val="9"/>
            <w:tabs>
              <w:tab w:val="right" w:leader="dot" w:pos="9026"/>
            </w:tabs>
          </w:pPr>
          <w:r>
            <w:t>6. Kreditin Verilmesi</w:t>
          </w:r>
          <w:r>
            <w:tab/>
          </w:r>
          <w:r>
            <w:t>14</w:t>
          </w:r>
        </w:p>
        <w:p>
          <w:pPr>
            <w:pStyle w:val="9"/>
            <w:tabs>
              <w:tab w:val="right" w:leader="dot" w:pos="9026"/>
            </w:tabs>
          </w:pPr>
          <w:r>
            <w:t>7. Normal Odənişlər</w:t>
          </w:r>
          <w:r>
            <w:tab/>
          </w:r>
          <w:r>
            <w:t>16</w:t>
          </w:r>
        </w:p>
        <w:p>
          <w:pPr>
            <w:pStyle w:val="9"/>
            <w:tabs>
              <w:tab w:val="right" w:leader="dot" w:pos="9026"/>
            </w:tabs>
          </w:pPr>
          <w:r>
            <w:t>8. Gecikmə ve Cərimələr</w:t>
          </w:r>
          <w:r>
            <w:tab/>
          </w:r>
          <w:r>
            <w:t>18</w:t>
          </w:r>
        </w:p>
        <w:p>
          <w:pPr>
            <w:pStyle w:val="9"/>
            <w:tabs>
              <w:tab w:val="right" w:leader="dot" w:pos="9026"/>
            </w:tabs>
          </w:pPr>
          <w:r>
            <w:t>9. Collection Prosesi</w:t>
          </w:r>
          <w:r>
            <w:tab/>
          </w:r>
          <w:r>
            <w:t>20</w:t>
          </w:r>
        </w:p>
        <w:p>
          <w:pPr>
            <w:pStyle w:val="9"/>
            <w:tabs>
              <w:tab w:val="right" w:leader="dot" w:pos="9026"/>
            </w:tabs>
          </w:pPr>
          <w:r>
            <w:t>10. Huquqi Actionlar, Borc Yazilmasi</w:t>
          </w:r>
          <w:r>
            <w:tab/>
          </w:r>
          <w:r>
            <w:t>24</w:t>
          </w:r>
        </w:p>
        <w:p>
          <w:r>
            <w:fldChar w:fldCharType="end"/>
          </w:r>
        </w:p>
      </w:sdtContent>
    </w:sdt>
    <w:p>
      <w:pPr>
        <w:spacing w:after="400" w:before="200" w:line="250"/>
        <w:jc w:val="center"/>
      </w:pPr>
      <w:r>
        <w:rPr>
          <w:rFonts w:ascii="Calibri" w:cs="Calibri" w:eastAsia="Calibri" w:hAnsi="Calibri"/>
          <w:color w:val="999999"/>
          <w:sz w:val="18"/>
          <w:szCs w:val="18"/>
        </w:rPr>
        <w:t xml:space="preserve">Qeyd: Mündəricatın səhifə nömrələrini yeniləmək üçün mündəricata sağ klikləyib “Update Field” seçin.</w:t>
      </w:r>
    </w:p>
    <w:p>
      <w:r>
        <w:br w:type="page"/>
      </w:r>
    </w:p>
    <w:p>
      <w:pPr>
        <w:pStyle w:val="Heading1"/>
        <w:spacing w:after="300" w:before="600" w:line="250"/>
      </w:pPr>
      <w:r>
        <w:rPr>
          <w:rFonts w:ascii="Times New Roman" w:cs="Times New Roman" w:eastAsia="Times New Roman" w:hAnsi="Times New Roman"/>
          <w:b/>
          <w:bCs/>
          <w:color w:val="26211F"/>
          <w:sz w:val="36"/>
          <w:szCs w:val="36"/>
        </w:rPr>
        <w:t xml:space="preserve">1. Giriş və Sistem Ümumi Baxışı</w:t>
      </w:r>
    </w:p>
    <w:p>
      <w:pPr>
        <w:pStyle w:val="Heading2"/>
        <w:spacing w:after="200" w:before="400" w:line="250"/>
      </w:pPr>
      <w:r>
        <w:rPr>
          <w:rFonts w:ascii="Times New Roman" w:cs="Times New Roman" w:eastAsia="Times New Roman" w:hAnsi="Times New Roman"/>
          <w:b/>
          <w:bCs/>
          <w:color w:val="26211F"/>
          <w:sz w:val="28"/>
          <w:szCs w:val="28"/>
        </w:rPr>
        <w:t xml:space="preserve">1.1 LW Sistemi Haqqında</w:t>
      </w:r>
    </w:p>
    <w:p>
      <w:pPr>
        <w:spacing w:after="120" w:line="250"/>
      </w:pPr>
      <w:r>
        <w:rPr>
          <w:rFonts w:ascii="Calibri" w:cs="Calibri" w:eastAsia="Calibri" w:hAnsi="Calibri"/>
          <w:color w:val="3D3735"/>
          <w:sz w:val="22"/>
          <w:szCs w:val="22"/>
        </w:rPr>
        <w:t xml:space="preserve">Embafinans Loan Workbench (LW) — nağd kredit müraciঙtlərinin idarə edilməsi, scoring, təsdiq, müqavilə imzalama, disbursment, u00f6dəniş qeydiyyatı, collection və hüquqi proseslərin avtomatlaşdırılması üçün nəzərdə tutulmuş müəssisələdir. Sistem Java və Clojure proqramlaşdırma dillərində yazılmış, Hibernate/JPA ilə məlumat bazası əlaqələri, jBPM ilə biznes proseslərin idarə edilməsi və Spring framework ilə dependency injection istifadə olunur. Dekompillə edilmiş kod bazası təxminən 1.8 milyon sətir kod ehtiva edir və ɟəkilində birdəf çox kompleks domain model özürməkdedər.</w:t>
      </w:r>
    </w:p>
    <w:p>
      <w:pPr>
        <w:spacing w:after="120" w:line="250"/>
      </w:pPr>
      <w:r>
        <w:rPr>
          <w:rFonts w:ascii="Calibri" w:cs="Calibri" w:eastAsia="Calibri" w:hAnsi="Calibri"/>
          <w:color w:val="3D3735"/>
          <w:sz w:val="22"/>
          <w:szCs w:val="22"/>
        </w:rPr>
        <w:t xml:space="preserve">Sistemin əsas arxitekturası təbəqat tərəfindən üç mərhələdə ayrılır: İstifadəçi interfeysi (ULC — Universal Loan Client), biznes məntiqi (BPM operations, Clojure scoring) və inteqrasiya tərəfi (xarici servislərlə bağlantı: ASAN Finance, SIMA, MKR AKB, Poçt SMS, QuickSMS, Cüzdan, Video Recording, OnePoint). Hər bir inteqrasiya xidməti özəl bir endpoint və ya REST, ya da SOAP protokolu üzrə u00e7alışır.</w:t>
      </w:r>
    </w:p>
    <w:p>
      <w:pPr>
        <w:pStyle w:val="Heading2"/>
        <w:spacing w:after="200" w:before="400" w:line="250"/>
      </w:pPr>
      <w:r>
        <w:rPr>
          <w:rFonts w:ascii="Times New Roman" w:cs="Times New Roman" w:eastAsia="Times New Roman" w:hAnsi="Times New Roman"/>
          <w:b/>
          <w:bCs/>
          <w:color w:val="26211F"/>
          <w:sz w:val="28"/>
          <w:szCs w:val="28"/>
        </w:rPr>
        <w:t xml:space="preserve">1.2 Əvəs Texnologiyalar</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800"/>
        <w:gridCol w:w="3300"/>
        <w:gridCol w:w="3260"/>
      </w:tblGrid>
      <w:tr>
        <w:trPr>
          <w:tblHeader/>
        </w:trPr>
        <w:tc>
          <w:tcPr>
            <w:tcW w:type="dxa" w:w="28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Texnologiya</w:t>
            </w:r>
          </w:p>
        </w:tc>
        <w:tc>
          <w:tcPr>
            <w:tcW w:type="dxa" w:w="33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İstifadə Sahəsi</w:t>
            </w:r>
          </w:p>
        </w:tc>
        <w:tc>
          <w:tcPr>
            <w:tcW w:type="dxa" w:w="326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Qeyd</w:t>
            </w:r>
          </w:p>
        </w:tc>
      </w:tr>
      <w:tr>
        <w:tc>
          <w:tcPr>
            <w:tcW w:type="dxa" w:w="2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Java</w:t>
            </w:r>
          </w:p>
        </w:tc>
        <w:tc>
          <w:tcPr>
            <w:tcW w:type="dxa" w:w="33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Biznes məntiqi, entity-lər, BPM operations</w:t>
            </w:r>
          </w:p>
        </w:tc>
        <w:tc>
          <w:tcPr>
            <w:tcW w:type="dxa" w:w="32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Hibernate JPA üzrə persistence</w:t>
            </w:r>
          </w:p>
        </w:tc>
      </w:tr>
      <w:tr>
        <w:tc>
          <w:tcPr>
            <w:tcW w:type="dxa" w:w="2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Clojure</w:t>
            </w:r>
          </w:p>
        </w:tc>
        <w:tc>
          <w:tcPr>
            <w:tcW w:type="dxa" w:w="33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Scoring alqoritmlarəri, cutoff qaydaları</w:t>
            </w:r>
          </w:p>
        </w:tc>
        <w:tc>
          <w:tcPr>
            <w:tcW w:type="dxa" w:w="32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JVM üzrə Java ilə inteqrasiya</w:t>
            </w:r>
          </w:p>
        </w:tc>
      </w:tr>
      <w:tr>
        <w:tc>
          <w:tcPr>
            <w:tcW w:type="dxa" w:w="2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jBPM</w:t>
            </w:r>
          </w:p>
        </w:tc>
        <w:tc>
          <w:tcPr>
            <w:tcW w:type="dxa" w:w="33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Biznes proses idarəetməsi</w:t>
            </w:r>
          </w:p>
        </w:tc>
        <w:tc>
          <w:tcPr>
            <w:tcW w:type="dxa" w:w="32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Case management, swimlanes</w:t>
            </w:r>
          </w:p>
        </w:tc>
      </w:tr>
      <w:tr>
        <w:tc>
          <w:tcPr>
            <w:tcW w:type="dxa" w:w="2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Spring</w:t>
            </w:r>
          </w:p>
        </w:tc>
        <w:tc>
          <w:tcPr>
            <w:tcW w:type="dxa" w:w="33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Dependency injection, bean lifecycle</w:t>
            </w:r>
          </w:p>
        </w:tc>
        <w:tc>
          <w:tcPr>
            <w:tcW w:type="dxa" w:w="32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Abstract beans, prototype scope</w:t>
            </w:r>
          </w:p>
        </w:tc>
      </w:tr>
      <w:tr>
        <w:tc>
          <w:tcPr>
            <w:tcW w:type="dxa" w:w="2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Hibernate/JPA</w:t>
            </w:r>
          </w:p>
        </w:tc>
        <w:tc>
          <w:tcPr>
            <w:tcW w:type="dxa" w:w="33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Məlumat bazası mapping</w:t>
            </w:r>
          </w:p>
        </w:tc>
        <w:tc>
          <w:tcPr>
            <w:tcW w:type="dxa" w:w="32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@GBReference annotations</w:t>
            </w:r>
          </w:p>
        </w:tc>
      </w:tr>
      <w:tr>
        <w:tc>
          <w:tcPr>
            <w:tcW w:type="dxa" w:w="2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ULC</w:t>
            </w:r>
          </w:p>
        </w:tc>
        <w:tc>
          <w:tcPr>
            <w:tcW w:type="dxa" w:w="33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İstifadəçi interfeysi framework</w:t>
            </w:r>
          </w:p>
        </w:tc>
        <w:tc>
          <w:tcPr>
            <w:tcW w:type="dxa" w:w="32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Canhət interfeys panelləri</w:t>
            </w:r>
          </w:p>
        </w:tc>
      </w:tr>
    </w:tbl>
    <w:p>
      <w:pPr>
        <w:spacing w:after="60" w:line="250"/>
      </w:pPr>
    </w:p>
    <w:p>
      <w:pPr>
        <w:pStyle w:val="Heading2"/>
        <w:spacing w:after="200" w:before="400" w:line="250"/>
      </w:pPr>
      <w:r>
        <w:rPr>
          <w:rFonts w:ascii="Times New Roman" w:cs="Times New Roman" w:eastAsia="Times New Roman" w:hAnsi="Times New Roman"/>
          <w:b/>
          <w:bCs/>
          <w:color w:val="26211F"/>
          <w:sz w:val="28"/>
          <w:szCs w:val="28"/>
        </w:rPr>
        <w:t xml:space="preserve">1.3 Domain Model Əvələri</w:t>
      </w:r>
    </w:p>
    <w:p>
      <w:pPr>
        <w:spacing w:after="120" w:line="250"/>
      </w:pPr>
      <w:r>
        <w:rPr>
          <w:rFonts w:ascii="Calibri" w:cs="Calibri" w:eastAsia="Calibri" w:hAnsi="Calibri"/>
          <w:color w:val="3D3735"/>
          <w:sz w:val="22"/>
          <w:szCs w:val="22"/>
        </w:rPr>
        <w:t xml:space="preserve">LW sisteminin əsas domain obyektləri bunlardır: Loan (kredit), LoanApplication (kredit müraciəti), Person (şəxs), Partner (tərəfdaş), Branch (filial), Case (BPM halı), Analysis (təhlil), RetailApplication (pərak ticarət müraciəti), ScoringCase (scoring halı), Collection (inkisaf etməmiş borc), CollectionCase (collection halı), CreditCommittee (kredit komitəsi). Hər bir kredit müraciəti bir BPM Case ilə bağlıdır və yaşayış dövrəsi boyunca mütəm olunur.</w:t>
      </w:r>
    </w:p>
    <w:p>
      <w:pPr>
        <w:pStyle w:val="Heading2"/>
        <w:spacing w:after="200" w:before="400" w:line="250"/>
      </w:pPr>
      <w:r>
        <w:rPr>
          <w:rFonts w:ascii="Times New Roman" w:cs="Times New Roman" w:eastAsia="Times New Roman" w:hAnsi="Times New Roman"/>
          <w:b/>
          <w:bCs/>
          <w:color w:val="26211F"/>
          <w:sz w:val="28"/>
          <w:szCs w:val="28"/>
        </w:rPr>
        <w:t xml:space="preserve">1.4 Kredit Status Kodları</w:t>
      </w:r>
    </w:p>
    <w:p>
      <w:pPr>
        <w:spacing w:after="120" w:line="250"/>
      </w:pPr>
      <w:r>
        <w:rPr>
          <w:rFonts w:ascii="Calibri" w:cs="Calibri" w:eastAsia="Calibri" w:hAnsi="Calibri"/>
          <w:color w:val="3D3735"/>
          <w:sz w:val="22"/>
          <w:szCs w:val="22"/>
        </w:rPr>
        <w:t xml:space="preserve">Hər bir kredit üçün sistemdə müəyyən status kodları mövcuddur. Bu kodlar kreditin yaşayış dövrəsini əks etdirir və sistem tərəfindən hər bir əməliyyatın icrası üçün əsas yoxlama meyarıdır. Status kodları Loan sinifinin statik metodları vasitəsilə filtr edilir: getOutstandingLoanStatuses(), getOutstandingOffBalanceLoanStatuses(), getCompletedLoanStatuses() və 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700"/>
        <w:gridCol w:w="2200"/>
        <w:gridCol w:w="2000"/>
        <w:gridCol w:w="2500"/>
        <w:gridCol w:w="1960"/>
      </w:tblGrid>
      <w:tr>
        <w:trPr>
          <w:tblHeader/>
        </w:trPr>
        <w:tc>
          <w:tcPr>
            <w:tcW w:type="dxa" w:w="7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Kod</w:t>
            </w:r>
          </w:p>
        </w:tc>
        <w:tc>
          <w:tcPr>
            <w:tcW w:type="dxa" w:w="22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Java Constant</w:t>
            </w:r>
          </w:p>
        </w:tc>
        <w:tc>
          <w:tcPr>
            <w:tcW w:type="dxa" w:w="20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EN</w:t>
            </w:r>
          </w:p>
        </w:tc>
        <w:tc>
          <w:tcPr>
            <w:tcW w:type="dxa" w:w="25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AZ</w:t>
            </w:r>
          </w:p>
        </w:tc>
        <w:tc>
          <w:tcPr>
            <w:tcW w:type="dxa" w:w="196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Kateqoriya</w:t>
            </w:r>
          </w:p>
        </w:tc>
      </w:tr>
      <w:tr>
        <w:tc>
          <w:tcPr>
            <w:tcW w:type="dxa" w:w="7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S001</w:t>
            </w:r>
          </w:p>
        </w:tc>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LoanStatus.New</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New</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Yeni</w:t>
            </w:r>
          </w:p>
        </w:tc>
        <w:tc>
          <w:tcPr>
            <w:tcW w:type="dxa" w:w="19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Pre-Disbursement</w:t>
            </w:r>
          </w:p>
        </w:tc>
      </w:tr>
      <w:tr>
        <w:tc>
          <w:tcPr>
            <w:tcW w:type="dxa" w:w="7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S002</w:t>
            </w:r>
          </w:p>
        </w:tc>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LoanStatus.Approved</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Approved</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Təsdiq olunmuşur</w:t>
            </w:r>
          </w:p>
        </w:tc>
        <w:tc>
          <w:tcPr>
            <w:tcW w:type="dxa" w:w="19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Pre-Disbursement</w:t>
            </w:r>
          </w:p>
        </w:tc>
      </w:tr>
      <w:tr>
        <w:tc>
          <w:tcPr>
            <w:tcW w:type="dxa" w:w="7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S004</w:t>
            </w:r>
          </w:p>
        </w:tc>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LoanStatus.RejectedAfterApproval</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Rejected after approval</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Təsdiqdən sonra rədd edilmişdər</w:t>
            </w:r>
          </w:p>
        </w:tc>
        <w:tc>
          <w:tcPr>
            <w:tcW w:type="dxa" w:w="19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Terminal</w:t>
            </w:r>
          </w:p>
        </w:tc>
      </w:tr>
      <w:tr>
        <w:tc>
          <w:tcPr>
            <w:tcW w:type="dxa" w:w="7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S005</w:t>
            </w:r>
          </w:p>
        </w:tc>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LoanStatus.Outstanding</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Outstanding</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Cari</w:t>
            </w:r>
          </w:p>
        </w:tc>
        <w:tc>
          <w:tcPr>
            <w:tcW w:type="dxa" w:w="19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Aktiv</w:t>
            </w:r>
          </w:p>
        </w:tc>
      </w:tr>
      <w:tr>
        <w:tc>
          <w:tcPr>
            <w:tcW w:type="dxa" w:w="7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S006</w:t>
            </w:r>
          </w:p>
        </w:tc>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LoanStatus.Completed</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Completed</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Bitmişdər</w:t>
            </w:r>
          </w:p>
        </w:tc>
        <w:tc>
          <w:tcPr>
            <w:tcW w:type="dxa" w:w="19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Terminal</w:t>
            </w:r>
          </w:p>
        </w:tc>
      </w:tr>
      <w:tr>
        <w:tc>
          <w:tcPr>
            <w:tcW w:type="dxa" w:w="7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S007</w:t>
            </w:r>
          </w:p>
        </w:tc>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LoanStatus.ConditionallyOutstanding</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Conditionally Outstanding</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Şərti olaraq cari</w:t>
            </w:r>
          </w:p>
        </w:tc>
        <w:tc>
          <w:tcPr>
            <w:tcW w:type="dxa" w:w="19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Aktiv</w:t>
            </w:r>
          </w:p>
        </w:tc>
      </w:tr>
      <w:tr>
        <w:tc>
          <w:tcPr>
            <w:tcW w:type="dxa" w:w="7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S008</w:t>
            </w:r>
          </w:p>
        </w:tc>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LoanStatus.CancelledOutstanding</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Cancelled Outstanding</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Cari sonra rədd edilmişdər</w:t>
            </w:r>
          </w:p>
        </w:tc>
        <w:tc>
          <w:tcPr>
            <w:tcW w:type="dxa" w:w="19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Terminal</w:t>
            </w:r>
          </w:p>
        </w:tc>
      </w:tr>
      <w:tr>
        <w:tc>
          <w:tcPr>
            <w:tcW w:type="dxa" w:w="7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S009</w:t>
            </w:r>
          </w:p>
        </w:tc>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LoanStatus.CancelledNew</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Cancelled New</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Yeni olan, ləğv edilmiş</w:t>
            </w:r>
          </w:p>
        </w:tc>
        <w:tc>
          <w:tcPr>
            <w:tcW w:type="dxa" w:w="19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Terminal</w:t>
            </w:r>
          </w:p>
        </w:tc>
      </w:tr>
      <w:tr>
        <w:tc>
          <w:tcPr>
            <w:tcW w:type="dxa" w:w="7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S010</w:t>
            </w:r>
          </w:p>
        </w:tc>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LoanStatus.OffBalance</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Off-Balance</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Balanxsız</w:t>
            </w:r>
          </w:p>
        </w:tc>
        <w:tc>
          <w:tcPr>
            <w:tcW w:type="dxa" w:w="19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Aktiv</w:t>
            </w:r>
          </w:p>
        </w:tc>
      </w:tr>
    </w:tbl>
    <w:p>
      <w:pPr>
        <w:spacing w:after="60" w:line="250"/>
      </w:pPr>
    </w:p>
    <w:p>
      <w:pPr>
        <w:pStyle w:val="Heading1"/>
        <w:spacing w:after="300" w:before="600" w:line="250"/>
      </w:pPr>
      <w:r>
        <w:rPr>
          <w:rFonts w:ascii="Times New Roman" w:cs="Times New Roman" w:eastAsia="Times New Roman" w:hAnsi="Times New Roman"/>
          <w:b/>
          <w:bCs/>
          <w:color w:val="26211F"/>
          <w:sz w:val="36"/>
          <w:szCs w:val="36"/>
        </w:rPr>
        <w:t xml:space="preserve">2. Kredit Müraciətinin Yaradılması</w:t>
      </w:r>
    </w:p>
    <w:p>
      <w:pPr>
        <w:pStyle w:val="Heading2"/>
        <w:spacing w:after="200" w:before="400" w:line="250"/>
      </w:pPr>
      <w:r>
        <w:rPr>
          <w:rFonts w:ascii="Times New Roman" w:cs="Times New Roman" w:eastAsia="Times New Roman" w:hAnsi="Times New Roman"/>
          <w:b/>
          <w:bCs/>
          <w:color w:val="26211F"/>
          <w:sz w:val="28"/>
          <w:szCs w:val="28"/>
        </w:rPr>
        <w:t xml:space="preserve">2.1 RetailApplication Sinifi</w:t>
      </w:r>
    </w:p>
    <w:p>
      <w:pPr>
        <w:spacing w:after="120" w:line="250"/>
      </w:pPr>
      <w:r>
        <w:rPr>
          <w:rFonts w:ascii="Calibri" w:cs="Calibri" w:eastAsia="Calibri" w:hAnsi="Calibri"/>
          <w:color w:val="3D3735"/>
          <w:sz w:val="22"/>
          <w:szCs w:val="22"/>
        </w:rPr>
        <w:t xml:space="preserve">Kredit müraciətinin yaratılması prosesi RetailApplication sinifi vasitəsilə həyata keçirilir (com.loanworkbench.embafinance.retail.RetailApplication). Bu sinif GBPrintable, IAuditable, GBContentContainer, IGoodsContainer, IAdditionalDataContainer və IRetailShopApplication interfeyslərini təmin edir. Müraciət yaratıldıqda avtomatik olaraq bir BPM Case açılır və kreditin bütün yaşayış dövrəsi bu case üzrə idarə olunur.</w:t>
      </w:r>
    </w:p>
    <w:p>
      <w:pPr>
        <w:pStyle w:val="Heading2"/>
        <w:spacing w:after="200" w:before="400" w:line="250"/>
      </w:pPr>
      <w:r>
        <w:rPr>
          <w:rFonts w:ascii="Times New Roman" w:cs="Times New Roman" w:eastAsia="Times New Roman" w:hAnsi="Times New Roman"/>
          <w:b/>
          <w:bCs/>
          <w:color w:val="26211F"/>
          <w:sz w:val="28"/>
          <w:szCs w:val="28"/>
        </w:rPr>
        <w:t xml:space="preserve">2.2 Əsas Sahələr</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500"/>
        <w:gridCol w:w="2500"/>
        <w:gridCol w:w="4360"/>
      </w:tblGrid>
      <w:tr>
        <w:trPr>
          <w:tblHeader/>
        </w:trPr>
        <w:tc>
          <w:tcPr>
            <w:tcW w:type="dxa" w:w="25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Sahə</w:t>
            </w:r>
          </w:p>
        </w:tc>
        <w:tc>
          <w:tcPr>
            <w:tcW w:type="dxa" w:w="25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Tip</w:t>
            </w:r>
          </w:p>
        </w:tc>
        <w:tc>
          <w:tcPr>
            <w:tcW w:type="dxa" w:w="436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Təsviri</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uuid</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String</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Unikal identifikator (LW_UUID)</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version</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Long</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Optimistic locking üçün versiya</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busCase</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Case</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BPM case — prosesin izlənməsi</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application</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LoanApplication</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Əvəl LW kredit müraciəti</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analysis</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Analysis</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Kredit təhlili</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Kredit obyekti</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branch</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Branch</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Filial (LW_BRANCH)</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clients</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List&lt;RetailClient&gt;</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Müştəri və zaminlər</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person</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Person</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Əsas müraciətçi</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disbursementFee</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LWPercent</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Disbursment faizi</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rejected</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boolean</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Rədd edilmə flaqı</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completed</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boolean</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Tamamlanma flaqı</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decisionCodes</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Set&lt;DecisionCodeAssignment&gt;</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Qərar kodları</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cardNumber / cardId</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String</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Kart məlumatları</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goods</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List&lt;Good&gt;</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Zəmanət əşyalar</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additionalData</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List&lt;AdditionalData&gt;</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XML genişlənmələr</w:t>
            </w:r>
          </w:p>
        </w:tc>
      </w:tr>
    </w:tbl>
    <w:p>
      <w:pPr>
        <w:spacing w:after="60" w:line="250"/>
      </w:pPr>
    </w:p>
    <w:p>
      <w:pPr>
        <w:pStyle w:val="Heading2"/>
        <w:spacing w:after="200" w:before="400" w:line="250"/>
      </w:pPr>
      <w:r>
        <w:rPr>
          <w:rFonts w:ascii="Times New Roman" w:cs="Times New Roman" w:eastAsia="Times New Roman" w:hAnsi="Times New Roman"/>
          <w:b/>
          <w:bCs/>
          <w:color w:val="26211F"/>
          <w:sz w:val="28"/>
          <w:szCs w:val="28"/>
        </w:rPr>
        <w:t xml:space="preserve">2.3 Müraciətin Yaradılması Metodları</w:t>
      </w:r>
    </w:p>
    <w:p>
      <w:pPr>
        <w:spacing w:after="120" w:line="250"/>
      </w:pPr>
      <w:r>
        <w:rPr>
          <w:rFonts w:ascii="Calibri" w:cs="Calibri" w:eastAsia="Calibri" w:hAnsi="Calibri"/>
          <w:color w:val="3D3735"/>
          <w:sz w:val="22"/>
          <w:szCs w:val="22"/>
        </w:rPr>
        <w:t xml:space="preserve">RetailApplication sinifində iki əsas factory metodu mövcuddur. createNewApplication(Analysis, Case, OTPData) — tam pərak ticarət müraciəti yaratmaq üçün istifadə olunur. Bu metod Analysis obyektindən məlumatlarından istifadə edərək kredit müəyyənləşdirmə məlumatlarını, OTP verifikasiya nəticəsini və BPM case-i qurur. createNewApplicationPrintingOnly(RetailClient, GBCurrency, LWDecimal, LWMoney) — yalnız u00e7ap üçün müraciət yaratmaq üçün nəzərdə tutulur.</w:t>
      </w:r>
    </w:p>
    <w:p>
      <w:pPr>
        <w:spacing w:after="120" w:line="250"/>
      </w:pPr>
      <w:r>
        <w:rPr>
          <w:rFonts w:ascii="Calibri" w:cs="Calibri" w:eastAsia="Calibri" w:hAnsi="Calibri"/>
          <w:color w:val="3D3735"/>
          <w:sz w:val="22"/>
          <w:szCs w:val="22"/>
        </w:rPr>
        <w:t xml:space="preserve">Müştəri əlavə etmək üçün getClient() metodu istifadə olunur — bu, clients siyahısının ilk elementini qaytarır. Zamin əlavə etmək üçün addGuarantor(Person, OTPData) metodu var. Zaminləri almaq üçün getGuarantors() metodu clients.subList(1, size) şəklində iş görür — yəni birinci element müştəri, qalanları isə zaminlər hesab olunur.</w:t>
      </w:r>
    </w:p>
    <w:p>
      <w:pPr>
        <w:pStyle w:val="Heading2"/>
        <w:spacing w:after="200" w:before="400" w:line="250"/>
      </w:pPr>
      <w:r>
        <w:rPr>
          <w:rFonts w:ascii="Times New Roman" w:cs="Times New Roman" w:eastAsia="Times New Roman" w:hAnsi="Times New Roman"/>
          <w:b/>
          <w:bCs/>
          <w:color w:val="26211F"/>
          <w:sz w:val="28"/>
          <w:szCs w:val="28"/>
        </w:rPr>
        <w:t xml:space="preserve">2.4 LoanApplication Hibernate Mapping</w:t>
      </w:r>
    </w:p>
    <w:p>
      <w:pPr>
        <w:spacing w:after="120" w:line="250"/>
      </w:pPr>
      <w:r>
        <w:rPr>
          <w:rFonts w:ascii="Calibri" w:cs="Calibri" w:eastAsia="Calibri" w:hAnsi="Calibri"/>
          <w:color w:val="3D3735"/>
          <w:sz w:val="22"/>
          <w:szCs w:val="22"/>
        </w:rPr>
        <w:t xml:space="preserve">LoanApplication sinifi application cədvəlini saxlayır (batch_9 line 169434). Hibernate mapping-də uuid, version, branch, partner, applicationTypeVersion, productVersion, status, disbursementDate, agreementNumber kimi sahələr müəyyən edilmişdər. LoanApplication.createNewApplication(branch, partner, applicationTypeVersion, productVersion) statik metodu yeni müraciət yaratmaq üçün istifadə olunur.</w:t>
      </w:r>
    </w:p>
    <w:p>
      <w:pPr>
        <w:pStyle w:val="Heading2"/>
        <w:spacing w:after="200" w:before="400" w:line="250"/>
      </w:pPr>
      <w:r>
        <w:rPr>
          <w:rFonts w:ascii="Times New Roman" w:cs="Times New Roman" w:eastAsia="Times New Roman" w:hAnsi="Times New Roman"/>
          <w:b/>
          <w:bCs/>
          <w:color w:val="26211F"/>
          <w:sz w:val="28"/>
          <w:szCs w:val="28"/>
        </w:rPr>
        <w:t xml:space="preserve">2.5 OTP Verifikasiyası</w:t>
      </w:r>
    </w:p>
    <w:p>
      <w:pPr>
        <w:spacing w:after="120" w:line="250"/>
      </w:pPr>
      <w:r>
        <w:rPr>
          <w:rFonts w:ascii="Calibri" w:cs="Calibri" w:eastAsia="Calibri" w:hAnsi="Calibri"/>
          <w:color w:val="3D3735"/>
          <w:sz w:val="22"/>
          <w:szCs w:val="22"/>
        </w:rPr>
        <w:t xml:space="preserve">Müraciət yaratılarkən müştərinin telefon nömrəsinə OTP (One-Time Password) göndərilir. OTP QuickSMS servisi vasitəsilə göndərilir (sms_template: OTP). OTPData obyekti saxlanılır və müraciətin yaradılması zamanı verification kimi iş görür. OTP-nin müddəti və təkrar göndərilmə qaydaları konfiqurasiyadan asılıdır.</w:t>
      </w:r>
    </w:p>
    <w:p>
      <w:pPr>
        <w:spacing w:after="120" w:line="250"/>
      </w:pPr>
      <w:r>
        <w:rPr>
          <w:rFonts w:ascii="Calibri" w:cs="Calibri" w:eastAsia="Calibri" w:hAnsi="Calibri"/>
          <w:color w:val="3D3735"/>
          <w:sz w:val="22"/>
          <w:szCs w:val="22"/>
        </w:rPr>
        <w:t xml:space="preserve">OTP göndərmək üçün istifadə olunan request formatı: login, key (MD5 şifrələnmiş), msisdn (994 formatında), text (mesaj mətni), sender, scheduled: 'NOW', unicode: false. Uğurlu cavab successMessage sahəsini ehtiva edir.</w:t>
      </w:r>
    </w:p>
    <w:p>
      <w:pPr>
        <w:pStyle w:val="Heading2"/>
        <w:spacing w:after="200" w:before="400" w:line="250"/>
      </w:pPr>
      <w:r>
        <w:rPr>
          <w:rFonts w:ascii="Times New Roman" w:cs="Times New Roman" w:eastAsia="Times New Roman" w:hAnsi="Times New Roman"/>
          <w:b/>
          <w:bCs/>
          <w:color w:val="26211F"/>
          <w:sz w:val="28"/>
          <w:szCs w:val="28"/>
        </w:rPr>
        <w:t xml:space="preserve">2.6 Müraciətin Saxlanması</w:t>
      </w:r>
    </w:p>
    <w:p>
      <w:pPr>
        <w:spacing w:after="120" w:line="250"/>
      </w:pPr>
      <w:r>
        <w:rPr>
          <w:rFonts w:ascii="Calibri" w:cs="Calibri" w:eastAsia="Calibri" w:hAnsi="Calibri"/>
          <w:color w:val="3D3735"/>
          <w:sz w:val="22"/>
          <w:szCs w:val="22"/>
        </w:rPr>
        <w:t xml:space="preserve">Müraciət yaradıldıqdan sonra sistem avtomatik olaraq LoanApplication obyektini yaradır, Analysis obyektini əlavə edir və BPM case-i açır. Müraciət S001 (New) statusunda yaradılır. Bu statusdakı kredit ləğv edilə bilər (bpmopCancelNewLoan → S009), scoring-ə göndərilə bilər, ya da rədd edilə bilər (bpmopRejectApplication). Müraciətin KV (Key Value) məlumatları additionalData siyahısında XML genişlənməsi kimi saxlanılır.</w:t>
      </w:r>
    </w:p>
    <w:p>
      <w:pPr>
        <w:pStyle w:val="Heading1"/>
        <w:spacing w:after="300" w:before="600" w:line="250"/>
      </w:pPr>
      <w:r>
        <w:rPr>
          <w:rFonts w:ascii="Times New Roman" w:cs="Times New Roman" w:eastAsia="Times New Roman" w:hAnsi="Times New Roman"/>
          <w:b/>
          <w:bCs/>
          <w:color w:val="26211F"/>
          <w:sz w:val="36"/>
          <w:szCs w:val="36"/>
        </w:rPr>
        <w:t xml:space="preserve">3. Müştəri Verifikasiyası və Scoring</w:t>
      </w:r>
    </w:p>
    <w:p>
      <w:pPr>
        <w:pStyle w:val="Heading2"/>
        <w:spacing w:after="200" w:before="400" w:line="250"/>
      </w:pPr>
      <w:r>
        <w:rPr>
          <w:rFonts w:ascii="Times New Roman" w:cs="Times New Roman" w:eastAsia="Times New Roman" w:hAnsi="Times New Roman"/>
          <w:b/>
          <w:bCs/>
          <w:color w:val="26211F"/>
          <w:sz w:val="28"/>
          <w:szCs w:val="28"/>
        </w:rPr>
        <w:t xml:space="preserve">3.1 ScoringCase Entity</w:t>
      </w:r>
    </w:p>
    <w:p>
      <w:pPr>
        <w:spacing w:after="120" w:line="250"/>
      </w:pPr>
      <w:r>
        <w:rPr>
          <w:rFonts w:ascii="Calibri" w:cs="Calibri" w:eastAsia="Calibri" w:hAnsi="Calibri"/>
          <w:color w:val="3D3735"/>
          <w:sz w:val="22"/>
          <w:szCs w:val="22"/>
        </w:rPr>
        <w:t xml:space="preserve">Scoring prosesi ScoringCase entity-si üzrə idarə olunur (addon_scor_case cədvəli). Bu entity müraciətin verifikasiya nəticələrini, AKB scoring məlumatlarını, cutoff nəticələrini və final score-u saxlayır. ScoringCase həm RetailApplication, həm də ShopApplication ilə bağlana bilər.</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2000"/>
        <w:gridCol w:w="2000"/>
        <w:gridCol w:w="3360"/>
      </w:tblGrid>
      <w:tr>
        <w:trPr>
          <w:tblHeader/>
        </w:trPr>
        <w:tc>
          <w:tcPr>
            <w:tcW w:type="dxa" w:w="20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Sahə</w:t>
            </w:r>
          </w:p>
        </w:tc>
        <w:tc>
          <w:tcPr>
            <w:tcW w:type="dxa" w:w="20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Tip</w:t>
            </w:r>
          </w:p>
        </w:tc>
        <w:tc>
          <w:tcPr>
            <w:tcW w:type="dxa" w:w="20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DB Column</w:t>
            </w:r>
          </w:p>
        </w:tc>
        <w:tc>
          <w:tcPr>
            <w:tcW w:type="dxa" w:w="336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Təsviri</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uuid</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String(32)</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uuid</w:t>
            </w:r>
          </w:p>
        </w:tc>
        <w:tc>
          <w:tcPr>
            <w:tcW w:type="dxa" w:w="3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Birincil açar</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pin</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String(7)</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pin</w:t>
            </w:r>
          </w:p>
        </w:tc>
        <w:tc>
          <w:tcPr>
            <w:tcW w:type="dxa" w:w="3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Müştəri PIN kodu</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busCase</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Case</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bus_case</w:t>
            </w:r>
          </w:p>
        </w:tc>
        <w:tc>
          <w:tcPr>
            <w:tcW w:type="dxa" w:w="3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BPM case</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retailApplication</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RetailApplication</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rappl_uuid</w:t>
            </w:r>
          </w:p>
        </w:tc>
        <w:tc>
          <w:tcPr>
            <w:tcW w:type="dxa" w:w="3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Pərak müraciəti</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akbScoring</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MKRData</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mkr_data_uuid</w:t>
            </w:r>
          </w:p>
        </w:tc>
        <w:tc>
          <w:tcPr>
            <w:tcW w:type="dxa" w:w="3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AKB scoring cavabı</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akbHistory</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MKRData</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akb_history_uuid</w:t>
            </w:r>
          </w:p>
        </w:tc>
        <w:tc>
          <w:tcPr>
            <w:tcW w:type="dxa" w:w="3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AKB kredit tarixcəsi</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asanfinanceData</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Set&lt;AsanfinanceData&gt;</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scoring_case_uuid</w:t>
            </w:r>
          </w:p>
        </w:tc>
        <w:tc>
          <w:tcPr>
            <w:tcW w:type="dxa" w:w="3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Şəxsi məlumatlar</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scorePoints</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int</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score_points</w:t>
            </w:r>
          </w:p>
        </w:tc>
        <w:tc>
          <w:tcPr>
            <w:tcW w:type="dxa" w:w="3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AKB score xalları</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preliminaryScore</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LWDecimal(20,8)</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preliminary_score</w:t>
            </w:r>
          </w:p>
        </w:tc>
        <w:tc>
          <w:tcPr>
            <w:tcW w:type="dxa" w:w="3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Preliminar bal</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score</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LWDecimal(20,8)</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score</w:t>
            </w:r>
          </w:p>
        </w:tc>
        <w:tc>
          <w:tcPr>
            <w:tcW w:type="dxa" w:w="3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Final bal</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scoreCategory</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String(10)</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score_category</w:t>
            </w:r>
          </w:p>
        </w:tc>
        <w:tc>
          <w:tcPr>
            <w:tcW w:type="dxa" w:w="3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Bal kateqoriyası</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rejectionReason</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RejectionReason</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rejection_reason</w:t>
            </w:r>
          </w:p>
        </w:tc>
        <w:tc>
          <w:tcPr>
            <w:tcW w:type="dxa" w:w="3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Rədd səbəbi (6 simvol)</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manualRejectionOverride</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boolean</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manr_over</w:t>
            </w:r>
          </w:p>
        </w:tc>
        <w:tc>
          <w:tcPr>
            <w:tcW w:type="dxa" w:w="3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Manual override</w:t>
            </w:r>
          </w:p>
        </w:tc>
      </w:tr>
    </w:tbl>
    <w:p>
      <w:pPr>
        <w:spacing w:after="60" w:line="250"/>
      </w:pPr>
    </w:p>
    <w:p>
      <w:pPr>
        <w:pStyle w:val="Heading2"/>
        <w:spacing w:after="200" w:before="400" w:line="250"/>
      </w:pPr>
      <w:r>
        <w:rPr>
          <w:rFonts w:ascii="Times New Roman" w:cs="Times New Roman" w:eastAsia="Times New Roman" w:hAnsi="Times New Roman"/>
          <w:b/>
          <w:bCs/>
          <w:color w:val="26211F"/>
          <w:sz w:val="28"/>
          <w:szCs w:val="28"/>
        </w:rPr>
        <w:t xml:space="preserve">3.2 4 Mərhələli Prescoring Kaskadı</w:t>
      </w:r>
    </w:p>
    <w:p>
      <w:pPr>
        <w:spacing w:after="120" w:line="250"/>
      </w:pPr>
      <w:r>
        <w:rPr>
          <w:rFonts w:ascii="Calibri" w:cs="Calibri" w:eastAsia="Calibri" w:hAnsi="Calibri"/>
          <w:color w:val="3D3735"/>
          <w:sz w:val="22"/>
          <w:szCs w:val="22"/>
        </w:rPr>
        <w:t xml:space="preserve">Cüzdan Pre-scoring sistemi 4 prioritet mərhələsi ilə iş görür. Hər mərhələ müəyyən qaydaları yoxlayır və rədd edərsə prosesi dayandırır (ACCEPT/REJECT qərarı). Bu kaskad sistemi CuzdanPreScoringJob sinifi (batch_4 line 110839) vasitəsilə icra olunur.</w:t>
      </w:r>
    </w:p>
    <w:p>
      <w:pPr>
        <w:pStyle w:val="Heading3"/>
        <w:spacing w:after="150" w:before="300" w:line="250"/>
      </w:pPr>
      <w:r>
        <w:rPr>
          <w:rFonts w:ascii="Times New Roman" w:cs="Times New Roman" w:eastAsia="Times New Roman" w:hAnsi="Times New Roman"/>
          <w:b/>
          <w:bCs/>
          <w:color w:val="6B6361"/>
          <w:sz w:val="24"/>
          <w:szCs w:val="24"/>
        </w:rPr>
        <w:t xml:space="preserve">3.2.1 Priority 1 — Rejection History Rules (R_1010–R_1110)</w:t>
      </w:r>
    </w:p>
    <w:p>
      <w:pPr>
        <w:spacing w:after="120" w:line="250"/>
      </w:pPr>
      <w:r>
        <w:rPr>
          <w:rFonts w:ascii="Calibri" w:cs="Calibri" w:eastAsia="Calibri" w:hAnsi="Calibri"/>
          <w:color w:val="3D3735"/>
          <w:sz w:val="22"/>
          <w:szCs w:val="22"/>
        </w:rPr>
        <w:t xml:space="preserve">Birinci prioritet müraciətçinin son rədd edilmə tarixini yoxlayır. Əgər müraciətçi son 15 gün ərzində rədd edilibsə, son 90 gün ərzində 2 dəfə rədd edilibsə, və ya son 3 gün ərzində rədd edilibsə, müraciət avtomatik olaraq rədd olunur. Həmçinin aktiv OnePoint kreditləri yoxlanılır. Bu qaydalar cutoff-priority1-check-prescoring Clojure funksiyasında müəyyən edilmişdər.</w:t>
      </w:r>
    </w:p>
    <w:p>
      <w:pPr>
        <w:pStyle w:val="Heading3"/>
        <w:spacing w:after="150" w:before="300" w:line="250"/>
      </w:pPr>
      <w:r>
        <w:rPr>
          <w:rFonts w:ascii="Times New Roman" w:cs="Times New Roman" w:eastAsia="Times New Roman" w:hAnsi="Times New Roman"/>
          <w:b/>
          <w:bCs/>
          <w:color w:val="6B6361"/>
          <w:sz w:val="24"/>
          <w:szCs w:val="24"/>
        </w:rPr>
        <w:t xml:space="preserve">3.2.2 Priority 2 — Yaş Yoxlaması (R_2010)</w:t>
      </w:r>
    </w:p>
    <w:p>
      <w:pPr>
        <w:spacing w:after="120" w:line="250"/>
      </w:pPr>
      <w:r>
        <w:rPr>
          <w:rFonts w:ascii="Calibri" w:cs="Calibri" w:eastAsia="Calibri" w:hAnsi="Calibri"/>
          <w:color w:val="3D3735"/>
          <w:sz w:val="22"/>
          <w:szCs w:val="22"/>
        </w:rPr>
        <w:t xml:space="preserve">u018kinci prioritet müraciətçinin yaşını yoxlayır. Minimum yaş 20, maksimum yaş 65 olmalıdır. Bu məlumat ASAN Finance Personal Info xidmətindən (IPersonalInfoService.getPersonalInfo) alınan birthDate sahəsi üzrə hesablanır. cutoff-priority2-check-prescoring funksiyası bu yoxlamamı icra edir.</w:t>
      </w:r>
    </w:p>
    <w:p>
      <w:pPr>
        <w:pStyle w:val="Heading3"/>
        <w:spacing w:after="150" w:before="300" w:line="250"/>
      </w:pPr>
      <w:r>
        <w:rPr>
          <w:rFonts w:ascii="Times New Roman" w:cs="Times New Roman" w:eastAsia="Times New Roman" w:hAnsi="Times New Roman"/>
          <w:b/>
          <w:bCs/>
          <w:color w:val="6B6361"/>
          <w:sz w:val="24"/>
          <w:szCs w:val="24"/>
        </w:rPr>
        <w:t xml:space="preserve">3.2.3 Priority 3 — Exception və AKB Score (R_3010, R_3020)</w:t>
      </w:r>
    </w:p>
    <w:p>
      <w:pPr>
        <w:spacing w:after="120" w:line="250"/>
      </w:pPr>
      <w:r>
        <w:rPr>
          <w:rFonts w:ascii="Calibri" w:cs="Calibri" w:eastAsia="Calibri" w:hAnsi="Calibri"/>
          <w:color w:val="3D3735"/>
          <w:sz w:val="22"/>
          <w:szCs w:val="22"/>
        </w:rPr>
        <w:t xml:space="preserve">Üçüncü prioritet iki qayda yoxlayır: (1) Exception reason kodları (AB/TY/NI/NU) müəyyən edir — bu kodları olan müraciətlər xüsusi yoxlamadan keçir; (2) AKB scoring nəticəsi ən az 200 olmalıdır — 200-dən aşağı score avtomatik rəddə səbəb olur. AKB scoring MKRController.callScoring(pin, passport, person) metodu vasitəsilə u00e7ağırılır.</w:t>
      </w:r>
    </w:p>
    <w:p>
      <w:pPr>
        <w:pStyle w:val="Heading3"/>
        <w:spacing w:after="150" w:before="300" w:line="250"/>
      </w:pPr>
      <w:r>
        <w:rPr>
          <w:rFonts w:ascii="Times New Roman" w:cs="Times New Roman" w:eastAsia="Times New Roman" w:hAnsi="Times New Roman"/>
          <w:b/>
          <w:bCs/>
          <w:color w:val="6B6361"/>
          <w:sz w:val="24"/>
          <w:szCs w:val="24"/>
        </w:rPr>
        <w:t xml:space="preserve">3.2.4 Priority 4 — Gecikmə və Delinquency (R_4020, R_4021)</w:t>
      </w:r>
    </w:p>
    <w:p>
      <w:pPr>
        <w:spacing w:after="120" w:line="250"/>
      </w:pPr>
      <w:r>
        <w:rPr>
          <w:rFonts w:ascii="Calibri" w:cs="Calibri" w:eastAsia="Calibri" w:hAnsi="Calibri"/>
          <w:color w:val="3D3735"/>
          <w:sz w:val="22"/>
          <w:szCs w:val="22"/>
        </w:rPr>
        <w:t xml:space="preserve">Dördüncü prioritet müraciətçinin cari öhdəliklərini yoxlayır: əgər cari gecikmə məbləği 10 AZN-dan çoxdursa və ya maksimum delinquency günü 0 deyilsə (heç bir gün gecikmə yoxdursa), müraciət rədd olunur. Bu məlumat MKRController.callInquireByIdCard vasitəsilə AKB credit history-dan alınır.</w:t>
      </w:r>
    </w:p>
    <w:p>
      <w:pPr>
        <w:pStyle w:val="Heading2"/>
        <w:spacing w:after="200" w:before="400" w:line="250"/>
      </w:pPr>
      <w:r>
        <w:rPr>
          <w:rFonts w:ascii="Times New Roman" w:cs="Times New Roman" w:eastAsia="Times New Roman" w:hAnsi="Times New Roman"/>
          <w:b/>
          <w:bCs/>
          <w:color w:val="26211F"/>
          <w:sz w:val="28"/>
          <w:szCs w:val="28"/>
        </w:rPr>
        <w:t xml:space="preserve">3.3 Xarici Servis İnteqrasiyaları</w:t>
      </w:r>
    </w:p>
    <w:p>
      <w:pPr>
        <w:spacing w:after="120" w:line="250"/>
      </w:pPr>
      <w:r>
        <w:rPr>
          <w:rFonts w:ascii="Calibri" w:cs="Calibri" w:eastAsia="Calibri" w:hAnsi="Calibri"/>
          <w:color w:val="3D3735"/>
          <w:sz w:val="22"/>
          <w:szCs w:val="22"/>
        </w:rPr>
        <w:t xml:space="preserve">Scoring prosesi zamanı üç xarici servis u00e7ağırılır:</w:t>
      </w:r>
    </w:p>
    <w:p>
      <w:pPr>
        <w:spacing w:after="120" w:line="250"/>
      </w:pPr>
      <w:r>
        <w:rPr>
          <w:rFonts w:ascii="Calibri" w:cs="Calibri" w:eastAsia="Calibri" w:hAnsi="Calibri"/>
          <w:b/>
          <w:bCs/>
          <w:color w:val="3D3735"/>
          <w:sz w:val="22"/>
          <w:szCs w:val="22"/>
        </w:rPr>
        <w:t xml:space="preserve">ASAN Finance</w:t>
      </w:r>
      <w:r>
        <w:rPr>
          <w:rFonts w:ascii="Calibri" w:cs="Calibri" w:eastAsia="Calibri" w:hAnsi="Calibri"/>
          <w:color w:val="3D3735"/>
          <w:sz w:val="22"/>
          <w:szCs w:val="22"/>
        </w:rPr>
        <w:t xml:space="preserve"> — IPersonalInfoService.getPersonalInfo(pin, passport, person) — müştərinin şəxsi məlumatlarını (ad, soyad, ata adı, doğum tarixi, sənəd məlumatları, adres) ASAN xidmətindən alır. Bu məlumatlar scoring_case_uuid ilə ScoringCase-ə bağlanır.</w:t>
      </w:r>
    </w:p>
    <w:p>
      <w:pPr>
        <w:spacing w:after="120" w:line="250"/>
      </w:pPr>
      <w:r>
        <w:rPr>
          <w:rFonts w:ascii="Calibri" w:cs="Calibri" w:eastAsia="Calibri" w:hAnsi="Calibri"/>
          <w:b/>
          <w:bCs/>
          <w:color w:val="3D3735"/>
          <w:sz w:val="22"/>
          <w:szCs w:val="22"/>
        </w:rPr>
        <w:t xml:space="preserve">MKR AKB Scoring</w:t>
      </w:r>
      <w:r>
        <w:rPr>
          <w:rFonts w:ascii="Calibri" w:cs="Calibri" w:eastAsia="Calibri" w:hAnsi="Calibri"/>
          <w:color w:val="3D3735"/>
          <w:sz w:val="22"/>
          <w:szCs w:val="22"/>
        </w:rPr>
        <w:t xml:space="preserve"> — MKRController.callScoring(pin, passport, person) — Mərkəzi Kredit Bürosundan kredit skorunu alır. REST JSON endpoint: POST {url}/api/v1/inq/score-report/create/ex. Cavabda scorePoints, calculated, point, category, pdRate sahələri olur.</w:t>
      </w:r>
    </w:p>
    <w:p>
      <w:pPr>
        <w:spacing w:after="120" w:line="250"/>
      </w:pPr>
      <w:r>
        <w:rPr>
          <w:rFonts w:ascii="Calibri" w:cs="Calibri" w:eastAsia="Calibri" w:hAnsi="Calibri"/>
          <w:b/>
          <w:bCs/>
          <w:color w:val="3D3735"/>
          <w:sz w:val="22"/>
          <w:szCs w:val="22"/>
        </w:rPr>
        <w:t xml:space="preserve">MKR AKB Credit History</w:t>
      </w:r>
      <w:r>
        <w:rPr>
          <w:rFonts w:ascii="Calibri" w:cs="Calibri" w:eastAsia="Calibri" w:hAnsi="Calibri"/>
          <w:color w:val="3D3735"/>
          <w:sz w:val="22"/>
          <w:szCs w:val="22"/>
        </w:rPr>
        <w:t xml:space="preserve"> — MKRController.callInquireByIdCard(pin, passport, branch, person) — tam kredit tarixcəsini SOAP XML şəklində alır. Cavabda liability massivi (37 sahə), creditHistoryLine, borrower, score məlumatları olur.</w:t>
      </w:r>
    </w:p>
    <w:p>
      <w:pPr>
        <w:pStyle w:val="Heading2"/>
        <w:spacing w:after="200" w:before="400" w:line="250"/>
      </w:pPr>
      <w:r>
        <w:rPr>
          <w:rFonts w:ascii="Times New Roman" w:cs="Times New Roman" w:eastAsia="Times New Roman" w:hAnsi="Times New Roman"/>
          <w:b/>
          <w:bCs/>
          <w:color w:val="26211F"/>
          <w:sz w:val="28"/>
          <w:szCs w:val="28"/>
        </w:rPr>
        <w:t xml:space="preserve">3.4 Score Hesablanması</w:t>
      </w:r>
    </w:p>
    <w:p>
      <w:pPr>
        <w:spacing w:after="120" w:line="250"/>
      </w:pPr>
      <w:r>
        <w:rPr>
          <w:rFonts w:ascii="Calibri" w:cs="Calibri" w:eastAsia="Calibri" w:hAnsi="Calibri"/>
          <w:color w:val="3D3735"/>
          <w:sz w:val="22"/>
          <w:szCs w:val="22"/>
        </w:rPr>
        <w:t xml:space="preserve">Scoring nəticəsi iki mərhələ hesablanır: preliminaryScore (preliminar bal) və score (final bal). Clojure scoring modulu fill-scoring-data-rval funksiyası vasitəsilə score card doldurulur. scoring-result funksiyası [preliminaryScore, decision] massivi qaytarır. Score kateqoriyası (scoreCategory) konfiqurasiyadan asılı olaraq müəyyən edilir.</w:t>
      </w:r>
    </w:p>
    <w:p>
      <w:pPr>
        <w:spacing w:after="120" w:line="250"/>
      </w:pPr>
      <w:r>
        <w:rPr>
          <w:rFonts w:ascii="Calibri" w:cs="Calibri" w:eastAsia="Calibri" w:hAnsi="Calibri"/>
          <w:color w:val="3D3735"/>
          <w:sz w:val="22"/>
          <w:szCs w:val="22"/>
        </w:rPr>
        <w:t xml:space="preserve">Rədd edilmə hallarında: sms_template APLREJ istifadə olunaraq müştəriyə SMS göndərilir, bpmopRejectApplication və ya bpmopRejectAnalysis BPM əməliyyatı icra olunur. Manual override imkanı da mövcuddur — manualRejectionOverride sahəsi true olarsa, avtomatik rədd ləğv edilə bilər.</w:t>
      </w:r>
    </w:p>
    <w:p>
      <w:pPr>
        <w:pStyle w:val="Heading1"/>
        <w:spacing w:after="300" w:before="600" w:line="250"/>
      </w:pPr>
      <w:r>
        <w:rPr>
          <w:rFonts w:ascii="Times New Roman" w:cs="Times New Roman" w:eastAsia="Times New Roman" w:hAnsi="Times New Roman"/>
          <w:b/>
          <w:bCs/>
          <w:color w:val="26211F"/>
          <w:sz w:val="36"/>
          <w:szCs w:val="36"/>
        </w:rPr>
        <w:t xml:space="preserve">4. Kredit Təsdiqi və Kredit Komitəsi</w:t>
      </w:r>
    </w:p>
    <w:p>
      <w:pPr>
        <w:pStyle w:val="Heading2"/>
        <w:spacing w:after="200" w:before="400" w:line="250"/>
      </w:pPr>
      <w:r>
        <w:rPr>
          <w:rFonts w:ascii="Times New Roman" w:cs="Times New Roman" w:eastAsia="Times New Roman" w:hAnsi="Times New Roman"/>
          <w:b/>
          <w:bCs/>
          <w:color w:val="26211F"/>
          <w:sz w:val="28"/>
          <w:szCs w:val="28"/>
        </w:rPr>
        <w:t xml:space="preserve">4.1 Approval Workflow</w:t>
      </w:r>
    </w:p>
    <w:p>
      <w:pPr>
        <w:spacing w:after="120" w:line="250"/>
      </w:pPr>
      <w:r>
        <w:rPr>
          <w:rFonts w:ascii="Calibri" w:cs="Calibri" w:eastAsia="Calibri" w:hAnsi="Calibri"/>
          <w:color w:val="3D3735"/>
          <w:sz w:val="22"/>
          <w:szCs w:val="22"/>
        </w:rPr>
        <w:t xml:space="preserve">Scoring uğurla tamamlandıqdan sonra kredit S001 (New) statusundan S002 (Approved) statusuna keçir. Bu keçid bir neç BPM əməliyyatı vasitəsilə həyata keçirilir. Əgər müraciət rədd edilərsə, S001-dən S009 (Cancelled New) statusuna keçir. Təsdiq olunduqdan sonra isə kredit imzalama mərhələsinə ötürülür.</w:t>
      </w:r>
    </w:p>
    <w:p>
      <w:pPr>
        <w:pStyle w:val="Heading2"/>
        <w:spacing w:after="200" w:before="400" w:line="250"/>
      </w:pPr>
      <w:r>
        <w:rPr>
          <w:rFonts w:ascii="Times New Roman" w:cs="Times New Roman" w:eastAsia="Times New Roman" w:hAnsi="Times New Roman"/>
          <w:b/>
          <w:bCs/>
          <w:color w:val="26211F"/>
          <w:sz w:val="28"/>
          <w:szCs w:val="28"/>
        </w:rPr>
        <w:t xml:space="preserve">4.2 BPM Təsdiq Əməliyyatları</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200"/>
        <w:gridCol w:w="3200"/>
        <w:gridCol w:w="2960"/>
      </w:tblGrid>
      <w:tr>
        <w:trPr>
          <w:tblHeader/>
        </w:trPr>
        <w:tc>
          <w:tcPr>
            <w:tcW w:type="dxa" w:w="32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BPM Operation Class</w:t>
            </w:r>
          </w:p>
        </w:tc>
        <w:tc>
          <w:tcPr>
            <w:tcW w:type="dxa" w:w="32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Təsvir</w:t>
            </w:r>
          </w:p>
        </w:tc>
        <w:tc>
          <w:tcPr>
            <w:tcW w:type="dxa" w:w="296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Status Dəyişikliyi</w:t>
            </w:r>
          </w:p>
        </w:tc>
      </w:tr>
      <w:tr>
        <w:tc>
          <w:tcPr>
            <w:tcW w:type="dxa" w:w="3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bpmopCancelNewLoan</w:t>
            </w:r>
          </w:p>
        </w:tc>
        <w:tc>
          <w:tcPr>
            <w:tcW w:type="dxa" w:w="3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Yeni krediti ləğv edir</w:t>
            </w:r>
          </w:p>
        </w:tc>
        <w:tc>
          <w:tcPr>
            <w:tcW w:type="dxa" w:w="29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S001 → S009</w:t>
            </w:r>
          </w:p>
        </w:tc>
      </w:tr>
      <w:tr>
        <w:tc>
          <w:tcPr>
            <w:tcW w:type="dxa" w:w="3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bpmopRejectAnalysis</w:t>
            </w:r>
          </w:p>
        </w:tc>
        <w:tc>
          <w:tcPr>
            <w:tcW w:type="dxa" w:w="3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Təhlil mərhələsində rədd edir</w:t>
            </w:r>
          </w:p>
        </w:tc>
        <w:tc>
          <w:tcPr>
            <w:tcW w:type="dxa" w:w="29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S001 → Terminal</w:t>
            </w:r>
          </w:p>
        </w:tc>
      </w:tr>
      <w:tr>
        <w:tc>
          <w:tcPr>
            <w:tcW w:type="dxa" w:w="3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bpmopRejectApplication</w:t>
            </w:r>
          </w:p>
        </w:tc>
        <w:tc>
          <w:tcPr>
            <w:tcW w:type="dxa" w:w="3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Müraciəti rədd edir</w:t>
            </w:r>
          </w:p>
        </w:tc>
        <w:tc>
          <w:tcPr>
            <w:tcW w:type="dxa" w:w="29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S001 → Terminal</w:t>
            </w:r>
          </w:p>
        </w:tc>
      </w:tr>
      <w:tr>
        <w:tc>
          <w:tcPr>
            <w:tcW w:type="dxa" w:w="3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bpmopRejectApprovedLoan</w:t>
            </w:r>
          </w:p>
        </w:tc>
        <w:tc>
          <w:tcPr>
            <w:tcW w:type="dxa" w:w="3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Təsdiqdən sonra rədd edir</w:t>
            </w:r>
          </w:p>
        </w:tc>
        <w:tc>
          <w:tcPr>
            <w:tcW w:type="dxa" w:w="29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S002 → S004</w:t>
            </w:r>
          </w:p>
        </w:tc>
      </w:tr>
      <w:tr>
        <w:tc>
          <w:tcPr>
            <w:tcW w:type="dxa" w:w="3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bpmopCancelRetailCase</w:t>
            </w:r>
          </w:p>
        </w:tc>
        <w:tc>
          <w:tcPr>
            <w:tcW w:type="dxa" w:w="3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Pərak ticarət halını ləğv edir</w:t>
            </w:r>
          </w:p>
        </w:tc>
        <w:tc>
          <w:tcPr>
            <w:tcW w:type="dxa" w:w="29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 Terminal</w:t>
            </w:r>
          </w:p>
        </w:tc>
      </w:tr>
    </w:tbl>
    <w:p>
      <w:pPr>
        <w:spacing w:after="60" w:line="250"/>
      </w:pPr>
    </w:p>
    <w:p>
      <w:pPr>
        <w:pStyle w:val="Heading2"/>
        <w:spacing w:after="200" w:before="400" w:line="250"/>
      </w:pPr>
      <w:r>
        <w:rPr>
          <w:rFonts w:ascii="Times New Roman" w:cs="Times New Roman" w:eastAsia="Times New Roman" w:hAnsi="Times New Roman"/>
          <w:b/>
          <w:bCs/>
          <w:color w:val="26211F"/>
          <w:sz w:val="28"/>
          <w:szCs w:val="28"/>
        </w:rPr>
        <w:t xml:space="preserve">4.3 Credit Committee (Kredit Komitəsi)</w:t>
      </w:r>
    </w:p>
    <w:p>
      <w:pPr>
        <w:spacing w:after="120" w:line="250"/>
      </w:pPr>
      <w:r>
        <w:rPr>
          <w:rFonts w:ascii="Calibri" w:cs="Calibri" w:eastAsia="Calibri" w:hAnsi="Calibri"/>
          <w:color w:val="3D3735"/>
          <w:sz w:val="22"/>
          <w:szCs w:val="22"/>
        </w:rPr>
        <w:t xml:space="preserve">Bəzi kredit müraciətləri avtomatik təsdiq oluna bilməz — bu hallarda Credit Committee (Kredit Komitəsi) yaradılır. Credit Committee sinifi (com.loanworkbench.data.contract.CreditCommittee) LW_CREDIT_COMMITTEE cədvəlində saxlanılır. Komitə iştirakçıları səs verir və qərar qəbul edilir.</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500"/>
        <w:gridCol w:w="2500"/>
        <w:gridCol w:w="4360"/>
      </w:tblGrid>
      <w:tr>
        <w:trPr>
          <w:tblHeader/>
        </w:trPr>
        <w:tc>
          <w:tcPr>
            <w:tcW w:type="dxa" w:w="25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Sahə</w:t>
            </w:r>
          </w:p>
        </w:tc>
        <w:tc>
          <w:tcPr>
            <w:tcW w:type="dxa" w:w="25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Tip</w:t>
            </w:r>
          </w:p>
        </w:tc>
        <w:tc>
          <w:tcPr>
            <w:tcW w:type="dxa" w:w="436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Təsviri</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uuid</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String</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UUID</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branch</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Branch</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Filial</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responsible</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User</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Məsul istifadəçi</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date</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LWDate</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KK tarixi</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partner</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Partner</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Müştəri</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Kredit</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participants</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List&lt;CCParticipant&gt;</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Səs verənlər</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proposedDecision</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String</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Təklif olunan qərar</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decision</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String</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Final qərar</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result</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CreditCommitteeResult</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Nəticə</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status</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CreditCommitteeStatus</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Status</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endorsements</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Set&lt;Endorsement&gt;</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Səslər</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creditCommitteeLoans</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List&lt;CreditCommitteeLoan&gt;</w:t>
            </w:r>
          </w:p>
        </w:tc>
        <w:tc>
          <w:tcPr>
            <w:tcW w:type="dxa" w:w="43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KK altında olan kreditlər</w:t>
            </w:r>
          </w:p>
        </w:tc>
      </w:tr>
    </w:tbl>
    <w:p>
      <w:pPr>
        <w:spacing w:after="60" w:line="250"/>
      </w:pPr>
    </w:p>
    <w:p>
      <w:pPr>
        <w:pStyle w:val="Heading2"/>
        <w:spacing w:after="200" w:before="400" w:line="250"/>
      </w:pPr>
      <w:r>
        <w:rPr>
          <w:rFonts w:ascii="Times New Roman" w:cs="Times New Roman" w:eastAsia="Times New Roman" w:hAnsi="Times New Roman"/>
          <w:b/>
          <w:bCs/>
          <w:color w:val="26211F"/>
          <w:sz w:val="28"/>
          <w:szCs w:val="28"/>
        </w:rPr>
        <w:t xml:space="preserve">4.4 Product-Code Routing</w:t>
      </w:r>
    </w:p>
    <w:p>
      <w:pPr>
        <w:spacing w:after="120" w:line="250"/>
      </w:pPr>
      <w:r>
        <w:rPr>
          <w:rFonts w:ascii="Calibri" w:cs="Calibri" w:eastAsia="Calibri" w:hAnsi="Calibri"/>
          <w:color w:val="3D3735"/>
          <w:sz w:val="22"/>
          <w:szCs w:val="22"/>
        </w:rPr>
        <w:t xml:space="preserve">Təsdiq prosesi müraciətin məhsul kodundan asılıdır. BPM XPath şərtləri product OID prefix-inə əsasən routing edir: EMB — standart pərak ticarət; EKC, MEB, EMH — müxtəlif məhsul tipləri; MBK, INF, SIF — bankinq məhsulları; MEA, BON, NGR, BES, STK — digər məhsullar; NGD, ABC, HQZ, LAZ — əlavə məhsullar; RBC, RST, ACZ — qalan məhsullar. Hər bir product code üçün fərqli signing flow mövcuddur.</w:t>
      </w:r>
    </w:p>
    <w:p>
      <w:pPr>
        <w:pStyle w:val="Heading1"/>
        <w:spacing w:after="300" w:before="600" w:line="250"/>
      </w:pPr>
      <w:r>
        <w:rPr>
          <w:rFonts w:ascii="Times New Roman" w:cs="Times New Roman" w:eastAsia="Times New Roman" w:hAnsi="Times New Roman"/>
          <w:b/>
          <w:bCs/>
          <w:color w:val="26211F"/>
          <w:sz w:val="36"/>
          <w:szCs w:val="36"/>
        </w:rPr>
        <w:t xml:space="preserve">5. Müqavilə İmzalaması</w:t>
      </w:r>
    </w:p>
    <w:p>
      <w:pPr>
        <w:pStyle w:val="Heading2"/>
        <w:spacing w:after="200" w:before="400" w:line="250"/>
      </w:pPr>
      <w:r>
        <w:rPr>
          <w:rFonts w:ascii="Times New Roman" w:cs="Times New Roman" w:eastAsia="Times New Roman" w:hAnsi="Times New Roman"/>
          <w:b/>
          <w:bCs/>
          <w:color w:val="26211F"/>
          <w:sz w:val="28"/>
          <w:szCs w:val="28"/>
        </w:rPr>
        <w:t xml:space="preserve">5.1 LoanAgreementSignPane</w:t>
      </w:r>
    </w:p>
    <w:p>
      <w:pPr>
        <w:spacing w:after="120" w:line="250"/>
      </w:pPr>
      <w:r>
        <w:rPr>
          <w:rFonts w:ascii="Calibri" w:cs="Calibri" w:eastAsia="Calibri" w:hAnsi="Calibri"/>
          <w:color w:val="3D3735"/>
          <w:sz w:val="22"/>
          <w:szCs w:val="22"/>
        </w:rPr>
        <w:t xml:space="preserve">Kredit təsdiq olunduqdan sonra müqavilə imzalama mərhələsinə keçilir. Bu mərhələ LoanAgreementSignPane sinifi vasitəsilə idarə olunur. Pane müqavilənin başlanma və bitmə tarixlərini, imzalanma statusunu, ödəniş cədvəlini, faizləri, sığorta müqavilələrini, bank hesablarını və disbursment formasını ehtiva edir.</w:t>
      </w:r>
    </w:p>
    <w:p>
      <w:pPr>
        <w:pStyle w:val="Heading2"/>
        <w:spacing w:after="200" w:before="400" w:line="250"/>
      </w:pPr>
      <w:r>
        <w:rPr>
          <w:rFonts w:ascii="Times New Roman" w:cs="Times New Roman" w:eastAsia="Times New Roman" w:hAnsi="Times New Roman"/>
          <w:b/>
          <w:bCs/>
          <w:color w:val="26211F"/>
          <w:sz w:val="28"/>
          <w:szCs w:val="28"/>
        </w:rPr>
        <w:t xml:space="preserve">5.2 SIMA Rəqəmsal İmza</w:t>
      </w:r>
    </w:p>
    <w:p>
      <w:pPr>
        <w:spacing w:after="120" w:line="250"/>
      </w:pPr>
      <w:r>
        <w:rPr>
          <w:rFonts w:ascii="Calibri" w:cs="Calibri" w:eastAsia="Calibri" w:hAnsi="Calibri"/>
          <w:color w:val="3D3735"/>
          <w:sz w:val="22"/>
          <w:szCs w:val="22"/>
        </w:rPr>
        <w:t xml:space="preserve">Müqavilənin rəqəmsal imzalanması ASAN SIMA platforması vasitəsilə həyata keçirilir. SIMA xidməti /services/SIMAService endpoint-i üzərindən çalışır. Proses belədir: (1) Mobil tətbiqə yönləndirmə URL-i yaradılır; (2) Müştəri SIMA mobil app-də autentifikasiya edir (Type: Auth); (3) Callback URL-ə cavab qayıdır; (4) Sənəd imzalanır (Type: Sign); (5) İmzalanmış sənəd base64 formatında yüklənilir.</w:t>
      </w:r>
    </w:p>
    <w:p>
      <w:pPr>
        <w:spacing w:after="120" w:line="250"/>
      </w:pPr>
      <w:r>
        <w:rPr>
          <w:rFonts w:ascii="Calibri" w:cs="Calibri" w:eastAsia="Calibri" w:hAnsi="Calibri"/>
          <w:color w:val="3D3735"/>
          <w:sz w:val="22"/>
          <w:szCs w:val="22"/>
        </w:rPr>
        <w:t xml:space="preserve">SIMA-nın əsas endpoint-ləri: Challenge — GET /services/SIMAService/challenge?tsquery={timestamp}; Auth callback — POST /services/SIMAService/auth; SMS KYC link — GET /services/SIMAService/sms/{id}; Document download — GET /services/SIMAService/download/{id}; Document upload — POST /services/SIMAService/upload/{id}. Runtime-da useAzintelekomSima volatile Boolean dəyişəni ilə alternativ provider-ə keçid mümkündür.</w:t>
      </w:r>
    </w:p>
    <w:p>
      <w:pPr>
        <w:pStyle w:val="Heading2"/>
        <w:spacing w:after="200" w:before="400" w:line="250"/>
      </w:pPr>
      <w:r>
        <w:rPr>
          <w:rFonts w:ascii="Times New Roman" w:cs="Times New Roman" w:eastAsia="Times New Roman" w:hAnsi="Times New Roman"/>
          <w:b/>
          <w:bCs/>
          <w:color w:val="26211F"/>
          <w:sz w:val="28"/>
          <w:szCs w:val="28"/>
        </w:rPr>
        <w:t xml:space="preserve">5.3 Video Recording</w:t>
      </w:r>
    </w:p>
    <w:p>
      <w:pPr>
        <w:spacing w:after="120" w:line="250"/>
      </w:pPr>
      <w:r>
        <w:rPr>
          <w:rFonts w:ascii="Calibri" w:cs="Calibri" w:eastAsia="Calibri" w:hAnsi="Calibri"/>
          <w:color w:val="3D3735"/>
          <w:sz w:val="22"/>
          <w:szCs w:val="22"/>
        </w:rPr>
        <w:t xml:space="preserve">Kredit müqaviləsi imzalanan zaman video recording da aparılır. VideoRecordingData entity-si (addon_videorecordingdata cədvəli) bu məlumatları saxlayır. VideoRecordingController vasitəsilə POST /api/orders endpoint-ə sorğu göndərilir (app_id, phone, amount, currency, lang, webhook_url, description). Video yoxlama HEAD /videos/{app_id} vasitəsilə həyata keçir. VideoRecordingCheckJob scheduled job-u video recording statusunu müntəzəm yoxlayır.</w:t>
      </w:r>
    </w:p>
    <w:p>
      <w:pPr>
        <w:pStyle w:val="Heading2"/>
        <w:spacing w:after="200" w:before="400" w:line="250"/>
      </w:pPr>
      <w:r>
        <w:rPr>
          <w:rFonts w:ascii="Times New Roman" w:cs="Times New Roman" w:eastAsia="Times New Roman" w:hAnsi="Times New Roman"/>
          <w:b/>
          <w:bCs/>
          <w:color w:val="26211F"/>
          <w:sz w:val="28"/>
          <w:szCs w:val="28"/>
        </w:rPr>
        <w:t xml:space="preserve">5.4 BPM İmzalama Əməliyyatları</w:t>
      </w:r>
    </w:p>
    <w:p>
      <w:pPr>
        <w:spacing w:after="120" w:line="250"/>
      </w:pPr>
      <w:r>
        <w:rPr>
          <w:rFonts w:ascii="Calibri" w:cs="Calibri" w:eastAsia="Calibri" w:hAnsi="Calibri"/>
          <w:color w:val="3D3735"/>
          <w:sz w:val="22"/>
          <w:szCs w:val="22"/>
        </w:rPr>
        <w:t xml:space="preserve">bpmactCancelLoanAgreementSign — imzalama prosesini ləğv edir. Product code-based XPath routing — agreementSigned sahəsinin true olması yoxlanılır və müvafiq product koduna görə növbəti mərhələyə keçid edilir.</w:t>
      </w:r>
    </w:p>
    <w:p>
      <w:pPr>
        <w:pStyle w:val="Heading1"/>
        <w:spacing w:after="300" w:before="600" w:line="250"/>
      </w:pPr>
      <w:r>
        <w:rPr>
          <w:rFonts w:ascii="Times New Roman" w:cs="Times New Roman" w:eastAsia="Times New Roman" w:hAnsi="Times New Roman"/>
          <w:b/>
          <w:bCs/>
          <w:color w:val="26211F"/>
          <w:sz w:val="36"/>
          <w:szCs w:val="36"/>
        </w:rPr>
        <w:t xml:space="preserve">6. Kreditin Verilməsi (Disbursement)</w:t>
      </w:r>
    </w:p>
    <w:p>
      <w:pPr>
        <w:pStyle w:val="Heading2"/>
        <w:spacing w:after="200" w:before="400" w:line="250"/>
      </w:pPr>
      <w:r>
        <w:rPr>
          <w:rFonts w:ascii="Times New Roman" w:cs="Times New Roman" w:eastAsia="Times New Roman" w:hAnsi="Times New Roman"/>
          <w:b/>
          <w:bCs/>
          <w:color w:val="26211F"/>
          <w:sz w:val="28"/>
          <w:szCs w:val="28"/>
        </w:rPr>
        <w:t xml:space="preserve">6.1 Disbursement Prosesi</w:t>
      </w:r>
    </w:p>
    <w:p>
      <w:pPr>
        <w:spacing w:after="120" w:line="250"/>
      </w:pPr>
      <w:r>
        <w:rPr>
          <w:rFonts w:ascii="Calibri" w:cs="Calibri" w:eastAsia="Calibri" w:hAnsi="Calibri"/>
          <w:color w:val="3D3735"/>
          <w:sz w:val="22"/>
          <w:szCs w:val="22"/>
        </w:rPr>
        <w:t xml:space="preserve">Müqavilə imzalandıqdan sonra kreditin verilməsi prosesi başlayır. Bu proses bpmopDisburseLoan BPM əməliyyatı vasitəsilə həyata keçirilir. Disbursement zamanı LoanDisbursal obyekti yaradılır: LoanDisbursal(loan, disbursementDate, bankAccount, cashDesk, externalNumber). Kreditin statusu S002 (Approved)-dən S005 (Outstanding)-ə dəyişir.</w:t>
      </w:r>
    </w:p>
    <w:p>
      <w:pPr>
        <w:pStyle w:val="Heading2"/>
        <w:spacing w:after="200" w:before="400" w:line="250"/>
      </w:pPr>
      <w:r>
        <w:rPr>
          <w:rFonts w:ascii="Times New Roman" w:cs="Times New Roman" w:eastAsia="Times New Roman" w:hAnsi="Times New Roman"/>
          <w:b/>
          <w:bCs/>
          <w:color w:val="26211F"/>
          <w:sz w:val="28"/>
          <w:szCs w:val="28"/>
        </w:rPr>
        <w:t xml:space="preserve">6.2 LoanAccounting</w:t>
      </w:r>
    </w:p>
    <w:p>
      <w:pPr>
        <w:spacing w:after="120" w:line="250"/>
      </w:pPr>
      <w:r>
        <w:rPr>
          <w:rFonts w:ascii="Calibri" w:cs="Calibri" w:eastAsia="Calibri" w:hAnsi="Calibri"/>
          <w:color w:val="3D3735"/>
          <w:sz w:val="22"/>
          <w:szCs w:val="22"/>
        </w:rPr>
        <w:t xml:space="preserve">Disbursement zamanı LoanAccounting obyekti yaradılır. Bu obyekt kreditin bütün maliyyə hesablamalarını idarə edir: account movements (hesab hərəkətləri), suspended accrual periods (dayandırılmış akkumulyasiya dövrləri), disbursement date (verilmə tarixi), total disbursed amount (ümumi verilib məbləği), days in arrear (gecikmə günləri).</w:t>
      </w:r>
    </w:p>
    <w:p>
      <w:pPr>
        <w:spacing w:after="120" w:line="250"/>
      </w:pPr>
      <w:r>
        <w:rPr>
          <w:rFonts w:ascii="Calibri" w:cs="Calibri" w:eastAsia="Calibri" w:hAnsi="Calibri"/>
          <w:color w:val="3D3735"/>
          <w:sz w:val="22"/>
          <w:szCs w:val="22"/>
        </w:rPr>
        <w:t xml:space="preserve">LoanAccounting-in əsas metodları: getAccountMovements() — bütün hesab hərəkətlərini qaytarır; getSuspendedAccrualPeriods() — dayandırılmış akkumulyasiya dövrləri; getDisbursementDate() — verilmə tarixi; getTotalDisbursedAmount() — ümumi verilib məbləği; registerRepayment() — ödəniş qeydiyyatı; splitRepayment() — ödənişi hesab növlərinə bölmək; calculateEarlyPaymentFeeAmount() — erkən ödəniş cəriməsi; getNetTotalAmountToClose() — krediti bağlamaq üçün lazım olan məbləğ.</w:t>
      </w:r>
    </w:p>
    <w:p>
      <w:pPr>
        <w:pStyle w:val="Heading2"/>
        <w:spacing w:after="200" w:before="400" w:line="250"/>
      </w:pPr>
      <w:r>
        <w:rPr>
          <w:rFonts w:ascii="Times New Roman" w:cs="Times New Roman" w:eastAsia="Times New Roman" w:hAnsi="Times New Roman"/>
          <w:b/>
          <w:bCs/>
          <w:color w:val="26211F"/>
          <w:sz w:val="28"/>
          <w:szCs w:val="28"/>
        </w:rPr>
        <w:t xml:space="preserve">6.3 DisbursementForm</w:t>
      </w:r>
    </w:p>
    <w:p>
      <w:pPr>
        <w:spacing w:after="120" w:line="250"/>
      </w:pPr>
      <w:r>
        <w:rPr>
          <w:rFonts w:ascii="Calibri" w:cs="Calibri" w:eastAsia="Calibri" w:hAnsi="Calibri"/>
          <w:color w:val="3D3735"/>
          <w:sz w:val="22"/>
          <w:szCs w:val="22"/>
        </w:rPr>
        <w:t xml:space="preserve">Disbursement forması konfiqurasiya ilə müəyyən edilir: 010 — Bank Köçürməsi, 140 — Kredit Təyinat Yeri. Cüzdan (Wallet) inteqrasiyası vasitəsilə kart registrasiyası və top-up əməliyyatları həyata keçirilir.</w:t>
      </w:r>
    </w:p>
    <w:p>
      <w:pPr>
        <w:pStyle w:val="Heading2"/>
        <w:spacing w:after="200" w:before="400" w:line="250"/>
      </w:pPr>
      <w:r>
        <w:rPr>
          <w:rFonts w:ascii="Times New Roman" w:cs="Times New Roman" w:eastAsia="Times New Roman" w:hAnsi="Times New Roman"/>
          <w:b/>
          <w:bCs/>
          <w:color w:val="26211F"/>
          <w:sz w:val="28"/>
          <w:szCs w:val="28"/>
        </w:rPr>
        <w:t xml:space="preserve">6.4 Cash Desk Variant</w:t>
      </w:r>
    </w:p>
    <w:p>
      <w:pPr>
        <w:spacing w:after="120" w:line="250"/>
      </w:pPr>
      <w:r>
        <w:rPr>
          <w:rFonts w:ascii="Calibri" w:cs="Calibri" w:eastAsia="Calibri" w:hAnsi="Calibri"/>
          <w:color w:val="3D3735"/>
          <w:sz w:val="22"/>
          <w:szCs w:val="22"/>
        </w:rPr>
        <w:t xml:space="preserve">bpmopDisburseLoanCashDesk — kasıadan kredit verilməsi variantı. Bu əməliyyat CashDeskUtils vasitəsilə fərqli validation və posting qaydaları ilə işləyir.</w:t>
      </w:r>
    </w:p>
    <w:p>
      <w:pPr>
        <w:pStyle w:val="Heading1"/>
        <w:spacing w:after="300" w:before="600" w:line="250"/>
      </w:pPr>
      <w:r>
        <w:rPr>
          <w:rFonts w:ascii="Times New Roman" w:cs="Times New Roman" w:eastAsia="Times New Roman" w:hAnsi="Times New Roman"/>
          <w:b/>
          <w:bCs/>
          <w:color w:val="26211F"/>
          <w:sz w:val="36"/>
          <w:szCs w:val="36"/>
        </w:rPr>
        <w:t xml:space="preserve">7. Normal Ödənişlər</w:t>
      </w:r>
    </w:p>
    <w:p>
      <w:pPr>
        <w:pStyle w:val="Heading2"/>
        <w:spacing w:after="200" w:before="400" w:line="250"/>
      </w:pPr>
      <w:r>
        <w:rPr>
          <w:rFonts w:ascii="Times New Roman" w:cs="Times New Roman" w:eastAsia="Times New Roman" w:hAnsi="Times New Roman"/>
          <w:b/>
          <w:bCs/>
          <w:color w:val="26211F"/>
          <w:sz w:val="28"/>
          <w:szCs w:val="28"/>
        </w:rPr>
        <w:t xml:space="preserve">7.1 Ödəniş Cədvəlinin Yaradılması</w:t>
      </w:r>
    </w:p>
    <w:p>
      <w:pPr>
        <w:spacing w:after="120" w:line="250"/>
      </w:pPr>
      <w:r>
        <w:rPr>
          <w:rFonts w:ascii="Calibri" w:cs="Calibri" w:eastAsia="Calibri" w:hAnsi="Calibri"/>
          <w:color w:val="3D3735"/>
          <w:sz w:val="22"/>
          <w:szCs w:val="22"/>
        </w:rPr>
        <w:t xml:space="preserve">Kredit verildikdən sonra ödəniş cədvəli (repayment schedule) avtomatik yaradılır. Clojure repayment-schedule funksiyası loan.firstAccountGroup.outstandingPersistentSchedule.items massivindən type="Payment" olan elementləri çıxarır. Hər bir ödəniş üçün: payment_index (ödəniş nömrəsi), payment_date (ödəniş tarixi), initial_balance (ilkin balans), principal_amount (əsas məbləğ), interest_amount (faiz məbləği), total_payment_amount (ümumi ödəniş), remaining_balance (qalıq balans) hesablanır.</w:t>
      </w:r>
    </w:p>
    <w:p>
      <w:pPr>
        <w:pStyle w:val="Heading2"/>
        <w:spacing w:after="200" w:before="400" w:line="250"/>
      </w:pPr>
      <w:r>
        <w:rPr>
          <w:rFonts w:ascii="Times New Roman" w:cs="Times New Roman" w:eastAsia="Times New Roman" w:hAnsi="Times New Roman"/>
          <w:b/>
          <w:bCs/>
          <w:color w:val="26211F"/>
          <w:sz w:val="28"/>
          <w:szCs w:val="28"/>
        </w:rPr>
        <w:t xml:space="preserve">7.2 Hesab Növləri</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000"/>
        <w:gridCol w:w="1500"/>
        <w:gridCol w:w="4860"/>
      </w:tblGrid>
      <w:tr>
        <w:trPr>
          <w:tblHeader/>
        </w:trPr>
        <w:tc>
          <w:tcPr>
            <w:tcW w:type="dxa" w:w="30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Hesab Tipi</w:t>
            </w:r>
          </w:p>
        </w:tc>
        <w:tc>
          <w:tcPr>
            <w:tcW w:type="dxa" w:w="15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Kod</w:t>
            </w:r>
          </w:p>
        </w:tc>
        <w:tc>
          <w:tcPr>
            <w:tcW w:type="dxa" w:w="486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Təsviri</w:t>
            </w:r>
          </w:p>
        </w:tc>
      </w:tr>
      <w:tr>
        <w:tc>
          <w:tcPr>
            <w:tcW w:type="dxa" w:w="3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Principal</w:t>
            </w:r>
          </w:p>
        </w:tc>
        <w:tc>
          <w:tcPr>
            <w:tcW w:type="dxa" w:w="1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PRNC</w:t>
            </w:r>
          </w:p>
        </w:tc>
        <w:tc>
          <w:tcPr>
            <w:tcW w:type="dxa" w:w="48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Kredit əsas borcu</w:t>
            </w:r>
          </w:p>
        </w:tc>
      </w:tr>
      <w:tr>
        <w:tc>
          <w:tcPr>
            <w:tcW w:type="dxa" w:w="3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Interest</w:t>
            </w:r>
          </w:p>
        </w:tc>
        <w:tc>
          <w:tcPr>
            <w:tcW w:type="dxa" w:w="1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INT</w:t>
            </w:r>
          </w:p>
        </w:tc>
        <w:tc>
          <w:tcPr>
            <w:tcW w:type="dxa" w:w="48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Faiz borcu</w:t>
            </w:r>
          </w:p>
        </w:tc>
      </w:tr>
      <w:tr>
        <w:tc>
          <w:tcPr>
            <w:tcW w:type="dxa" w:w="3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Penalty</w:t>
            </w:r>
          </w:p>
        </w:tc>
        <w:tc>
          <w:tcPr>
            <w:tcW w:type="dxa" w:w="1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PEN</w:t>
            </w:r>
          </w:p>
        </w:tc>
        <w:tc>
          <w:tcPr>
            <w:tcW w:type="dxa" w:w="48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Cərimə borcu</w:t>
            </w:r>
          </w:p>
        </w:tc>
      </w:tr>
      <w:tr>
        <w:tc>
          <w:tcPr>
            <w:tcW w:type="dxa" w:w="3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Fee</w:t>
            </w:r>
          </w:p>
        </w:tc>
        <w:tc>
          <w:tcPr>
            <w:tcW w:type="dxa" w:w="1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FEE</w:t>
            </w:r>
          </w:p>
        </w:tc>
        <w:tc>
          <w:tcPr>
            <w:tcW w:type="dxa" w:w="48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Komissiya borcu</w:t>
            </w:r>
          </w:p>
        </w:tc>
      </w:tr>
      <w:tr>
        <w:tc>
          <w:tcPr>
            <w:tcW w:type="dxa" w:w="3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Repayment</w:t>
            </w:r>
          </w:p>
        </w:tc>
        <w:tc>
          <w:tcPr>
            <w:tcW w:type="dxa" w:w="1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REP</w:t>
            </w:r>
          </w:p>
        </w:tc>
        <w:tc>
          <w:tcPr>
            <w:tcW w:type="dxa" w:w="48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Ödəniş sinifi</w:t>
            </w:r>
          </w:p>
        </w:tc>
      </w:tr>
    </w:tbl>
    <w:p>
      <w:pPr>
        <w:spacing w:after="60" w:line="250"/>
      </w:pPr>
    </w:p>
    <w:p>
      <w:pPr>
        <w:pStyle w:val="Heading2"/>
        <w:spacing w:after="200" w:before="400" w:line="250"/>
      </w:pPr>
      <w:r>
        <w:rPr>
          <w:rFonts w:ascii="Times New Roman" w:cs="Times New Roman" w:eastAsia="Times New Roman" w:hAnsi="Times New Roman"/>
          <w:b/>
          <w:bCs/>
          <w:color w:val="26211F"/>
          <w:sz w:val="28"/>
          <w:szCs w:val="28"/>
        </w:rPr>
        <w:t xml:space="preserve">7.3 Ödəniş Qeydiyyatı</w:t>
      </w:r>
    </w:p>
    <w:p>
      <w:pPr>
        <w:spacing w:after="120" w:line="250"/>
      </w:pPr>
      <w:r>
        <w:rPr>
          <w:rFonts w:ascii="Calibri" w:cs="Calibri" w:eastAsia="Calibri" w:hAnsi="Calibri"/>
          <w:color w:val="3D3735"/>
          <w:sz w:val="22"/>
          <w:szCs w:val="22"/>
        </w:rPr>
        <w:t xml:space="preserve">bpmopRegisterRepayment BPM əməliyyatı vasitəsilə ödəniş qeydiyyatı aparılır. LoanRepayment entity-si yaradılır: repaymentDate, postingDate, loan, bankAccount, cashDesk, externalNumber, movementForm, writeOff, amount, paidAmounts. Cash Desk variantı: bpmopRegisterRepaymentCashDesk — CashDeskUtils.registerRepayment() istifadə edir.</w:t>
      </w:r>
    </w:p>
    <w:p>
      <w:pPr>
        <w:spacing w:after="120" w:line="250"/>
      </w:pPr>
      <w:r>
        <w:rPr>
          <w:rFonts w:ascii="Calibri" w:cs="Calibri" w:eastAsia="Calibri" w:hAnsi="Calibri"/>
          <w:color w:val="3D3735"/>
          <w:sz w:val="22"/>
          <w:szCs w:val="22"/>
        </w:rPr>
        <w:t xml:space="preserve">epLoanRegisterRepayment extension point-i afterRegisterRepayment() metodu ilə ödənişdən sonra əlavə məntiq icra etməyə imkan verir. epLoanRegisterRepaymentDefaultImpl — default implementation (no-op). sfCashDeskRegistrerLoanRepayment — təhlükəsizlik funksiyası (security function).</w:t>
      </w:r>
    </w:p>
    <w:p>
      <w:pPr>
        <w:pStyle w:val="Heading2"/>
        <w:spacing w:after="200" w:before="400" w:line="250"/>
      </w:pPr>
      <w:r>
        <w:rPr>
          <w:rFonts w:ascii="Times New Roman" w:cs="Times New Roman" w:eastAsia="Times New Roman" w:hAnsi="Times New Roman"/>
          <w:b/>
          <w:bCs/>
          <w:color w:val="26211F"/>
          <w:sz w:val="28"/>
          <w:szCs w:val="28"/>
        </w:rPr>
        <w:t xml:space="preserve">7.4 Erkən Ödəniş və Artıq Ödəniş</w:t>
      </w:r>
    </w:p>
    <w:p>
      <w:pPr>
        <w:spacing w:after="120" w:line="250"/>
      </w:pPr>
      <w:r>
        <w:rPr>
          <w:rFonts w:ascii="Calibri" w:cs="Calibri" w:eastAsia="Calibri" w:hAnsi="Calibri"/>
          <w:color w:val="3D3735"/>
          <w:sz w:val="22"/>
          <w:szCs w:val="22"/>
        </w:rPr>
        <w:t xml:space="preserve">Erkən ödəniş (early repayment) zamanı calculateEarlyPaymentFeeAmount() metodu ilə cərimə hesablanır, splitRepayment() metodu isə ödənişi hesab növlərinə bölür. Artıq ödəniş (overpayment) hallarında enumOverpaymentDistribution.FutureRepayments istifadə olunur — bu, artıq məbləğin növbəti ödənişlərə yayılmasını nəzərdə tutur.</w:t>
      </w:r>
    </w:p>
    <w:p>
      <w:pPr>
        <w:pStyle w:val="Heading2"/>
        <w:spacing w:after="200" w:before="400" w:line="250"/>
      </w:pPr>
      <w:r>
        <w:rPr>
          <w:rFonts w:ascii="Times New Roman" w:cs="Times New Roman" w:eastAsia="Times New Roman" w:hAnsi="Times New Roman"/>
          <w:b/>
          <w:bCs/>
          <w:color w:val="26211F"/>
          <w:sz w:val="28"/>
          <w:szCs w:val="28"/>
        </w:rPr>
        <w:t xml:space="preserve">7.5 SMS Xatırlatmaları</w:t>
      </w:r>
    </w:p>
    <w:p>
      <w:pPr>
        <w:spacing w:after="120" w:line="250"/>
      </w:pPr>
      <w:r>
        <w:rPr>
          <w:rFonts w:ascii="Calibri" w:cs="Calibri" w:eastAsia="Calibri" w:hAnsi="Calibri"/>
          <w:color w:val="3D3735"/>
          <w:sz w:val="22"/>
          <w:szCs w:val="22"/>
        </w:rPr>
        <w:t xml:space="preserve">REMEMB şablonu ödəniş xatırlatması üçün istifadə olunur: '{agreement number} muqavilesi uzre {schedule date} tarixinde odenis zamanidir. Odenis olubsa SMS-i nezere almayin. FIN kod:{pin} Tel:*1414 https://pay.embafinans.az'. Bu SMS Poçt Göndəricisi servisi vasitəsilə batch şəklində göndərilir.</w:t>
      </w:r>
    </w:p>
    <w:p>
      <w:pPr>
        <w:pStyle w:val="Heading1"/>
        <w:spacing w:after="300" w:before="600" w:line="250"/>
      </w:pPr>
      <w:r>
        <w:rPr>
          <w:rFonts w:ascii="Times New Roman" w:cs="Times New Roman" w:eastAsia="Times New Roman" w:hAnsi="Times New Roman"/>
          <w:b/>
          <w:bCs/>
          <w:color w:val="26211F"/>
          <w:sz w:val="36"/>
          <w:szCs w:val="36"/>
        </w:rPr>
        <w:t xml:space="preserve">8. Gecikmə və Cərimələr</w:t>
      </w:r>
    </w:p>
    <w:p>
      <w:pPr>
        <w:pStyle w:val="Heading2"/>
        <w:spacing w:after="200" w:before="400" w:line="250"/>
      </w:pPr>
      <w:r>
        <w:rPr>
          <w:rFonts w:ascii="Times New Roman" w:cs="Times New Roman" w:eastAsia="Times New Roman" w:hAnsi="Times New Roman"/>
          <w:b/>
          <w:bCs/>
          <w:color w:val="26211F"/>
          <w:sz w:val="28"/>
          <w:szCs w:val="28"/>
        </w:rPr>
        <w:t xml:space="preserve">8.1 daysInArrear İzlənməsi</w:t>
      </w:r>
    </w:p>
    <w:p>
      <w:pPr>
        <w:spacing w:after="120" w:line="250"/>
      </w:pPr>
      <w:r>
        <w:rPr>
          <w:rFonts w:ascii="Calibri" w:cs="Calibri" w:eastAsia="Calibri" w:hAnsi="Calibri"/>
          <w:color w:val="3D3735"/>
          <w:sz w:val="22"/>
          <w:szCs w:val="22"/>
        </w:rPr>
        <w:t xml:space="preserve">Kreditin gecikmə vəziyyəti LoanAccounting vasitəsilə izlənilir. daysInArrear sahəsi hər gün yenilənir və kreditin cari gecikmə gün sayını göstərir. Bu sahə collection prosesinin əsas giriş meyarıdır və bütün collector təyinatları bu dəyərə əsaslanır.</w:t>
      </w:r>
    </w:p>
    <w:p>
      <w:pPr>
        <w:pStyle w:val="Heading2"/>
        <w:spacing w:after="200" w:before="400" w:line="250"/>
      </w:pPr>
      <w:r>
        <w:rPr>
          <w:rFonts w:ascii="Times New Roman" w:cs="Times New Roman" w:eastAsia="Times New Roman" w:hAnsi="Times New Roman"/>
          <w:b/>
          <w:bCs/>
          <w:color w:val="26211F"/>
          <w:sz w:val="28"/>
          <w:szCs w:val="28"/>
        </w:rPr>
        <w:t xml:space="preserve">8.2 Aylıq Gecikmə Hesablaması (monthly-overdue)</w:t>
      </w:r>
    </w:p>
    <w:p>
      <w:pPr>
        <w:spacing w:after="120" w:line="250"/>
      </w:pPr>
      <w:r>
        <w:rPr>
          <w:rFonts w:ascii="Calibri" w:cs="Calibri" w:eastAsia="Calibri" w:hAnsi="Calibri"/>
          <w:color w:val="3D3735"/>
          <w:sz w:val="22"/>
          <w:szCs w:val="22"/>
        </w:rPr>
        <w:t xml:space="preserve">Clojure monthly-overdue funksiyası aylıq gecikmə statistikasını hesablayır: disbursementDate + 1 aydan başlayaraq branchDate (əgər kredit bağlanmayıbsa) və ya completionDate-ə qədər hər ayın sonu üçün arrears-history-at-date çağırılır. Hər hesablama üçün max(daysInArrear) götürülür. Nəticə {:overdue_days, :reporting_month} formatında massiv olur.</w:t>
      </w:r>
    </w:p>
    <w:p>
      <w:pPr>
        <w:pStyle w:val="Heading2"/>
        <w:spacing w:after="200" w:before="400" w:line="250"/>
      </w:pPr>
      <w:r>
        <w:rPr>
          <w:rFonts w:ascii="Times New Roman" w:cs="Times New Roman" w:eastAsia="Times New Roman" w:hAnsi="Times New Roman"/>
          <w:b/>
          <w:bCs/>
          <w:color w:val="26211F"/>
          <w:sz w:val="28"/>
          <w:szCs w:val="28"/>
        </w:rPr>
        <w:t xml:space="preserve">8.3 Cərimə Hesablanması</w:t>
      </w:r>
    </w:p>
    <w:p>
      <w:pPr>
        <w:spacing w:after="120" w:line="250"/>
      </w:pPr>
      <w:r>
        <w:rPr>
          <w:rFonts w:ascii="Calibri" w:cs="Calibri" w:eastAsia="Calibri" w:hAnsi="Calibri"/>
          <w:color w:val="3D3735"/>
          <w:sz w:val="22"/>
          <w:szCs w:val="22"/>
        </w:rPr>
        <w:t xml:space="preserve">Cərimə (penalty) gecikmə günləri əsasında AddonDailyPenaltyAmountDueProvider vasitəsilə hər gün hesablanır. ADDON_PENALTY data unit-i (percent tipi) cərimə faiz dərəcəsini saxlayır. Cərimə ödənişi PEN hesab tipi ilə qeydiyyata alınır. XPath variable-ları: emb_loan_penalty (cari cərimə) və emb_loan_penalty_l (write-off olunmuş cərimə).</w:t>
      </w:r>
    </w:p>
    <w:p>
      <w:pPr>
        <w:pStyle w:val="Heading2"/>
        <w:spacing w:after="200" w:before="400" w:line="250"/>
      </w:pPr>
      <w:r>
        <w:rPr>
          <w:rFonts w:ascii="Times New Roman" w:cs="Times New Roman" w:eastAsia="Times New Roman" w:hAnsi="Times New Roman"/>
          <w:b/>
          <w:bCs/>
          <w:color w:val="26211F"/>
          <w:sz w:val="28"/>
          <w:szCs w:val="28"/>
        </w:rPr>
        <w:t xml:space="preserve">8.4 AKB Reporting</w:t>
      </w:r>
    </w:p>
    <w:p>
      <w:pPr>
        <w:spacing w:after="120" w:line="250"/>
      </w:pPr>
      <w:r>
        <w:rPr>
          <w:rFonts w:ascii="Calibri" w:cs="Calibri" w:eastAsia="Calibri" w:hAnsi="Calibri"/>
          <w:color w:val="3D3735"/>
          <w:sz w:val="22"/>
          <w:szCs w:val="22"/>
        </w:rPr>
        <w:t xml:space="preserve">Gecikmə məlumatları Mərkəzi Kredit Bürosuna (MKR AKB) hesabat verilir. Reporting sahələri: OVERDUE_LOAN_CNT — gecikməsi olan aktiv öhdəlik sayı; OVERDUE_MAX_CREDIT_L6_HS — son 6 ay ərzində maksimum gecikmə günləri (installment satışları); OVERDUE_MAX_L6 — son 6 ay ərzində bütün öhdəliklər üzrə maksimum gecikmə günləri.</w:t>
      </w:r>
    </w:p>
    <w:p>
      <w:pPr>
        <w:pStyle w:val="Heading2"/>
        <w:spacing w:after="200" w:before="400" w:line="250"/>
      </w:pPr>
      <w:r>
        <w:rPr>
          <w:rFonts w:ascii="Times New Roman" w:cs="Times New Roman" w:eastAsia="Times New Roman" w:hAnsi="Times New Roman"/>
          <w:b/>
          <w:bCs/>
          <w:color w:val="26211F"/>
          <w:sz w:val="28"/>
          <w:szCs w:val="28"/>
        </w:rPr>
        <w:t xml:space="preserve">8.5 ARREMB SMS Şablonu</w:t>
      </w:r>
    </w:p>
    <w:p>
      <w:pPr>
        <w:spacing w:after="120" w:line="250"/>
      </w:pPr>
      <w:r>
        <w:rPr>
          <w:rFonts w:ascii="Calibri" w:cs="Calibri" w:eastAsia="Calibri" w:hAnsi="Calibri"/>
          <w:color w:val="3D3735"/>
          <w:sz w:val="22"/>
          <w:szCs w:val="22"/>
        </w:rPr>
        <w:t xml:space="preserve">Arrears xatırlatması ARREMB şablonu ilə göndərilir: '{agreement number} muqavilesi uzre {current date} tarixine gecikmeniz var. Gecikme meblegi: {amount} AZN. Odenisi telafi edin. FIN kod:{pin} Tel:*1414 https://pay.embafinans.az'.</w:t>
      </w:r>
    </w:p>
    <w:p>
      <w:pPr>
        <w:pStyle w:val="Heading1"/>
        <w:spacing w:after="300" w:before="600" w:line="250"/>
      </w:pPr>
      <w:r>
        <w:rPr>
          <w:rFonts w:ascii="Times New Roman" w:cs="Times New Roman" w:eastAsia="Times New Roman" w:hAnsi="Times New Roman"/>
          <w:b/>
          <w:bCs/>
          <w:color w:val="26211F"/>
          <w:sz w:val="36"/>
          <w:szCs w:val="36"/>
        </w:rPr>
        <w:t xml:space="preserve">9. İnkişaf Etməmiş Borc (Collection) Prosesi</w:t>
      </w:r>
    </w:p>
    <w:p>
      <w:pPr>
        <w:pStyle w:val="Heading2"/>
        <w:spacing w:after="200" w:before="400" w:line="250"/>
      </w:pPr>
      <w:r>
        <w:rPr>
          <w:rFonts w:ascii="Times New Roman" w:cs="Times New Roman" w:eastAsia="Times New Roman" w:hAnsi="Times New Roman"/>
          <w:b/>
          <w:bCs/>
          <w:color w:val="26211F"/>
          <w:sz w:val="28"/>
          <w:szCs w:val="28"/>
        </w:rPr>
        <w:t xml:space="preserve">9.1 CollectionCase Entity</w:t>
      </w:r>
    </w:p>
    <w:p>
      <w:pPr>
        <w:spacing w:after="120" w:line="250"/>
      </w:pPr>
      <w:r>
        <w:rPr>
          <w:rFonts w:ascii="Calibri" w:cs="Calibri" w:eastAsia="Calibri" w:hAnsi="Calibri"/>
          <w:color w:val="3D3735"/>
          <w:sz w:val="22"/>
          <w:szCs w:val="22"/>
        </w:rPr>
        <w:t xml:space="preserve">Gecikmənin müəyyən həddi keçdiyi kreditlər üçün CollectionCase yaradılır (addon_coll_case cədvəli). Bu entity kreditin collection prosesini izləyir: collector təyinatları, action planı, PTP (Promise-to-Pay), məhkəmə sənədləri statusu.</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1800"/>
        <w:gridCol w:w="2200"/>
        <w:gridCol w:w="3160"/>
      </w:tblGrid>
      <w:tr>
        <w:trPr>
          <w:tblHeader/>
        </w:trPr>
        <w:tc>
          <w:tcPr>
            <w:tcW w:type="dxa" w:w="22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Sahə</w:t>
            </w:r>
          </w:p>
        </w:tc>
        <w:tc>
          <w:tcPr>
            <w:tcW w:type="dxa" w:w="18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Tip</w:t>
            </w:r>
          </w:p>
        </w:tc>
        <w:tc>
          <w:tcPr>
            <w:tcW w:type="dxa" w:w="22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DB Column</w:t>
            </w:r>
          </w:p>
        </w:tc>
        <w:tc>
          <w:tcPr>
            <w:tcW w:type="dxa" w:w="316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Təsviri</w:t>
            </w:r>
          </w:p>
        </w:tc>
      </w:tr>
      <w:tr>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uuid</w:t>
            </w:r>
          </w:p>
        </w:tc>
        <w:tc>
          <w:tcPr>
            <w:tcW w:type="dxa" w:w="1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String(32)</w:t>
            </w:r>
          </w:p>
        </w:tc>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uuid</w:t>
            </w:r>
          </w:p>
        </w:tc>
        <w:tc>
          <w:tcPr>
            <w:tcW w:type="dxa" w:w="31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Birincil açar</w:t>
            </w:r>
          </w:p>
        </w:tc>
      </w:tr>
      <w:tr>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w:t>
            </w:r>
          </w:p>
        </w:tc>
        <w:tc>
          <w:tcPr>
            <w:tcW w:type="dxa" w:w="1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w:t>
            </w:r>
          </w:p>
        </w:tc>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loan_uuid</w:t>
            </w:r>
          </w:p>
        </w:tc>
        <w:tc>
          <w:tcPr>
            <w:tcW w:type="dxa" w:w="31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Kredit</w:t>
            </w:r>
          </w:p>
        </w:tc>
      </w:tr>
      <w:tr>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division</w:t>
            </w:r>
          </w:p>
        </w:tc>
        <w:tc>
          <w:tcPr>
            <w:tcW w:type="dxa" w:w="1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CollectionDivision</w:t>
            </w:r>
          </w:p>
        </w:tc>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division_id</w:t>
            </w:r>
          </w:p>
        </w:tc>
        <w:tc>
          <w:tcPr>
            <w:tcW w:type="dxa" w:w="31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Collection bölməsi</w:t>
            </w:r>
          </w:p>
        </w:tc>
      </w:tr>
      <w:tr>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busCase</w:t>
            </w:r>
          </w:p>
        </w:tc>
        <w:tc>
          <w:tcPr>
            <w:tcW w:type="dxa" w:w="1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Case</w:t>
            </w:r>
          </w:p>
        </w:tc>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bus_case</w:t>
            </w:r>
          </w:p>
        </w:tc>
        <w:tc>
          <w:tcPr>
            <w:tcW w:type="dxa" w:w="31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BPM case</w:t>
            </w:r>
          </w:p>
        </w:tc>
      </w:tr>
      <w:tr>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actions</w:t>
            </w:r>
          </w:p>
        </w:tc>
        <w:tc>
          <w:tcPr>
            <w:tcW w:type="dxa" w:w="1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Set&lt;CollectionCaseAction&gt;</w:t>
            </w:r>
          </w:p>
        </w:tc>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case_uuid</w:t>
            </w:r>
          </w:p>
        </w:tc>
        <w:tc>
          <w:tcPr>
            <w:tcW w:type="dxa" w:w="31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Hərəkətlər</w:t>
            </w:r>
          </w:p>
        </w:tc>
      </w:tr>
      <w:tr>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documentsSentToCourt</w:t>
            </w:r>
          </w:p>
        </w:tc>
        <w:tc>
          <w:tcPr>
            <w:tcW w:type="dxa" w:w="1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boolean</w:t>
            </w:r>
          </w:p>
        </w:tc>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doc_sent_court</w:t>
            </w:r>
          </w:p>
        </w:tc>
        <w:tc>
          <w:tcPr>
            <w:tcW w:type="dxa" w:w="31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Məhkəmə sənədi</w:t>
            </w:r>
          </w:p>
        </w:tc>
      </w:tr>
      <w:tr>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courtDecisionExists</w:t>
            </w:r>
          </w:p>
        </w:tc>
        <w:tc>
          <w:tcPr>
            <w:tcW w:type="dxa" w:w="1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boolean</w:t>
            </w:r>
          </w:p>
        </w:tc>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court_dec_exists</w:t>
            </w:r>
          </w:p>
        </w:tc>
        <w:tc>
          <w:tcPr>
            <w:tcW w:type="dxa" w:w="31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Məhkəmə qərarı</w:t>
            </w:r>
          </w:p>
        </w:tc>
      </w:tr>
      <w:tr>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softCollector</w:t>
            </w:r>
          </w:p>
        </w:tc>
        <w:tc>
          <w:tcPr>
            <w:tcW w:type="dxa" w:w="1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String</w:t>
            </w:r>
          </w:p>
        </w:tc>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soft_collector_uuid</w:t>
            </w:r>
          </w:p>
        </w:tc>
        <w:tc>
          <w:tcPr>
            <w:tcW w:type="dxa" w:w="31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Soft collector</w:t>
            </w:r>
          </w:p>
        </w:tc>
      </w:tr>
      <w:tr>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hardCollectorUuid</w:t>
            </w:r>
          </w:p>
        </w:tc>
        <w:tc>
          <w:tcPr>
            <w:tcW w:type="dxa" w:w="1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String</w:t>
            </w:r>
          </w:p>
        </w:tc>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hard_collector_uuid</w:t>
            </w:r>
          </w:p>
        </w:tc>
        <w:tc>
          <w:tcPr>
            <w:tcW w:type="dxa" w:w="31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Hard collector</w:t>
            </w:r>
          </w:p>
        </w:tc>
      </w:tr>
      <w:tr>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legalCollectorUuid</w:t>
            </w:r>
          </w:p>
        </w:tc>
        <w:tc>
          <w:tcPr>
            <w:tcW w:type="dxa" w:w="1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String</w:t>
            </w:r>
          </w:p>
        </w:tc>
        <w:tc>
          <w:tcPr>
            <w:tcW w:type="dxa" w:w="2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legal_collector_uuid</w:t>
            </w:r>
          </w:p>
        </w:tc>
        <w:tc>
          <w:tcPr>
            <w:tcW w:type="dxa" w:w="31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Hüquqi collector</w:t>
            </w:r>
          </w:p>
        </w:tc>
      </w:tr>
    </w:tbl>
    <w:p>
      <w:pPr>
        <w:spacing w:after="60" w:line="250"/>
      </w:pPr>
    </w:p>
    <w:p>
      <w:pPr>
        <w:pStyle w:val="Heading2"/>
        <w:spacing w:after="200" w:before="400" w:line="250"/>
      </w:pPr>
      <w:r>
        <w:rPr>
          <w:rFonts w:ascii="Times New Roman" w:cs="Times New Roman" w:eastAsia="Times New Roman" w:hAnsi="Times New Roman"/>
          <w:b/>
          <w:bCs/>
          <w:color w:val="26211F"/>
          <w:sz w:val="28"/>
          <w:szCs w:val="28"/>
        </w:rPr>
        <w:t xml:space="preserve">9.2 CollectionCaseAction</w:t>
      </w:r>
    </w:p>
    <w:p>
      <w:pPr>
        <w:spacing w:after="120" w:line="250"/>
      </w:pPr>
      <w:r>
        <w:rPr>
          <w:rFonts w:ascii="Calibri" w:cs="Calibri" w:eastAsia="Calibri" w:hAnsi="Calibri"/>
          <w:color w:val="3D3735"/>
          <w:sz w:val="22"/>
          <w:szCs w:val="22"/>
        </w:rPr>
        <w:t xml:space="preserve">Hər collection action-ı CollectionCaseAction entity-si izləyir (addon_coll_action cədvəli). Action sahələri: type (CollectionCaseActionType), date, description (300 simvol), comment (300 simvol), shortNote (CollectionCaseShortNote), ptpDate (PTP tarixi), ptp (PTP flaqı), ptpAmount (PTP məbləği).</w:t>
      </w:r>
    </w:p>
    <w:p>
      <w:pPr>
        <w:pStyle w:val="Heading2"/>
        <w:spacing w:after="200" w:before="400" w:line="250"/>
      </w:pPr>
      <w:r>
        <w:rPr>
          <w:rFonts w:ascii="Times New Roman" w:cs="Times New Roman" w:eastAsia="Times New Roman" w:hAnsi="Times New Roman"/>
          <w:b/>
          <w:bCs/>
          <w:color w:val="26211F"/>
          <w:sz w:val="28"/>
          <w:szCs w:val="28"/>
        </w:rPr>
        <w:t xml:space="preserve">9.3 Collection Mərhələləri</w:t>
      </w:r>
    </w:p>
    <w:p>
      <w:pPr>
        <w:spacing w:after="120" w:line="250"/>
      </w:pPr>
      <w:r>
        <w:rPr>
          <w:rFonts w:ascii="Calibri" w:cs="Calibri" w:eastAsia="Calibri" w:hAnsi="Calibri"/>
          <w:color w:val="3D3735"/>
          <w:sz w:val="22"/>
          <w:szCs w:val="22"/>
        </w:rPr>
        <w:t xml:space="preserve">Collection prosesi 5 mərhələdən ibarətdir. Hər mərhələdə collector fərqli olur və daysInArrear dəyərinə əsasən keçid edilir:</w:t>
      </w:r>
    </w:p>
    <w:p>
      <w:pPr>
        <w:pStyle w:val="Heading3"/>
        <w:spacing w:after="150" w:before="300" w:line="250"/>
      </w:pPr>
      <w:r>
        <w:rPr>
          <w:rFonts w:ascii="Times New Roman" w:cs="Times New Roman" w:eastAsia="Times New Roman" w:hAnsi="Times New Roman"/>
          <w:b/>
          <w:bCs/>
          <w:color w:val="6B6361"/>
          <w:sz w:val="24"/>
          <w:szCs w:val="24"/>
        </w:rPr>
        <w:t xml:space="preserve">9.3.1 SOFT2 Stage</w:t>
      </w:r>
    </w:p>
    <w:p>
      <w:pPr>
        <w:spacing w:after="120" w:line="250"/>
      </w:pPr>
      <w:r>
        <w:rPr>
          <w:rFonts w:ascii="Calibri" w:cs="Calibri" w:eastAsia="Calibri" w:hAnsi="Calibri"/>
          <w:color w:val="3D3735"/>
          <w:sz w:val="22"/>
          <w:szCs w:val="22"/>
        </w:rPr>
        <w:t xml:space="preserve">SOFT2 stage-ə gecikmə 31 gündən çox olduqda keçid edilir. SOFT2-də gecikmə 91 gündən çoxdursa növbəti mərhələyə (SOFT3) keçid edilir. Əgər gecikmə daysLimitSoft dəyərini keçibsə, iki dəfə transit olur (legal track-ə). Gecikmə 31 gündən azdırsa əvvəlki mərhələyə qayıdır.</w:t>
      </w:r>
    </w:p>
    <w:p>
      <w:pPr>
        <w:pStyle w:val="Heading3"/>
        <w:spacing w:after="150" w:before="300" w:line="250"/>
      </w:pPr>
      <w:r>
        <w:rPr>
          <w:rFonts w:ascii="Times New Roman" w:cs="Times New Roman" w:eastAsia="Times New Roman" w:hAnsi="Times New Roman"/>
          <w:b/>
          <w:bCs/>
          <w:color w:val="6B6361"/>
          <w:sz w:val="24"/>
          <w:szCs w:val="24"/>
        </w:rPr>
        <w:t xml:space="preserve">9.3.2 SOFT3 Stage</w:t>
      </w:r>
    </w:p>
    <w:p>
      <w:pPr>
        <w:spacing w:after="120" w:line="250"/>
      </w:pPr>
      <w:r>
        <w:rPr>
          <w:rFonts w:ascii="Calibri" w:cs="Calibri" w:eastAsia="Calibri" w:hAnsi="Calibri"/>
          <w:color w:val="3D3735"/>
          <w:sz w:val="22"/>
          <w:szCs w:val="22"/>
        </w:rPr>
        <w:t xml:space="preserve">SOFT3-də gecikmə 91 gündən çoxdursa SOFT4-ə keçid edilir. daysLimitSoft dəyərini keçəndə 3 dəfə transit edilir. Gecikmə 31 gündən azdırsa 2 dəfə, 61 gündən azdırsa 1 dəfə transit edilir.</w:t>
      </w:r>
    </w:p>
    <w:p>
      <w:pPr>
        <w:pStyle w:val="Heading3"/>
        <w:spacing w:after="150" w:before="300" w:line="250"/>
      </w:pPr>
      <w:r>
        <w:rPr>
          <w:rFonts w:ascii="Times New Roman" w:cs="Times New Roman" w:eastAsia="Times New Roman" w:hAnsi="Times New Roman"/>
          <w:b/>
          <w:bCs/>
          <w:color w:val="6B6361"/>
          <w:sz w:val="24"/>
          <w:szCs w:val="24"/>
        </w:rPr>
        <w:t xml:space="preserve">9.3.3 SOFT4 Stage</w:t>
      </w:r>
    </w:p>
    <w:p>
      <w:pPr>
        <w:spacing w:after="120" w:line="250"/>
      </w:pPr>
      <w:r>
        <w:rPr>
          <w:rFonts w:ascii="Calibri" w:cs="Calibri" w:eastAsia="Calibri" w:hAnsi="Calibri"/>
          <w:color w:val="3D3735"/>
          <w:sz w:val="22"/>
          <w:szCs w:val="22"/>
        </w:rPr>
        <w:t xml:space="preserve">SOFT4-də gecikmə 500 gündən çoxdursa və məhkəmə sənədi yoxdursa email göndərilir (template: col_61days). Məhkəmə sənədi varsa HARD-a keçid edilir. daysLimitSoft keçəndə 5 dəfə transit edilir. Gecikmə 31 → 4 transit, 61 → 3 transit, 91 → 1 transit.</w:t>
      </w:r>
    </w:p>
    <w:p>
      <w:pPr>
        <w:pStyle w:val="Heading3"/>
        <w:spacing w:after="150" w:before="300" w:line="250"/>
      </w:pPr>
      <w:r>
        <w:rPr>
          <w:rFonts w:ascii="Times New Roman" w:cs="Times New Roman" w:eastAsia="Times New Roman" w:hAnsi="Times New Roman"/>
          <w:b/>
          <w:bCs/>
          <w:color w:val="6B6361"/>
          <w:sz w:val="24"/>
          <w:szCs w:val="24"/>
        </w:rPr>
        <w:t xml:space="preserve">9.3.4 HARD Stage</w:t>
      </w:r>
    </w:p>
    <w:p>
      <w:pPr>
        <w:spacing w:after="120" w:line="250"/>
      </w:pPr>
      <w:r>
        <w:rPr>
          <w:rFonts w:ascii="Calibri" w:cs="Calibri" w:eastAsia="Calibri" w:hAnsi="Calibri"/>
          <w:color w:val="3D3735"/>
          <w:sz w:val="22"/>
          <w:szCs w:val="22"/>
        </w:rPr>
        <w:t xml:space="preserve">HARD stage-də gecikmə 200 gündən çoxdursa və məhkəmə qərarı yoxdursa email göndərilir (template: col_181days). 200 gündən çox və ya məhkəmə qərarı mövcuddursa LEGAL-a keçid edilir. Kredit bağlanıbsa cc.close() çağırılır.</w:t>
      </w:r>
    </w:p>
    <w:p>
      <w:pPr>
        <w:pStyle w:val="Heading2"/>
        <w:spacing w:after="200" w:before="400" w:line="250"/>
      </w:pPr>
      <w:r>
        <w:rPr>
          <w:rFonts w:ascii="Times New Roman" w:cs="Times New Roman" w:eastAsia="Times New Roman" w:hAnsi="Times New Roman"/>
          <w:b/>
          <w:bCs/>
          <w:color w:val="26211F"/>
          <w:sz w:val="28"/>
          <w:szCs w:val="28"/>
        </w:rPr>
        <w:t xml:space="preserve">9.4 Collector Rolları</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200"/>
        <w:gridCol w:w="2500"/>
        <w:gridCol w:w="3660"/>
      </w:tblGrid>
      <w:tr>
        <w:trPr>
          <w:tblHeader/>
        </w:trPr>
        <w:tc>
          <w:tcPr>
            <w:tcW w:type="dxa" w:w="20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Rol</w:t>
            </w:r>
          </w:p>
        </w:tc>
        <w:tc>
          <w:tcPr>
            <w:tcW w:type="dxa" w:w="12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Kod</w:t>
            </w:r>
          </w:p>
        </w:tc>
        <w:tc>
          <w:tcPr>
            <w:tcW w:type="dxa" w:w="25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Təsviri</w:t>
            </w:r>
          </w:p>
        </w:tc>
        <w:tc>
          <w:tcPr>
            <w:tcW w:type="dxa" w:w="366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Assignment Handler</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Soft Collector</w:t>
            </w:r>
          </w:p>
        </w:tc>
        <w:tc>
          <w:tcPr>
            <w:tcW w:type="dxa" w:w="1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softCollector</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Gecikmənin ilkin mərhələsi</w:t>
            </w:r>
          </w:p>
        </w:tc>
        <w:tc>
          <w:tcPr>
            <w:tcW w:type="dxa" w:w="36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Swimlane</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Soft 2 Collector</w:t>
            </w:r>
          </w:p>
        </w:tc>
        <w:tc>
          <w:tcPr>
            <w:tcW w:type="dxa" w:w="1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SCOL</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31-91 gün gecikmə</w:t>
            </w:r>
          </w:p>
        </w:tc>
        <w:tc>
          <w:tcPr>
            <w:tcW w:type="dxa" w:w="36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AssignmentHandlerSoft2Collector</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Soft 3 Collector</w:t>
            </w:r>
          </w:p>
        </w:tc>
        <w:tc>
          <w:tcPr>
            <w:tcW w:type="dxa" w:w="1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91-500 gün gecikmə</w:t>
            </w:r>
          </w:p>
        </w:tc>
        <w:tc>
          <w:tcPr>
            <w:tcW w:type="dxa" w:w="36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AssignmentHandlerSoft3Collector</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Soft 4 Collector</w:t>
            </w:r>
          </w:p>
        </w:tc>
        <w:tc>
          <w:tcPr>
            <w:tcW w:type="dxa" w:w="1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500+ gün gecikmə</w:t>
            </w:r>
          </w:p>
        </w:tc>
        <w:tc>
          <w:tcPr>
            <w:tcW w:type="dxa" w:w="36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Swimlane</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Hard Collector</w:t>
            </w:r>
          </w:p>
        </w:tc>
        <w:tc>
          <w:tcPr>
            <w:tcW w:type="dxa" w:w="1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hardCollector</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Ciddi gecikmə</w:t>
            </w:r>
          </w:p>
        </w:tc>
        <w:tc>
          <w:tcPr>
            <w:tcW w:type="dxa" w:w="36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Swimlane</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Legal Collector</w:t>
            </w:r>
          </w:p>
        </w:tc>
        <w:tc>
          <w:tcPr>
            <w:tcW w:type="dxa" w:w="1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Hüquqi proses</w:t>
            </w:r>
          </w:p>
        </w:tc>
        <w:tc>
          <w:tcPr>
            <w:tcW w:type="dxa" w:w="36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AssignmentHandlerLegalAdministrator</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Senior Collector</w:t>
            </w:r>
          </w:p>
        </w:tc>
        <w:tc>
          <w:tcPr>
            <w:tcW w:type="dxa" w:w="1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SLCOL</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Senior collector supervisor</w:t>
            </w:r>
          </w:p>
        </w:tc>
        <w:tc>
          <w:tcPr>
            <w:tcW w:type="dxa" w:w="36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getSeniorSoftCollector()</w:t>
            </w:r>
          </w:p>
        </w:tc>
      </w:tr>
      <w:tr>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Legal Administrator</w:t>
            </w:r>
          </w:p>
        </w:tc>
        <w:tc>
          <w:tcPr>
            <w:tcW w:type="dxa" w:w="12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w:t>
            </w:r>
          </w:p>
        </w:tc>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Hüquqi admin</w:t>
            </w:r>
          </w:p>
        </w:tc>
        <w:tc>
          <w:tcPr>
            <w:tcW w:type="dxa" w:w="36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getLegalAdministrator()</w:t>
            </w:r>
          </w:p>
        </w:tc>
      </w:tr>
    </w:tbl>
    <w:p>
      <w:pPr>
        <w:spacing w:after="60" w:line="250"/>
      </w:pPr>
    </w:p>
    <w:p>
      <w:pPr>
        <w:pStyle w:val="Heading2"/>
        <w:spacing w:after="200" w:before="400" w:line="250"/>
      </w:pPr>
      <w:r>
        <w:rPr>
          <w:rFonts w:ascii="Times New Roman" w:cs="Times New Roman" w:eastAsia="Times New Roman" w:hAnsi="Times New Roman"/>
          <w:b/>
          <w:bCs/>
          <w:color w:val="26211F"/>
          <w:sz w:val="28"/>
          <w:szCs w:val="28"/>
        </w:rPr>
        <w:t xml:space="preserve">9.5 Promise-to-Pay (PTP)</w:t>
      </w:r>
    </w:p>
    <w:p>
      <w:pPr>
        <w:spacing w:after="120" w:line="250"/>
      </w:pPr>
      <w:r>
        <w:rPr>
          <w:rFonts w:ascii="Calibri" w:cs="Calibri" w:eastAsia="Calibri" w:hAnsi="Calibri"/>
          <w:color w:val="3D3735"/>
          <w:sz w:val="22"/>
          <w:szCs w:val="22"/>
        </w:rPr>
        <w:t xml:space="preserve">Promise-to-Pay — müştərinin müəyyən tarixə ödəniş edəcəyi barədə承诺. PTP tarixi filial tarixinə bərabər olduqda addon_emailTemplateColCasePromisedPayment email şablonu ilə xatırlatma göndərilir. PTP amount və PTP date CollectionCaseAction-da saxlanılır.</w:t>
      </w:r>
    </w:p>
    <w:p>
      <w:pPr>
        <w:pStyle w:val="Heading1"/>
        <w:spacing w:after="300" w:before="600" w:line="250"/>
      </w:pPr>
      <w:r>
        <w:rPr>
          <w:rFonts w:ascii="Times New Roman" w:cs="Times New Roman" w:eastAsia="Times New Roman" w:hAnsi="Times New Roman"/>
          <w:b/>
          <w:bCs/>
          <w:color w:val="26211F"/>
          <w:sz w:val="36"/>
          <w:szCs w:val="36"/>
        </w:rPr>
        <w:t xml:space="preserve">10. Hüquqi Actionlar, Borc Yazılması və Yenidən Qurulma</w:t>
      </w:r>
    </w:p>
    <w:p>
      <w:pPr>
        <w:pStyle w:val="Heading2"/>
        <w:spacing w:after="200" w:before="400" w:line="250"/>
      </w:pPr>
      <w:r>
        <w:rPr>
          <w:rFonts w:ascii="Times New Roman" w:cs="Times New Roman" w:eastAsia="Times New Roman" w:hAnsi="Times New Roman"/>
          <w:b/>
          <w:bCs/>
          <w:color w:val="26211F"/>
          <w:sz w:val="28"/>
          <w:szCs w:val="28"/>
        </w:rPr>
        <w:t xml:space="preserve">10.1 CollectionLegalAction</w:t>
      </w:r>
    </w:p>
    <w:p>
      <w:pPr>
        <w:spacing w:after="120" w:line="250"/>
      </w:pPr>
      <w:r>
        <w:rPr>
          <w:rFonts w:ascii="Calibri" w:cs="Calibri" w:eastAsia="Calibri" w:hAnsi="Calibri"/>
          <w:color w:val="3D3735"/>
          <w:sz w:val="22"/>
          <w:szCs w:val="22"/>
        </w:rPr>
        <w:t xml:space="preserve">Məhkəmə prosesi CollectionLegalAction entity-si ilə idarə olunur (collect_legal_act cədvəli). Bu entity məhkəməyə təqdim olunan bütün hüquqi sənədləri, tarixləri və qərarları izləyir.</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500"/>
        <w:gridCol w:w="2000"/>
        <w:gridCol w:w="4860"/>
      </w:tblGrid>
      <w:tr>
        <w:trPr>
          <w:tblHeader/>
        </w:trPr>
        <w:tc>
          <w:tcPr>
            <w:tcW w:type="dxa" w:w="25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Sahə</w:t>
            </w:r>
          </w:p>
        </w:tc>
        <w:tc>
          <w:tcPr>
            <w:tcW w:type="dxa" w:w="20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Tip</w:t>
            </w:r>
          </w:p>
        </w:tc>
        <w:tc>
          <w:tcPr>
            <w:tcW w:type="dxa" w:w="486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Təsviri</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uuid</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String</w:t>
            </w:r>
          </w:p>
        </w:tc>
        <w:tc>
          <w:tcPr>
            <w:tcW w:type="dxa" w:w="48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UUID</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collection</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Collection</w:t>
            </w:r>
          </w:p>
        </w:tc>
        <w:tc>
          <w:tcPr>
            <w:tcW w:type="dxa" w:w="48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Əsas collection</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partner</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Partner</w:t>
            </w:r>
          </w:p>
        </w:tc>
        <w:tc>
          <w:tcPr>
            <w:tcW w:type="dxa" w:w="48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Müştəri</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loans</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List&lt;Loan&gt;</w:t>
            </w:r>
          </w:p>
        </w:tc>
        <w:tc>
          <w:tcPr>
            <w:tcW w:type="dxa" w:w="48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Əlaqədar kreditlər</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cancelled</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Boolean</w:t>
            </w:r>
          </w:p>
        </w:tc>
        <w:tc>
          <w:tcPr>
            <w:tcW w:type="dxa" w:w="48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Ləğv edilib</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creditCommitteeDate</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LWDate</w:t>
            </w:r>
          </w:p>
        </w:tc>
        <w:tc>
          <w:tcPr>
            <w:tcW w:type="dxa" w:w="48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KK tarixi</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suitDate</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LWDate</w:t>
            </w:r>
          </w:p>
        </w:tc>
        <w:tc>
          <w:tcPr>
            <w:tcW w:type="dxa" w:w="48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İddia tarixi</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legalSuitType</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LegalSuitType</w:t>
            </w:r>
          </w:p>
        </w:tc>
        <w:tc>
          <w:tcPr>
            <w:tcW w:type="dxa" w:w="48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İddia növü</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suitAmount</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LWMoney</w:t>
            </w:r>
          </w:p>
        </w:tc>
        <w:tc>
          <w:tcPr>
            <w:tcW w:type="dxa" w:w="48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İddia məbləği</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courtDocRec</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LWDate</w:t>
            </w:r>
          </w:p>
        </w:tc>
        <w:tc>
          <w:tcPr>
            <w:tcW w:type="dxa" w:w="48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Məhkəmə sənədi alınıb</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courtAppealDate</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LWDate</w:t>
            </w:r>
          </w:p>
        </w:tc>
        <w:tc>
          <w:tcPr>
            <w:tcW w:type="dxa" w:w="48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Apellyasiya tarixi</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courtDecisionDate</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LWDate</w:t>
            </w:r>
          </w:p>
        </w:tc>
        <w:tc>
          <w:tcPr>
            <w:tcW w:type="dxa" w:w="48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Məhkəmə qərarı tarixi</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courtDecision</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String(255)</w:t>
            </w:r>
          </w:p>
        </w:tc>
        <w:tc>
          <w:tcPr>
            <w:tcW w:type="dxa" w:w="48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Məhkəmə qərarı</w:t>
            </w:r>
          </w:p>
        </w:tc>
      </w:tr>
      <w:tr>
        <w:tc>
          <w:tcPr>
            <w:tcW w:type="dxa" w:w="25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court</w:t>
            </w:r>
          </w:p>
        </w:tc>
        <w:tc>
          <w:tcPr>
            <w:tcW w:type="dxa" w:w="20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Court</w:t>
            </w:r>
          </w:p>
        </w:tc>
        <w:tc>
          <w:tcPr>
            <w:tcW w:type="dxa" w:w="48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Məhkəmə entity</w:t>
            </w:r>
          </w:p>
        </w:tc>
      </w:tr>
    </w:tbl>
    <w:p>
      <w:pPr>
        <w:spacing w:after="60" w:line="250"/>
      </w:pPr>
    </w:p>
    <w:p>
      <w:pPr>
        <w:pStyle w:val="Heading2"/>
        <w:spacing w:after="200" w:before="400" w:line="250"/>
      </w:pPr>
      <w:r>
        <w:rPr>
          <w:rFonts w:ascii="Times New Roman" w:cs="Times New Roman" w:eastAsia="Times New Roman" w:hAnsi="Times New Roman"/>
          <w:b/>
          <w:bCs/>
          <w:color w:val="26211F"/>
          <w:sz w:val="28"/>
          <w:szCs w:val="28"/>
        </w:rPr>
        <w:t xml:space="preserve">10.2 Legal Action Trigger</w:t>
      </w:r>
    </w:p>
    <w:p>
      <w:pPr>
        <w:spacing w:after="120" w:line="250"/>
      </w:pPr>
      <w:r>
        <w:rPr>
          <w:rFonts w:ascii="Calibri" w:cs="Calibri" w:eastAsia="Calibri" w:hAnsi="Calibri"/>
          <w:color w:val="3D3735"/>
          <w:sz w:val="22"/>
          <w:szCs w:val="22"/>
        </w:rPr>
        <w:t xml:space="preserve">Hüquqi action 200+ gecikmə günündə və ya məhkəmə qərarının mövcudluğunda başlanır. Əgər gecikmə 200 gündən çoxdursa və məhkəmə qərarı yoxdursa, col_181days email şablonu ilə xatırlatma göndərilir. bpmopAssignResponsibleLegalCollector əməliyyatı ilə legal collector təyin edilir. _REGISTER COURT DECISION transition-ı ilə məhkəmə qətarı qeydiyyata alınır.</w:t>
      </w:r>
    </w:p>
    <w:p>
      <w:pPr>
        <w:pStyle w:val="Heading2"/>
        <w:spacing w:after="200" w:before="400" w:line="250"/>
      </w:pPr>
      <w:r>
        <w:rPr>
          <w:rFonts w:ascii="Times New Roman" w:cs="Times New Roman" w:eastAsia="Times New Roman" w:hAnsi="Times New Roman"/>
          <w:b/>
          <w:bCs/>
          <w:color w:val="26211F"/>
          <w:sz w:val="28"/>
          <w:szCs w:val="28"/>
        </w:rPr>
        <w:t xml:space="preserve">10.3 Write-Off (Borc Yazılması)</w:t>
      </w:r>
    </w:p>
    <w:p>
      <w:pPr>
        <w:spacing w:after="120" w:line="250"/>
      </w:pPr>
      <w:r>
        <w:rPr>
          <w:rFonts w:ascii="Calibri" w:cs="Calibri" w:eastAsia="Calibri" w:hAnsi="Calibri"/>
          <w:color w:val="3D3735"/>
          <w:sz w:val="22"/>
          <w:szCs w:val="22"/>
        </w:rPr>
        <w:t xml:space="preserve">Borc yazılması WriteOffJob (ZWRITEOFF_JOB) vasitəsilə batch şəklində həyata keçirilir. CSV fayllar oxunur (5 sütun: agreementNumber, repaymentId, strDate, amount, writeOffReasonId+comment). MAX_WRITEOFF_DELAY_IN_DAYS = 3 — maksimum 3 gün gecikmə. WriteOffReason entity-si yazılma səbəbini saxlayır. WriteOffValidator validateDate() metodu ilə yazılmanın icrasına icazə verir. Kredit statusu S010 (Off-Balance) olur.</w:t>
      </w:r>
    </w:p>
    <w:p>
      <w:pPr>
        <w:pStyle w:val="Heading2"/>
        <w:spacing w:after="200" w:before="400" w:line="250"/>
      </w:pPr>
      <w:r>
        <w:rPr>
          <w:rFonts w:ascii="Times New Roman" w:cs="Times New Roman" w:eastAsia="Times New Roman" w:hAnsi="Times New Roman"/>
          <w:b/>
          <w:bCs/>
          <w:color w:val="26211F"/>
          <w:sz w:val="28"/>
          <w:szCs w:val="28"/>
        </w:rPr>
        <w:t xml:space="preserve">10.4 Loan Restructure (Yenidən Qurulma)</w:t>
      </w:r>
    </w:p>
    <w:p>
      <w:pPr>
        <w:spacing w:after="120" w:line="250"/>
      </w:pPr>
      <w:r>
        <w:rPr>
          <w:rFonts w:ascii="Calibri" w:cs="Calibri" w:eastAsia="Calibri" w:hAnsi="Calibri"/>
          <w:color w:val="3D3735"/>
          <w:sz w:val="22"/>
          <w:szCs w:val="22"/>
        </w:rPr>
        <w:t xml:space="preserve">Kreditin yenidən qurulması LoanRestructure entity-si ilə həyata keçirilir (LW_LOAN_RESTRUCTURE cədvəli). createNewLoanRestructure(Loan, LWDate, Integer, LWMoney) factory metodu köhnə term və məbləği saxlayır, yeni dəyərləri təyin edir.</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800"/>
        <w:gridCol w:w="1800"/>
        <w:gridCol w:w="4760"/>
      </w:tblGrid>
      <w:tr>
        <w:trPr>
          <w:tblHeader/>
        </w:trPr>
        <w:tc>
          <w:tcPr>
            <w:tcW w:type="dxa" w:w="28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Sahə</w:t>
            </w:r>
          </w:p>
        </w:tc>
        <w:tc>
          <w:tcPr>
            <w:tcW w:type="dxa" w:w="180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Tip</w:t>
            </w:r>
          </w:p>
        </w:tc>
        <w:tc>
          <w:tcPr>
            <w:tcW w:type="dxa" w:w="4760"/>
            <w:tcBorders>
              <w:top w:val="single" w:color="26211F" w:sz="12"/>
              <w:left w:val="nil"/>
              <w:bottom w:val="single" w:color="26211F" w:sz="12"/>
              <w:right w:val="nil"/>
            </w:tcBorders>
            <w:shd w:fill="FDFCFB" w:val="clear"/>
            <w:vAlign w:val="center"/>
          </w:tcPr>
          <w:p>
            <w:pPr>
              <w:spacing w:after="0" w:line="250"/>
              <w:jc w:val="center"/>
            </w:pPr>
            <w:r>
              <w:rPr>
                <w:rFonts w:ascii="Calibri" w:cs="Calibri" w:eastAsia="Calibri" w:hAnsi="Calibri"/>
                <w:b/>
                <w:bCs/>
                <w:color w:val="26211F"/>
                <w:sz w:val="20"/>
                <w:szCs w:val="20"/>
              </w:rPr>
              <w:t xml:space="preserve">Təsviri</w:t>
            </w:r>
          </w:p>
        </w:tc>
      </w:tr>
      <w:tr>
        <w:tc>
          <w:tcPr>
            <w:tcW w:type="dxa" w:w="2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w:t>
            </w:r>
          </w:p>
        </w:tc>
        <w:tc>
          <w:tcPr>
            <w:tcW w:type="dxa" w:w="1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w:t>
            </w:r>
          </w:p>
        </w:tc>
        <w:tc>
          <w:tcPr>
            <w:tcW w:type="dxa" w:w="47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Kredit</w:t>
            </w:r>
          </w:p>
        </w:tc>
      </w:tr>
      <w:tr>
        <w:tc>
          <w:tcPr>
            <w:tcW w:type="dxa" w:w="2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date</w:t>
            </w:r>
          </w:p>
        </w:tc>
        <w:tc>
          <w:tcPr>
            <w:tcW w:type="dxa" w:w="1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LWDate</w:t>
            </w:r>
          </w:p>
        </w:tc>
        <w:tc>
          <w:tcPr>
            <w:tcW w:type="dxa" w:w="47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Yenidən qurulma tarixi</w:t>
            </w:r>
          </w:p>
        </w:tc>
      </w:tr>
      <w:tr>
        <w:tc>
          <w:tcPr>
            <w:tcW w:type="dxa" w:w="2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oldTerm</w:t>
            </w:r>
          </w:p>
        </w:tc>
        <w:tc>
          <w:tcPr>
            <w:tcW w:type="dxa" w:w="1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Integer</w:t>
            </w:r>
          </w:p>
        </w:tc>
        <w:tc>
          <w:tcPr>
            <w:tcW w:type="dxa" w:w="47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Köhnə müddət</w:t>
            </w:r>
          </w:p>
        </w:tc>
      </w:tr>
      <w:tr>
        <w:tc>
          <w:tcPr>
            <w:tcW w:type="dxa" w:w="2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newTerm</w:t>
            </w:r>
          </w:p>
        </w:tc>
        <w:tc>
          <w:tcPr>
            <w:tcW w:type="dxa" w:w="1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Integer</w:t>
            </w:r>
          </w:p>
        </w:tc>
        <w:tc>
          <w:tcPr>
            <w:tcW w:type="dxa" w:w="47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Yeni müddət</w:t>
            </w:r>
          </w:p>
        </w:tc>
      </w:tr>
      <w:tr>
        <w:tc>
          <w:tcPr>
            <w:tcW w:type="dxa" w:w="2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oldTotalApprovedAmount</w:t>
            </w:r>
          </w:p>
        </w:tc>
        <w:tc>
          <w:tcPr>
            <w:tcW w:type="dxa" w:w="1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LWMoney</w:t>
            </w:r>
          </w:p>
        </w:tc>
        <w:tc>
          <w:tcPr>
            <w:tcW w:type="dxa" w:w="47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Köhnə təsdiq edilmiş məbləğ</w:t>
            </w:r>
          </w:p>
        </w:tc>
      </w:tr>
      <w:tr>
        <w:tc>
          <w:tcPr>
            <w:tcW w:type="dxa" w:w="2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newTotalApprovedAmount</w:t>
            </w:r>
          </w:p>
        </w:tc>
        <w:tc>
          <w:tcPr>
            <w:tcW w:type="dxa" w:w="1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LWMoney</w:t>
            </w:r>
          </w:p>
        </w:tc>
        <w:tc>
          <w:tcPr>
            <w:tcW w:type="dxa" w:w="47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Yeni təsdiq edilmiş məbləğ</w:t>
            </w:r>
          </w:p>
        </w:tc>
      </w:tr>
      <w:tr>
        <w:tc>
          <w:tcPr>
            <w:tcW w:type="dxa" w:w="2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restructureType</w:t>
            </w:r>
          </w:p>
        </w:tc>
        <w:tc>
          <w:tcPr>
            <w:tcW w:type="dxa" w:w="1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LoanRestructureType</w:t>
            </w:r>
          </w:p>
        </w:tc>
        <w:tc>
          <w:tcPr>
            <w:tcW w:type="dxa" w:w="47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Yenidən qurulma növü</w:t>
            </w:r>
          </w:p>
        </w:tc>
      </w:tr>
      <w:tr>
        <w:tc>
          <w:tcPr>
            <w:tcW w:type="dxa" w:w="2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daysInArrear</w:t>
            </w:r>
          </w:p>
        </w:tc>
        <w:tc>
          <w:tcPr>
            <w:tcW w:type="dxa" w:w="1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Integer</w:t>
            </w:r>
          </w:p>
        </w:tc>
        <w:tc>
          <w:tcPr>
            <w:tcW w:type="dxa" w:w="47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Yenidən qurulma anında gecikmə günləri</w:t>
            </w:r>
          </w:p>
        </w:tc>
      </w:tr>
      <w:tr>
        <w:tc>
          <w:tcPr>
            <w:tcW w:type="dxa" w:w="2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restructuredMonths</w:t>
            </w:r>
          </w:p>
        </w:tc>
        <w:tc>
          <w:tcPr>
            <w:tcW w:type="dxa" w:w="1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Integer</w:t>
            </w:r>
          </w:p>
        </w:tc>
        <w:tc>
          <w:tcPr>
            <w:tcW w:type="dxa" w:w="47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Yenidən qurulmuş aylar</w:t>
            </w:r>
          </w:p>
        </w:tc>
      </w:tr>
      <w:tr>
        <w:tc>
          <w:tcPr>
            <w:tcW w:type="dxa" w:w="2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comment</w:t>
            </w:r>
          </w:p>
        </w:tc>
        <w:tc>
          <w:tcPr>
            <w:tcW w:type="dxa" w:w="180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String</w:t>
            </w:r>
          </w:p>
        </w:tc>
        <w:tc>
          <w:tcPr>
            <w:tcW w:type="dxa" w:w="4760"/>
            <w:tcBorders>
              <w:top w:val="single" w:color="26211F" w:sz="12"/>
              <w:left w:val="nil"/>
              <w:bottom w:val="single" w:color="26211F" w:sz="12"/>
              <w:right w:val="nil"/>
            </w:tcBorders>
            <w:vAlign w:val="center"/>
          </w:tcPr>
          <w:p>
            <w:pPr>
              <w:spacing w:after="0" w:line="250"/>
            </w:pPr>
            <w:r>
              <w:rPr>
                <w:rFonts w:ascii="Calibri" w:cs="Calibri" w:eastAsia="Calibri" w:hAnsi="Calibri"/>
                <w:color w:val="3D3735"/>
                <w:sz w:val="20"/>
                <w:szCs w:val="20"/>
              </w:rPr>
              <w:t xml:space="preserve">Şərh</w:t>
            </w:r>
          </w:p>
        </w:tc>
      </w:tr>
    </w:tbl>
    <w:p>
      <w:pPr>
        <w:spacing w:after="60" w:line="250"/>
      </w:pPr>
    </w:p>
    <w:p>
      <w:pPr>
        <w:spacing w:after="120" w:line="250"/>
      </w:pPr>
      <w:r>
        <w:rPr>
          <w:rFonts w:ascii="Calibri" w:cs="Calibri" w:eastAsia="Calibri" w:hAnsi="Calibri"/>
          <w:color w:val="3D3735"/>
          <w:sz w:val="22"/>
          <w:szCs w:val="22"/>
        </w:rPr>
        <w:t xml:space="preserve">RestructureEndorsement — birdən çox kreditin eyni vaxtda yenidən qurulması üçün istifadə olunur. Bu entity filial, müştəri, əlaqədar kreditlər siyahısı, status və kredit komitəsi reference-sini saxlayır. createNewRestructureEndorsement(Branch, Partner, List&lt;Loan&gt;) factory metodu hər kredit üçün RestructureEndorsementLoan yaradır.</w:t>
      </w:r>
    </w:p>
    <w:p>
      <w:pPr>
        <w:pStyle w:val="Heading2"/>
        <w:spacing w:after="200" w:before="400" w:line="250"/>
      </w:pPr>
      <w:r>
        <w:rPr>
          <w:rFonts w:ascii="Times New Roman" w:cs="Times New Roman" w:eastAsia="Times New Roman" w:hAnsi="Times New Roman"/>
          <w:b/>
          <w:bCs/>
          <w:color w:val="26211F"/>
          <w:sz w:val="28"/>
          <w:szCs w:val="28"/>
        </w:rPr>
        <w:t xml:space="preserve">10.5 Tam Status Machine Diagramı</w:t>
      </w:r>
    </w:p>
    <w:p>
      <w:pPr>
        <w:shd w:fill="F8F6F4" w:val="clear"/>
        <w:spacing w:after="0" w:line="250"/>
        <w:ind w:left="360"/>
      </w:pPr>
      <w:r>
        <w:rPr>
          <w:rFonts w:ascii="Courier New" w:cs="Courier New" w:eastAsia="Courier New" w:hAnsi="Courier New"/>
          <w:color w:val="3D3735"/>
          <w:sz w:val="18"/>
          <w:szCs w:val="18"/>
        </w:rPr>
        <w:t xml:space="preserve">[Müraciət Yaradılır]</w:t>
      </w:r>
    </w:p>
    <w:p>
      <w:pPr>
        <w:shd w:fill="F8F6F4" w:val="clear"/>
        <w:spacing w:after="0" w:line="250"/>
        <w:ind w:left="360"/>
      </w:pPr>
      <w:r>
        <w:rPr>
          <w:rFonts w:ascii="Courier New" w:cs="Courier New" w:eastAsia="Courier New" w:hAnsi="Courier New"/>
          <w:color w:val="3D3735"/>
          <w:sz w:val="18"/>
          <w:szCs w:val="18"/>
        </w:rPr>
        <w:t xml:space="preserve">       │</w:t>
      </w:r>
    </w:p>
    <w:p>
      <w:pPr>
        <w:shd w:fill="F8F6F4" w:val="clear"/>
        <w:spacing w:after="0" w:line="250"/>
        <w:ind w:left="360"/>
      </w:pPr>
      <w:r>
        <w:rPr>
          <w:rFonts w:ascii="Courier New" w:cs="Courier New" w:eastAsia="Courier New" w:hAnsi="Courier New"/>
          <w:color w:val="3D3735"/>
          <w:sz w:val="18"/>
          <w:szCs w:val="18"/>
        </w:rPr>
        <w:t xml:space="preserve">       ├── OTP Verifikasiya (QuickSMS: OTP şablonu)</w:t>
      </w:r>
    </w:p>
    <w:p>
      <w:pPr>
        <w:shd w:fill="F8F6F4" w:val="clear"/>
        <w:spacing w:after="0" w:line="250"/>
        <w:ind w:left="360"/>
      </w:pPr>
      <w:r>
        <w:rPr>
          <w:rFonts w:ascii="Courier New" w:cs="Courier New" w:eastAsia="Courier New" w:hAnsi="Courier New"/>
          <w:color w:val="3D3735"/>
          <w:sz w:val="18"/>
          <w:szCs w:val="18"/>
        </w:rPr>
        <w:t xml:space="preserve">       ├── KYC Video Recording (VideoRecordingData)</w:t>
      </w:r>
    </w:p>
    <w:p>
      <w:pPr>
        <w:shd w:fill="F8F6F4" w:val="clear"/>
        <w:spacing w:after="0" w:line="250"/>
        <w:ind w:left="360"/>
      </w:pPr>
      <w:r>
        <w:rPr>
          <w:rFonts w:ascii="Courier New" w:cs="Courier New" w:eastAsia="Courier New" w:hAnsi="Courier New"/>
          <w:color w:val="3D3735"/>
          <w:sz w:val="18"/>
          <w:szCs w:val="18"/>
        </w:rPr>
        <w:t xml:space="preserve">       ▼</w:t>
      </w:r>
    </w:p>
    <w:p>
      <w:pPr>
        <w:shd w:fill="F8F6F4" w:val="clear"/>
        <w:spacing w:after="0" w:line="250"/>
        <w:ind w:left="360"/>
      </w:pPr>
      <w:r>
        <w:rPr>
          <w:rFonts w:ascii="Courier New" w:cs="Courier New" w:eastAsia="Courier New" w:hAnsi="Courier New"/>
          <w:color w:val="3D3735"/>
          <w:sz w:val="18"/>
          <w:szCs w:val="18"/>
        </w:rPr>
        <w:t xml:space="preserve">  [S001: New] ◄─── bpmopCancelNewLoan ──→ [S009: Cancelled New]</w:t>
      </w:r>
    </w:p>
    <w:p>
      <w:pPr>
        <w:shd w:fill="F8F6F4" w:val="clear"/>
        <w:spacing w:after="0" w:line="250"/>
        <w:ind w:left="360"/>
      </w:pPr>
      <w:r>
        <w:rPr>
          <w:rFonts w:ascii="Courier New" w:cs="Courier New" w:eastAsia="Courier New" w:hAnsi="Courier New"/>
          <w:color w:val="3D3735"/>
          <w:sz w:val="18"/>
          <w:szCs w:val="18"/>
        </w:rPr>
        <w:t xml:space="preserve">       │</w:t>
      </w:r>
    </w:p>
    <w:p>
      <w:pPr>
        <w:shd w:fill="F8F6F4" w:val="clear"/>
        <w:spacing w:after="0" w:line="250"/>
        <w:ind w:left="360"/>
      </w:pPr>
      <w:r>
        <w:rPr>
          <w:rFonts w:ascii="Courier New" w:cs="Courier New" w:eastAsia="Courier New" w:hAnsi="Courier New"/>
          <w:color w:val="3D3735"/>
          <w:sz w:val="18"/>
          <w:szCs w:val="18"/>
        </w:rPr>
        <w:t xml:space="preserve">       ├── Prescoring (4-prioritet kaskad)</w:t>
      </w:r>
    </w:p>
    <w:p>
      <w:pPr>
        <w:shd w:fill="F8F6F4" w:val="clear"/>
        <w:spacing w:after="0" w:line="250"/>
        <w:ind w:left="360"/>
      </w:pPr>
      <w:r>
        <w:rPr>
          <w:rFonts w:ascii="Courier New" w:cs="Courier New" w:eastAsia="Courier New" w:hAnsi="Courier New"/>
          <w:color w:val="3D3735"/>
          <w:sz w:val="18"/>
          <w:szCs w:val="18"/>
        </w:rPr>
        <w:t xml:space="preserve">       │   ├── Priority 1: Rədd tarixi (R_1010-R_1110)</w:t>
      </w:r>
    </w:p>
    <w:p>
      <w:pPr>
        <w:shd w:fill="F8F6F4" w:val="clear"/>
        <w:spacing w:after="0" w:line="250"/>
        <w:ind w:left="360"/>
      </w:pPr>
      <w:r>
        <w:rPr>
          <w:rFonts w:ascii="Courier New" w:cs="Courier New" w:eastAsia="Courier New" w:hAnsi="Courier New"/>
          <w:color w:val="3D3735"/>
          <w:sz w:val="18"/>
          <w:szCs w:val="18"/>
        </w:rPr>
        <w:t xml:space="preserve">       │   ├── Priority 2: Yaş (R_2010)</w:t>
      </w:r>
    </w:p>
    <w:p>
      <w:pPr>
        <w:shd w:fill="F8F6F4" w:val="clear"/>
        <w:spacing w:after="0" w:line="250"/>
        <w:ind w:left="360"/>
      </w:pPr>
      <w:r>
        <w:rPr>
          <w:rFonts w:ascii="Courier New" w:cs="Courier New" w:eastAsia="Courier New" w:hAnsi="Courier New"/>
          <w:color w:val="3D3735"/>
          <w:sz w:val="18"/>
          <w:szCs w:val="18"/>
        </w:rPr>
        <w:t xml:space="preserve">       │   ├── Priority 3: AKB Score min 200 (R_3010, R_3020)</w:t>
      </w:r>
    </w:p>
    <w:p>
      <w:pPr>
        <w:shd w:fill="F8F6F4" w:val="clear"/>
        <w:spacing w:after="0" w:line="250"/>
        <w:ind w:left="360"/>
      </w:pPr>
      <w:r>
        <w:rPr>
          <w:rFonts w:ascii="Courier New" w:cs="Courier New" w:eastAsia="Courier New" w:hAnsi="Courier New"/>
          <w:color w:val="3D3735"/>
          <w:sz w:val="18"/>
          <w:szCs w:val="18"/>
        </w:rPr>
        <w:t xml:space="preserve">       │   └── Priority 4: Overdue/Delinquency (R_4020, R_4021)</w:t>
      </w:r>
    </w:p>
    <w:p>
      <w:pPr>
        <w:shd w:fill="F8F6F4" w:val="clear"/>
        <w:spacing w:after="0" w:line="250"/>
        <w:ind w:left="360"/>
      </w:pPr>
      <w:r>
        <w:rPr>
          <w:rFonts w:ascii="Courier New" w:cs="Courier New" w:eastAsia="Courier New" w:hAnsi="Courier New"/>
          <w:color w:val="3D3735"/>
          <w:sz w:val="18"/>
          <w:szCs w:val="18"/>
        </w:rPr>
        <w:t xml:space="preserve">       │</w:t>
      </w:r>
    </w:p>
    <w:p>
      <w:pPr>
        <w:shd w:fill="F8F6F4" w:val="clear"/>
        <w:spacing w:after="0" w:line="250"/>
        <w:ind w:left="360"/>
      </w:pPr>
      <w:r>
        <w:rPr>
          <w:rFonts w:ascii="Courier New" w:cs="Courier New" w:eastAsia="Courier New" w:hAnsi="Courier New"/>
          <w:color w:val="3D3735"/>
          <w:sz w:val="18"/>
          <w:szCs w:val="18"/>
        </w:rPr>
        <w:t xml:space="preserve">       ├── Scoring (MKR + Score Card)</w:t>
      </w:r>
    </w:p>
    <w:p>
      <w:pPr>
        <w:shd w:fill="F8F6F4" w:val="clear"/>
        <w:spacing w:after="0" w:line="250"/>
        <w:ind w:left="360"/>
      </w:pPr>
      <w:r>
        <w:rPr>
          <w:rFonts w:ascii="Courier New" w:cs="Courier New" w:eastAsia="Courier New" w:hAnsi="Courier New"/>
          <w:color w:val="3D3735"/>
          <w:sz w:val="18"/>
          <w:szCs w:val="18"/>
        </w:rPr>
        <w:t xml:space="preserve">       │   └── Rədd → sms_template: APLREJ</w:t>
      </w:r>
    </w:p>
    <w:p>
      <w:pPr>
        <w:shd w:fill="F8F6F4" w:val="clear"/>
        <w:spacing w:after="0" w:line="250"/>
        <w:ind w:left="360"/>
      </w:pPr>
      <w:r>
        <w:rPr>
          <w:rFonts w:ascii="Courier New" w:cs="Courier New" w:eastAsia="Courier New" w:hAnsi="Courier New"/>
          <w:color w:val="3D3735"/>
          <w:sz w:val="18"/>
          <w:szCs w:val="18"/>
        </w:rPr>
        <w:t xml:space="preserve">       │</w:t>
      </w:r>
    </w:p>
    <w:p>
      <w:pPr>
        <w:shd w:fill="F8F6F4" w:val="clear"/>
        <w:spacing w:after="0" w:line="250"/>
        <w:ind w:left="360"/>
      </w:pPr>
      <w:r>
        <w:rPr>
          <w:rFonts w:ascii="Courier New" w:cs="Courier New" w:eastAsia="Courier New" w:hAnsi="Courier New"/>
          <w:color w:val="3D3735"/>
          <w:sz w:val="18"/>
          <w:szCs w:val="18"/>
        </w:rPr>
        <w:t xml:space="preserve">       ├── Credit Committee (əgər lazımdırsa)</w:t>
      </w:r>
    </w:p>
    <w:p>
      <w:pPr>
        <w:shd w:fill="F8F6F4" w:val="clear"/>
        <w:spacing w:after="0" w:line="250"/>
        <w:ind w:left="360"/>
      </w:pPr>
      <w:r>
        <w:rPr>
          <w:rFonts w:ascii="Courier New" w:cs="Courier New" w:eastAsia="Courier New" w:hAnsi="Courier New"/>
          <w:color w:val="3D3735"/>
          <w:sz w:val="18"/>
          <w:szCs w:val="18"/>
        </w:rPr>
        <w:t xml:space="preserve">       ▼</w:t>
      </w:r>
    </w:p>
    <w:p>
      <w:pPr>
        <w:shd w:fill="F8F6F4" w:val="clear"/>
        <w:spacing w:after="0" w:line="250"/>
        <w:ind w:left="360"/>
      </w:pPr>
      <w:r>
        <w:rPr>
          <w:rFonts w:ascii="Courier New" w:cs="Courier New" w:eastAsia="Courier New" w:hAnsi="Courier New"/>
          <w:color w:val="3D3735"/>
          <w:sz w:val="18"/>
          <w:szCs w:val="18"/>
        </w:rPr>
        <w:t xml:space="preserve">  [S002: Approved] ◄─── bpmopRejectApprovedLoan ──→ [S004: Rejected]</w:t>
      </w:r>
    </w:p>
    <w:p>
      <w:pPr>
        <w:shd w:fill="F8F6F4" w:val="clear"/>
        <w:spacing w:after="0" w:line="250"/>
        <w:ind w:left="360"/>
      </w:pPr>
      <w:r>
        <w:rPr>
          <w:rFonts w:ascii="Courier New" w:cs="Courier New" w:eastAsia="Courier New" w:hAnsi="Courier New"/>
          <w:color w:val="3D3735"/>
          <w:sz w:val="18"/>
          <w:szCs w:val="18"/>
        </w:rPr>
        <w:t xml:space="preserve">       │</w:t>
      </w:r>
    </w:p>
    <w:p>
      <w:pPr>
        <w:shd w:fill="F8F6F4" w:val="clear"/>
        <w:spacing w:after="0" w:line="250"/>
        <w:ind w:left="360"/>
      </w:pPr>
      <w:r>
        <w:rPr>
          <w:rFonts w:ascii="Courier New" w:cs="Courier New" w:eastAsia="Courier New" w:hAnsi="Courier New"/>
          <w:color w:val="3D3735"/>
          <w:sz w:val="18"/>
          <w:szCs w:val="18"/>
        </w:rPr>
        <w:t xml:space="preserve">       ├── SIMA Rəqəmsal İmza (/services/SIMAService)</w:t>
      </w:r>
    </w:p>
    <w:p>
      <w:pPr>
        <w:shd w:fill="F8F6F4" w:val="clear"/>
        <w:spacing w:after="0" w:line="250"/>
        <w:ind w:left="360"/>
      </w:pPr>
      <w:r>
        <w:rPr>
          <w:rFonts w:ascii="Courier New" w:cs="Courier New" w:eastAsia="Courier New" w:hAnsi="Courier New"/>
          <w:color w:val="3D3735"/>
          <w:sz w:val="18"/>
          <w:szCs w:val="18"/>
        </w:rPr>
        <w:t xml:space="preserve">       ├── Video Recording (POST /api/orders)</w:t>
      </w:r>
    </w:p>
    <w:p>
      <w:pPr>
        <w:shd w:fill="F8F6F4" w:val="clear"/>
        <w:spacing w:after="0" w:line="250"/>
        <w:ind w:left="360"/>
      </w:pPr>
      <w:r>
        <w:rPr>
          <w:rFonts w:ascii="Courier New" w:cs="Courier New" w:eastAsia="Courier New" w:hAnsi="Courier New"/>
          <w:color w:val="3D3735"/>
          <w:sz w:val="18"/>
          <w:szCs w:val="18"/>
        </w:rPr>
        <w:t xml:space="preserve">       ▼</w:t>
      </w:r>
    </w:p>
    <w:p>
      <w:pPr>
        <w:shd w:fill="F8F6F4" w:val="clear"/>
        <w:spacing w:after="0" w:line="250"/>
        <w:ind w:left="360"/>
      </w:pPr>
      <w:r>
        <w:rPr>
          <w:rFonts w:ascii="Courier New" w:cs="Courier New" w:eastAsia="Courier New" w:hAnsi="Courier New"/>
          <w:color w:val="3D3735"/>
          <w:sz w:val="18"/>
          <w:szCs w:val="18"/>
        </w:rPr>
        <w:t xml:space="preserve">  [bpmopDisburseLoan] → S005: Outstanding</w:t>
      </w:r>
    </w:p>
    <w:p>
      <w:pPr>
        <w:shd w:fill="F8F6F4" w:val="clear"/>
        <w:spacing w:after="0" w:line="250"/>
        <w:ind w:left="360"/>
      </w:pPr>
      <w:r>
        <w:rPr>
          <w:rFonts w:ascii="Courier New" w:cs="Courier New" w:eastAsia="Courier New" w:hAnsi="Courier New"/>
          <w:color w:val="3D3735"/>
          <w:sz w:val="18"/>
          <w:szCs w:val="18"/>
        </w:rPr>
        <w:t xml:space="preserve">       │</w:t>
      </w:r>
    </w:p>
    <w:p>
      <w:pPr>
        <w:shd w:fill="F8F6F4" w:val="clear"/>
        <w:spacing w:after="0" w:line="250"/>
        <w:ind w:left="360"/>
      </w:pPr>
      <w:r>
        <w:rPr>
          <w:rFonts w:ascii="Courier New" w:cs="Courier New" w:eastAsia="Courier New" w:hAnsi="Courier New"/>
          <w:color w:val="3D3735"/>
          <w:sz w:val="18"/>
          <w:szCs w:val="18"/>
        </w:rPr>
        <w:t xml:space="preserve">       ├── Normal Repayment (bpmopRegisterRepayment)</w:t>
      </w:r>
    </w:p>
    <w:p>
      <w:pPr>
        <w:shd w:fill="F8F6F4" w:val="clear"/>
        <w:spacing w:after="0" w:line="250"/>
        <w:ind w:left="360"/>
      </w:pPr>
      <w:r>
        <w:rPr>
          <w:rFonts w:ascii="Courier New" w:cs="Courier New" w:eastAsia="Courier New" w:hAnsi="Courier New"/>
          <w:color w:val="3D3735"/>
          <w:sz w:val="18"/>
          <w:szCs w:val="18"/>
        </w:rPr>
        <w:t xml:space="preserve">       │   └── Tam ödəniş → [S006: Completed]</w:t>
      </w:r>
    </w:p>
    <w:p>
      <w:pPr>
        <w:shd w:fill="F8F6F4" w:val="clear"/>
        <w:spacing w:after="0" w:line="250"/>
        <w:ind w:left="360"/>
      </w:pPr>
      <w:r>
        <w:rPr>
          <w:rFonts w:ascii="Courier New" w:cs="Courier New" w:eastAsia="Courier New" w:hAnsi="Courier New"/>
          <w:color w:val="3D3735"/>
          <w:sz w:val="18"/>
          <w:szCs w:val="18"/>
        </w:rPr>
        <w:t xml:space="preserve">       │</w:t>
      </w:r>
    </w:p>
    <w:p>
      <w:pPr>
        <w:shd w:fill="F8F6F4" w:val="clear"/>
        <w:spacing w:after="0" w:line="250"/>
        <w:ind w:left="360"/>
      </w:pPr>
      <w:r>
        <w:rPr>
          <w:rFonts w:ascii="Courier New" w:cs="Courier New" w:eastAsia="Courier New" w:hAnsi="Courier New"/>
          <w:color w:val="3D3735"/>
          <w:sz w:val="18"/>
          <w:szCs w:val="18"/>
        </w:rPr>
        <w:t xml:space="preserve">       ├── Gecikmə (daysInArrear)</w:t>
      </w:r>
    </w:p>
    <w:p>
      <w:pPr>
        <w:shd w:fill="F8F6F4" w:val="clear"/>
        <w:spacing w:after="0" w:line="250"/>
        <w:ind w:left="360"/>
      </w:pPr>
      <w:r>
        <w:rPr>
          <w:rFonts w:ascii="Courier New" w:cs="Courier New" w:eastAsia="Courier New" w:hAnsi="Courier New"/>
          <w:color w:val="3D3735"/>
          <w:sz w:val="18"/>
          <w:szCs w:val="18"/>
        </w:rPr>
        <w:t xml:space="preserve">       │   ├── Cərimə hesablanması (PEN hesabı)</w:t>
      </w:r>
    </w:p>
    <w:p>
      <w:pPr>
        <w:shd w:fill="F8F6F4" w:val="clear"/>
        <w:spacing w:after="0" w:line="250"/>
        <w:ind w:left="360"/>
      </w:pPr>
      <w:r>
        <w:rPr>
          <w:rFonts w:ascii="Courier New" w:cs="Courier New" w:eastAsia="Courier New" w:hAnsi="Courier New"/>
          <w:color w:val="3D3735"/>
          <w:sz w:val="18"/>
          <w:szCs w:val="18"/>
        </w:rPr>
        <w:t xml:space="preserve">       │   └── ARREMB SMS</w:t>
      </w:r>
    </w:p>
    <w:p>
      <w:pPr>
        <w:shd w:fill="F8F6F4" w:val="clear"/>
        <w:spacing w:after="0" w:line="250"/>
        <w:ind w:left="360"/>
      </w:pPr>
      <w:r>
        <w:rPr>
          <w:rFonts w:ascii="Courier New" w:cs="Courier New" w:eastAsia="Courier New" w:hAnsi="Courier New"/>
          <w:color w:val="3D3735"/>
          <w:sz w:val="18"/>
          <w:szCs w:val="18"/>
        </w:rPr>
        <w:t xml:space="preserve">       ▼</w:t>
      </w:r>
    </w:p>
    <w:p>
      <w:pPr>
        <w:shd w:fill="F8F6F4" w:val="clear"/>
        <w:spacing w:after="0" w:line="250"/>
        <w:ind w:left="360"/>
      </w:pPr>
      <w:r>
        <w:rPr>
          <w:rFonts w:ascii="Courier New" w:cs="Courier New" w:eastAsia="Courier New" w:hAnsi="Courier New"/>
          <w:color w:val="3D3735"/>
          <w:sz w:val="18"/>
          <w:szCs w:val="18"/>
        </w:rPr>
        <w:t xml:space="preserve">  [Collection Case]</w:t>
      </w:r>
    </w:p>
    <w:p>
      <w:pPr>
        <w:shd w:fill="F8F6F4" w:val="clear"/>
        <w:spacing w:after="0" w:line="250"/>
        <w:ind w:left="360"/>
      </w:pPr>
      <w:r>
        <w:rPr>
          <w:rFonts w:ascii="Courier New" w:cs="Courier New" w:eastAsia="Courier New" w:hAnsi="Courier New"/>
          <w:color w:val="3D3735"/>
          <w:sz w:val="18"/>
          <w:szCs w:val="18"/>
        </w:rPr>
        <w:t xml:space="preserve">       ├── SOFT2 (31-91 gün) → SOFT3 (91-500 gün) → SOFT4 (500+ gün)</w:t>
      </w:r>
    </w:p>
    <w:p>
      <w:pPr>
        <w:shd w:fill="F8F6F4" w:val="clear"/>
        <w:spacing w:after="0" w:line="250"/>
        <w:ind w:left="360"/>
      </w:pPr>
      <w:r>
        <w:rPr>
          <w:rFonts w:ascii="Courier New" w:cs="Courier New" w:eastAsia="Courier New" w:hAnsi="Courier New"/>
          <w:color w:val="3D3735"/>
          <w:sz w:val="18"/>
          <w:szCs w:val="18"/>
        </w:rPr>
        <w:t xml:space="preserve">       └── HARD (&gt;200 gün) → LEGAL</w:t>
      </w:r>
    </w:p>
    <w:p>
      <w:pPr>
        <w:shd w:fill="F8F6F4" w:val="clear"/>
        <w:spacing w:after="0" w:line="250"/>
        <w:ind w:left="360"/>
      </w:pPr>
      <w:r>
        <w:rPr>
          <w:rFonts w:ascii="Courier New" w:cs="Courier New" w:eastAsia="Courier New" w:hAnsi="Courier New"/>
          <w:color w:val="3D3735"/>
          <w:sz w:val="18"/>
          <w:szCs w:val="18"/>
        </w:rPr>
        <w:t xml:space="preserve">       │</w:t>
      </w:r>
    </w:p>
    <w:p>
      <w:pPr>
        <w:shd w:fill="F8F6F4" w:val="clear"/>
        <w:spacing w:after="0" w:line="250"/>
        <w:ind w:left="360"/>
      </w:pPr>
      <w:r>
        <w:rPr>
          <w:rFonts w:ascii="Courier New" w:cs="Courier New" w:eastAsia="Courier New" w:hAnsi="Courier New"/>
          <w:color w:val="3D3735"/>
          <w:sz w:val="18"/>
          <w:szCs w:val="18"/>
        </w:rPr>
        <w:t xml:space="preserve">       ├── Məhkəmə: suitDate → courtDocRec → courtDecisionDate</w:t>
      </w:r>
    </w:p>
    <w:p>
      <w:pPr>
        <w:shd w:fill="F8F6F4" w:val="clear"/>
        <w:spacing w:after="0" w:line="250"/>
        <w:ind w:left="360"/>
      </w:pPr>
      <w:r>
        <w:rPr>
          <w:rFonts w:ascii="Courier New" w:cs="Courier New" w:eastAsia="Courier New" w:hAnsi="Courier New"/>
          <w:color w:val="3D3735"/>
          <w:sz w:val="18"/>
          <w:szCs w:val="18"/>
        </w:rPr>
        <w:t xml:space="preserve">       ▼</w:t>
      </w:r>
    </w:p>
    <w:p>
      <w:pPr>
        <w:shd w:fill="F8F6F4" w:val="clear"/>
        <w:spacing w:after="0" w:line="250"/>
        <w:ind w:left="360"/>
      </w:pPr>
      <w:r>
        <w:rPr>
          <w:rFonts w:ascii="Courier New" w:cs="Courier New" w:eastAsia="Courier New" w:hAnsi="Courier New"/>
          <w:color w:val="3D3735"/>
          <w:sz w:val="18"/>
          <w:szCs w:val="18"/>
        </w:rPr>
        <w:t xml:space="preserve">  [S010: Off-Balance] ──→ Write-Off (WriteOffJob)</w:t>
      </w:r>
    </w:p>
    <w:p>
      <w:pPr>
        <w:shd w:fill="F8F6F4" w:val="clear"/>
        <w:spacing w:after="0" w:line="250"/>
        <w:ind w:left="360"/>
      </w:pPr>
      <w:r>
        <w:rPr>
          <w:rFonts w:ascii="Courier New" w:cs="Courier New" w:eastAsia="Courier New" w:hAnsi="Courier New"/>
          <w:color w:val="3D3735"/>
          <w:sz w:val="18"/>
          <w:szCs w:val="18"/>
        </w:rPr>
        <w:t xml:space="preserve">       │</w:t>
      </w:r>
    </w:p>
    <w:p>
      <w:pPr>
        <w:shd w:fill="F8F6F4" w:val="clear"/>
        <w:spacing w:after="0" w:line="250"/>
        <w:ind w:left="360"/>
      </w:pPr>
      <w:r>
        <w:rPr>
          <w:rFonts w:ascii="Courier New" w:cs="Courier New" w:eastAsia="Courier New" w:hAnsi="Courier New"/>
          <w:color w:val="3D3735"/>
          <w:sz w:val="18"/>
          <w:szCs w:val="18"/>
        </w:rPr>
        <w:t xml:space="preserve">       └── ALTERNATİV: Loan Restructure</w:t>
      </w:r>
    </w:p>
    <w:p>
      <w:pPr>
        <w:shd w:fill="F8F6F4" w:val="clear"/>
        <w:spacing w:after="0" w:line="250"/>
        <w:ind w:left="360"/>
      </w:pPr>
      <w:r>
        <w:rPr>
          <w:rFonts w:ascii="Courier New" w:cs="Courier New" w:eastAsia="Courier New" w:hAnsi="Courier New"/>
          <w:color w:val="3D3735"/>
          <w:sz w:val="18"/>
          <w:szCs w:val="18"/>
        </w:rPr>
        <w:t xml:space="preserve">           └── LoanRestructure + RestructureEndorsement</w:t>
      </w:r>
    </w:p>
    <w:sectPr>
      <w:headerReference w:type="default" r:id="rId7"/>
      <w:footerReference w:type="default" r:id="rId8"/>
      <w:pgSz w:w="11906" w:h="16838" w:orient="portrait"/>
      <w:pgMar w:top="180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361"/>
        <w:sz w:val="18"/>
        <w:szCs w:val="18"/>
      </w:rPr>
      <w:t xml:space="preserve">— </w:t>
    </w:r>
    <w:r>
      <w:rPr>
        <w:rFonts w:ascii="Calibri" w:cs="Calibri" w:eastAsia="Calibri" w:hAnsi="Calibri"/>
        <w:color w:val="6B6361"/>
        <w:sz w:val="18"/>
        <w:szCs w:val="18"/>
      </w:rPr>
      <w:fldChar w:fldCharType="begin"/>
      <w:instrText xml:space="preserve">PAGE</w:instrText>
      <w:fldChar w:fldCharType="separate"/>
      <w:fldChar w:fldCharType="end"/>
    </w:r>
    <w:r>
      <w:rPr>
        <w:rFonts w:ascii="Calibri" w:cs="Calibri" w:eastAsia="Calibri" w:hAnsi="Calibri"/>
        <w:color w:val="6B6361"/>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6361"/>
        <w:sz w:val="18"/>
        <w:szCs w:val="18"/>
      </w:rPr>
      <w:t xml:space="preserve">LW Nağd Kredit Həyat Sikli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26211F"/>
      <w:sz w:val="36"/>
      <w:szCs w:val="36"/>
    </w:rPr>
  </w:style>
  <w:style w:type="paragraph" w:styleId="Heading2">
    <w:name w:val="Heading 2"/>
    <w:basedOn w:val="Normal"/>
    <w:next w:val="Normal"/>
    <w:qFormat/>
    <w:pPr>
      <w:spacing w:after="200" w:before="400"/>
      <w:outlineLvl w:val="1"/>
    </w:pPr>
    <w:rPr>
      <w:rFonts w:ascii="Times New Roman" w:cs="Times New Roman" w:eastAsia="Times New Roman" w:hAnsi="Times New Roman"/>
      <w:b/>
      <w:bCs/>
      <w:color w:val="26211F"/>
      <w:sz w:val="28"/>
      <w:szCs w:val="28"/>
    </w:rPr>
  </w:style>
  <w:style w:type="paragraph" w:styleId="Heading3">
    <w:name w:val="Heading 3"/>
    <w:basedOn w:val="Normal"/>
    <w:next w:val="Normal"/>
    <w:qFormat/>
    <w:pPr>
      <w:spacing w:after="150" w:before="300"/>
      <w:outlineLvl w:val="2"/>
    </w:pPr>
    <w:rPr>
      <w:rFonts w:ascii="Times New Roman" w:cs="Times New Roman" w:eastAsia="Times New Roman" w:hAnsi="Times New Roman"/>
      <w:b/>
      <w:bCs/>
      <w:color w:val="6B63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2026-04-08T19:40:13.020Z</dcterms:created>
  <dcterms:modified xsi:type="dcterms:W3CDTF">2026-04-08T19:40:13.020Z</dcterms:modified>
</cp:coreProperties>
</file>

<file path=docProps/custom.xml><?xml version="1.0" encoding="utf-8"?>
<Properties xmlns="http://schemas.openxmlformats.org/officeDocument/2006/custom-properties" xmlns:vt="http://schemas.openxmlformats.org/officeDocument/2006/docPropsVTypes"/>
</file>