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1</w:t>
          </w:r>
        </w:p>
        <w:p>
          <w:pPr>
            <w:pStyle w:val="11"/>
            <w:ind w:left="360"/>
            <w:tabs>
              <w:tab w:val="right" w:leader="dot" w:pos="9026"/>
            </w:tabs>
          </w:pPr>
          <w:r>
            <w:t>1.1 Xidmətin adı və təyinatı</w:t>
          </w:r>
          <w:r>
            <w:tab/>
          </w:r>
          <w:r>
            <w:t>1</w:t>
          </w:r>
        </w:p>
        <w:p>
          <w:pPr>
            <w:pStyle w:val="11"/>
            <w:ind w:left="360"/>
            <w:tabs>
              <w:tab w:val="right" w:leader="dot" w:pos="9026"/>
            </w:tabs>
          </w:pPr>
          <w:r>
            <w:t>1.2 Endpoint detalları</w:t>
          </w:r>
          <w:r>
            <w:tab/>
          </w:r>
          <w:r>
            <w:t>1</w:t>
          </w:r>
        </w:p>
        <w:p>
          <w:pPr>
            <w:pStyle w:val="11"/>
            <w:ind w:left="360"/>
            <w:tabs>
              <w:tab w:val="right" w:leader="dot" w:pos="9026"/>
            </w:tabs>
          </w:pPr>
          <w:r>
            <w:t>1.3 Request Payload (PersonalInfo)</w:t>
          </w:r>
          <w:r>
            <w:tab/>
          </w:r>
          <w:r>
            <w:t>2</w:t>
          </w:r>
        </w:p>
        <w:p>
          <w:pPr>
            <w:pStyle w:val="11"/>
            <w:ind w:left="360"/>
            <w:tabs>
              <w:tab w:val="right" w:leader="dot" w:pos="9026"/>
            </w:tabs>
          </w:pPr>
          <w:r>
            <w:t>1.4 Response Payload (AsanfinanceData)</w:t>
          </w:r>
          <w:r>
            <w:tab/>
          </w:r>
          <w:r>
            <w:t>2</w:t>
          </w:r>
        </w:p>
        <w:p>
          <w:pPr>
            <w:pStyle w:val="11"/>
            <w:ind w:left="360"/>
            <w:tabs>
              <w:tab w:val="right" w:leader="dot" w:pos="9026"/>
            </w:tabs>
          </w:pPr>
          <w:r>
            <w:t>1.5 Field Descriptions (English)</w:t>
          </w:r>
          <w:r>
            <w:tab/>
          </w:r>
          <w:r>
            <w:t>3</w:t>
          </w:r>
        </w:p>
        <w:p>
          <w:pPr>
            <w:pStyle w:val="11"/>
            <w:ind w:left="360"/>
            <w:tabs>
              <w:tab w:val="right" w:leader="dot" w:pos="9026"/>
            </w:tabs>
          </w:pPr>
          <w:r>
            <w:t>1.6 Nümunələr</w:t>
          </w:r>
          <w:r>
            <w:tab/>
          </w:r>
          <w:r>
            <w:t>3</w:t>
          </w:r>
        </w:p>
        <w:p>
          <w:pPr>
            <w:pStyle w:val="9"/>
            <w:tabs>
              <w:tab w:val="right" w:leader="dot" w:pos="9026"/>
            </w:tabs>
          </w:pPr>
          <w:r>
            <w:t>2. SIMA (ASAN Login — Rəqsi İmza)</w:t>
          </w:r>
          <w:r>
            <w:tab/>
          </w:r>
          <w:r>
            <w:t>4</w:t>
          </w:r>
        </w:p>
        <w:p>
          <w:pPr>
            <w:pStyle w:val="11"/>
            <w:ind w:left="360"/>
            <w:tabs>
              <w:tab w:val="right" w:leader="dot" w:pos="9026"/>
            </w:tabs>
          </w:pPr>
          <w:r>
            <w:t>2.1 Xidmətin adı və təyinatı</w:t>
          </w:r>
          <w:r>
            <w:tab/>
          </w:r>
          <w:r>
            <w:t>4</w:t>
          </w:r>
        </w:p>
        <w:p>
          <w:pPr>
            <w:pStyle w:val="11"/>
            <w:ind w:left="360"/>
            <w:tabs>
              <w:tab w:val="right" w:leader="dot" w:pos="9026"/>
            </w:tabs>
          </w:pPr>
          <w:r>
            <w:t>2.2 Endpoint detalları</w:t>
          </w:r>
          <w:r>
            <w:tab/>
          </w:r>
          <w:r>
            <w:t>4</w:t>
          </w:r>
        </w:p>
        <w:p>
          <w:pPr>
            <w:pStyle w:val="11"/>
            <w:ind w:left="360"/>
            <w:tabs>
              <w:tab w:val="right" w:leader="dot" w:pos="9026"/>
            </w:tabs>
          </w:pPr>
          <w:r>
            <w:t>2.3 Request Payload (Auth)</w:t>
          </w:r>
          <w:r>
            <w:tab/>
          </w:r>
          <w:r>
            <w:t>5</w:t>
          </w:r>
        </w:p>
        <w:p>
          <w:pPr>
            <w:pStyle w:val="11"/>
            <w:ind w:left="360"/>
            <w:tabs>
              <w:tab w:val="right" w:leader="dot" w:pos="9026"/>
            </w:tabs>
          </w:pPr>
          <w:r>
            <w:t>2.4 Response Payload</w:t>
          </w:r>
          <w:r>
            <w:tab/>
          </w:r>
          <w:r>
            <w:t>5</w:t>
          </w:r>
        </w:p>
        <w:p>
          <w:pPr>
            <w:pStyle w:val="11"/>
            <w:ind w:left="360"/>
            <w:tabs>
              <w:tab w:val="right" w:leader="dot" w:pos="9026"/>
            </w:tabs>
          </w:pPr>
          <w:r>
            <w:t>2.5 Field Descriptions (English)</w:t>
          </w:r>
          <w:r>
            <w:tab/>
          </w:r>
          <w:r>
            <w:t>6</w:t>
          </w:r>
        </w:p>
        <w:p>
          <w:pPr>
            <w:pStyle w:val="11"/>
            <w:ind w:left="360"/>
            <w:tabs>
              <w:tab w:val="right" w:leader="dot" w:pos="9026"/>
            </w:tabs>
          </w:pPr>
          <w:r>
            <w:t>2.6 Nümunələr</w:t>
          </w:r>
          <w:r>
            <w:tab/>
          </w:r>
          <w:r>
            <w:t>6</w:t>
          </w:r>
        </w:p>
        <w:p>
          <w:pPr>
            <w:pStyle w:val="9"/>
            <w:tabs>
              <w:tab w:val="right" w:leader="dot" w:pos="9026"/>
            </w:tabs>
          </w:pPr>
          <w:r>
            <w:t>3. MKR Credit Bureau (AKB)</w:t>
          </w:r>
          <w:r>
            <w:tab/>
          </w:r>
          <w:r>
            <w:t>7</w:t>
          </w:r>
        </w:p>
        <w:p>
          <w:pPr>
            <w:pStyle w:val="11"/>
            <w:ind w:left="360"/>
            <w:tabs>
              <w:tab w:val="right" w:leader="dot" w:pos="9026"/>
            </w:tabs>
          </w:pPr>
          <w:r>
            <w:t>3.1 Xidmətin adı və təyinatı</w:t>
          </w:r>
          <w:r>
            <w:tab/>
          </w:r>
          <w:r>
            <w:t>7</w:t>
          </w:r>
        </w:p>
        <w:p>
          <w:pPr>
            <w:pStyle w:val="11"/>
            <w:ind w:left="360"/>
            <w:tabs>
              <w:tab w:val="right" w:leader="dot" w:pos="9026"/>
            </w:tabs>
          </w:pPr>
          <w:r>
            <w:t>3.2 Endpoint detalları</w:t>
          </w:r>
          <w:r>
            <w:tab/>
          </w:r>
          <w:r>
            <w:t>7</w:t>
          </w:r>
        </w:p>
        <w:p>
          <w:pPr>
            <w:pStyle w:val="11"/>
            <w:ind w:left="360"/>
            <w:tabs>
              <w:tab w:val="right" w:leader="dot" w:pos="9026"/>
            </w:tabs>
          </w:pPr>
          <w:r>
            <w:t>3.3 Request Payload — AKB Scoring (REST)</w:t>
          </w:r>
          <w:r>
            <w:tab/>
          </w:r>
          <w:r>
            <w:t>8</w:t>
          </w:r>
        </w:p>
        <w:p>
          <w:pPr>
            <w:pStyle w:val="11"/>
            <w:ind w:left="360"/>
            <w:tabs>
              <w:tab w:val="right" w:leader="dot" w:pos="9026"/>
            </w:tabs>
          </w:pPr>
          <w:r>
            <w:t>3.4 Response Payload — AKB Scoring (REST)</w:t>
          </w:r>
          <w:r>
            <w:tab/>
          </w:r>
          <w:r>
            <w:t>8</w:t>
          </w:r>
        </w:p>
        <w:p>
          <w:pPr>
            <w:pStyle w:val="11"/>
            <w:ind w:left="360"/>
            <w:tabs>
              <w:tab w:val="right" w:leader="dot" w:pos="9026"/>
            </w:tabs>
          </w:pPr>
          <w:r>
            <w:t>3.5 Request Payload — Credit History (SOAP)</w:t>
          </w:r>
          <w:r>
            <w:tab/>
          </w:r>
          <w:r>
            <w:t>9</w:t>
          </w:r>
        </w:p>
        <w:p>
          <w:pPr>
            <w:pStyle w:val="11"/>
            <w:ind w:left="360"/>
            <w:tabs>
              <w:tab w:val="right" w:leader="dot" w:pos="9026"/>
            </w:tabs>
          </w:pPr>
          <w:r>
            <w:t>3.6 Response Payload — Credit History (SOAP)</w:t>
          </w:r>
          <w:r>
            <w:tab/>
          </w:r>
          <w:r>
            <w:t>9</w:t>
          </w:r>
        </w:p>
        <w:p>
          <w:pPr>
            <w:pStyle w:val="11"/>
            <w:ind w:left="360"/>
            <w:tabs>
              <w:tab w:val="right" w:leader="dot" w:pos="9026"/>
            </w:tabs>
          </w:pPr>
          <w:r>
            <w:t>3.7 Field Descriptions (English)</w:t>
          </w:r>
          <w:r>
            <w:tab/>
          </w:r>
          <w:r>
            <w:t>10</w:t>
          </w:r>
        </w:p>
        <w:p>
          <w:pPr>
            <w:pStyle w:val="11"/>
            <w:ind w:left="360"/>
            <w:tabs>
              <w:tab w:val="right" w:leader="dot" w:pos="9026"/>
            </w:tabs>
          </w:pPr>
          <w:r>
            <w:t>3.8 Nümunələr</w:t>
          </w:r>
          <w:r>
            <w:tab/>
          </w:r>
          <w:r>
            <w:t>10</w:t>
          </w:r>
        </w:p>
        <w:p>
          <w:pPr>
            <w:pStyle w:val="9"/>
            <w:tabs>
              <w:tab w:val="right" w:leader="dot" w:pos="9026"/>
            </w:tabs>
          </w:pPr>
          <w:r>
            <w:t>4. Poct Goyercini SMS</w:t>
          </w:r>
          <w:r>
            <w:tab/>
          </w:r>
          <w:r>
            <w:t>11</w:t>
          </w:r>
        </w:p>
        <w:p>
          <w:pPr>
            <w:pStyle w:val="11"/>
            <w:ind w:left="360"/>
            <w:tabs>
              <w:tab w:val="right" w:leader="dot" w:pos="9026"/>
            </w:tabs>
          </w:pPr>
          <w:r>
            <w:t>4.1 Xidmətin adı və təyinatı</w:t>
          </w:r>
          <w:r>
            <w:tab/>
          </w:r>
          <w:r>
            <w:t>11</w:t>
          </w:r>
        </w:p>
        <w:p>
          <w:pPr>
            <w:pStyle w:val="11"/>
            <w:ind w:left="360"/>
            <w:tabs>
              <w:tab w:val="right" w:leader="dot" w:pos="9026"/>
            </w:tabs>
          </w:pPr>
          <w:r>
            <w:t>4.2 Endpoint detalları</w:t>
          </w:r>
          <w:r>
            <w:tab/>
          </w:r>
          <w:r>
            <w:t>11</w:t>
          </w:r>
        </w:p>
        <w:p>
          <w:pPr>
            <w:pStyle w:val="11"/>
            <w:ind w:left="360"/>
            <w:tabs>
              <w:tab w:val="right" w:leader="dot" w:pos="9026"/>
            </w:tabs>
          </w:pPr>
          <w:r>
            <w:t>4.3 Request Payload</w:t>
          </w:r>
          <w:r>
            <w:tab/>
          </w:r>
          <w:r>
            <w:t>12</w:t>
          </w:r>
        </w:p>
        <w:p>
          <w:pPr>
            <w:pStyle w:val="11"/>
            <w:ind w:left="360"/>
            <w:tabs>
              <w:tab w:val="right" w:leader="dot" w:pos="9026"/>
            </w:tabs>
          </w:pPr>
          <w:r>
            <w:t>4.4 Response Payload</w:t>
          </w:r>
          <w:r>
            <w:tab/>
          </w:r>
          <w:r>
            <w:t>12</w:t>
          </w:r>
        </w:p>
        <w:p>
          <w:pPr>
            <w:pStyle w:val="11"/>
            <w:ind w:left="360"/>
            <w:tabs>
              <w:tab w:val="right" w:leader="dot" w:pos="9026"/>
            </w:tabs>
          </w:pPr>
          <w:r>
            <w:t>4.5 Field Descriptions (English)</w:t>
          </w:r>
          <w:r>
            <w:tab/>
          </w:r>
          <w:r>
            <w:t>12</w:t>
          </w:r>
        </w:p>
        <w:p>
          <w:pPr>
            <w:pStyle w:val="11"/>
            <w:ind w:left="360"/>
            <w:tabs>
              <w:tab w:val="right" w:leader="dot" w:pos="9026"/>
            </w:tabs>
          </w:pPr>
          <w:r>
            <w:t>4.6 Nümunələr</w:t>
          </w:r>
          <w:r>
            <w:tab/>
          </w:r>
          <w:r>
            <w:t>12</w:t>
          </w:r>
        </w:p>
        <w:p>
          <w:pPr>
            <w:pStyle w:val="9"/>
            <w:tabs>
              <w:tab w:val="right" w:leader="dot" w:pos="9026"/>
            </w:tabs>
          </w:pPr>
          <w:r>
            <w:t>5. QuickSMS</w:t>
          </w:r>
          <w:r>
            <w:tab/>
          </w:r>
          <w:r>
            <w:t>13</w:t>
          </w:r>
        </w:p>
        <w:p>
          <w:pPr>
            <w:pStyle w:val="11"/>
            <w:ind w:left="360"/>
            <w:tabs>
              <w:tab w:val="right" w:leader="dot" w:pos="9026"/>
            </w:tabs>
          </w:pPr>
          <w:r>
            <w:t>5.1 Xidmətin adı və təyinatı</w:t>
          </w:r>
          <w:r>
            <w:tab/>
          </w:r>
          <w:r>
            <w:t>13</w:t>
          </w:r>
        </w:p>
        <w:p>
          <w:pPr>
            <w:pStyle w:val="11"/>
            <w:ind w:left="360"/>
            <w:tabs>
              <w:tab w:val="right" w:leader="dot" w:pos="9026"/>
            </w:tabs>
          </w:pPr>
          <w:r>
            <w:t>5.2 Endpoint detalları</w:t>
          </w:r>
          <w:r>
            <w:tab/>
          </w:r>
          <w:r>
            <w:t>13</w:t>
          </w:r>
        </w:p>
        <w:p>
          <w:pPr>
            <w:pStyle w:val="11"/>
            <w:ind w:left="360"/>
            <w:tabs>
              <w:tab w:val="right" w:leader="dot" w:pos="9026"/>
            </w:tabs>
          </w:pPr>
          <w:r>
            <w:t>5.3 Request Payload</w:t>
          </w:r>
          <w:r>
            <w:tab/>
          </w:r>
          <w:r>
            <w:t>13</w:t>
          </w:r>
        </w:p>
        <w:p>
          <w:pPr>
            <w:pStyle w:val="11"/>
            <w:ind w:left="360"/>
            <w:tabs>
              <w:tab w:val="right" w:leader="dot" w:pos="9026"/>
            </w:tabs>
          </w:pPr>
          <w:r>
            <w:t>5.4 Response Payload</w:t>
          </w:r>
          <w:r>
            <w:tab/>
          </w:r>
          <w:r>
            <w:t>14</w:t>
          </w:r>
        </w:p>
        <w:p>
          <w:pPr>
            <w:pStyle w:val="11"/>
            <w:ind w:left="360"/>
            <w:tabs>
              <w:tab w:val="right" w:leader="dot" w:pos="9026"/>
            </w:tabs>
          </w:pPr>
          <w:r>
            <w:t>5.5 Field Descriptions (English)</w:t>
          </w:r>
          <w:r>
            <w:tab/>
          </w:r>
          <w:r>
            <w:t>14</w:t>
          </w:r>
        </w:p>
        <w:p>
          <w:pPr>
            <w:pStyle w:val="11"/>
            <w:ind w:left="360"/>
            <w:tabs>
              <w:tab w:val="right" w:leader="dot" w:pos="9026"/>
            </w:tabs>
          </w:pPr>
          <w:r>
            <w:t>5.6 Nümunələr</w:t>
          </w:r>
          <w:r>
            <w:tab/>
          </w:r>
          <w:r>
            <w:t>14</w:t>
          </w:r>
        </w:p>
        <w:p>
          <w:r>
            <w:fldChar w:fldCharType="end"/>
          </w:r>
        </w:p>
      </w:sdtContent>
    </w:sdt>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"gender": "Kişi",</w:t>
      </w:r>
    </w:p>
    <w:p>
      <w:pPr>
        <w:spacing w:after="80" w:before="80" w:line="250"/>
        <w:ind w:left="360"/>
      </w:pPr>
      <w:r>
        <w:rPr>
          <w:rFonts w:ascii="Courier New" w:cs="Courier New" w:eastAsia="Courier New" w:hAnsi="Courier New"/>
          <w:color w:val="334155"/>
          <w:sz w:val="18"/>
          <w:szCs w:val="18"/>
        </w:rPr>
        <w:t xml:space="preserve">    "maritalStatus": "Evli", "birthPlace": "Bakı",</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pPr>
        <w:pStyle w:val="Heading2"/>
        <w:spacing w:after="200" w:before="400"/>
      </w:pPr>
      <w:r>
        <w:rPr>
          <w:rFonts w:ascii="Times New Roman" w:cs="Times New Roman" w:eastAsia="Times New Roman" w:hAnsi="Times New Roman"/>
          <w:b/>
          <w:bCs/>
          <w:color w:val="020617"/>
          <w:sz w:val="28"/>
          <w:szCs w:val="28"/>
        </w:rPr>
        <w:t xml:space="preserve">3.7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pPr>
        <w:spacing w:after="40" w:before="40" w:line="250"/>
        <w:ind w:left="360"/>
      </w:pPr>
      <w:r>
        <w:rPr>
          <w:rFonts w:ascii="Courier New" w:cs="Courier New" w:eastAsia="Courier New" w:hAnsi="Courier New"/>
          <w:b/>
          <w:bCs/>
          <w:color w:val="020617"/>
          <w:sz w:val="20"/>
          <w:szCs w:val="20"/>
        </w:rPr>
        <w:t xml:space="preserve">• liabilities: </w:t>
      </w:r>
      <w:r>
        <w:rPr>
          <w:rFonts w:ascii="Calibri" w:cs="Calibri" w:eastAsia="Calibri" w:hAnsi="Calibri"/>
          <w:color w:val="1E293B"/>
          <w:sz w:val="20"/>
          <w:szCs w:val="20"/>
        </w:rPr>
        <w:t xml:space="preserve">Contains both active (liabilityOut) and historical (liabilityIn) credit obligations. Each liability includes monthlyPaymentAmount and currency, used by Clojure scoring to calculate total monthly obligations.</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p>
      <w:pPr>
        <w:spacing w:after="60" w:before="60" w:line="250"/>
      </w:pPr>
      <w:r>
        <w:rPr>
          <w:rFonts w:ascii="Calibri" w:cs="Calibri" w:eastAsia="Calibri" w:hAnsi="Calibri"/>
          <w:i/>
          <w:iCs/>
          <w:color w:val="F59E0B"/>
          <w:sz w:val="20"/>
          <w:szCs w:val="20"/>
        </w:rPr>
        <w:t xml:space="preserve">⚠️ Cavab formatı HTTP status kodu ilə müəyyən edilir. Uğurlu göndərmə = HTTP 200. Ətraflı cavab strukturunun kod bazasında tam təsviri yoxdur.</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p>
      <w:pPr>
        <w:spacing w:after="60" w:before="60" w:line="250"/>
      </w:pPr>
      <w:r>
        <w:rPr>
          <w:rFonts w:ascii="Calibri" w:cs="Calibri" w:eastAsia="Calibri" w:hAnsi="Calibri"/>
          <w:i/>
          <w:iCs/>
          <w:color w:val="F59E0B"/>
          <w:sz w:val="20"/>
          <w:szCs w:val="20"/>
        </w:rPr>
        <w:t xml:space="preserve">⚠️ Cavab formatı HTTP status kodu ilə müəyyən edilir. Uğurlu göndərmə = HTTP 200. Ətraflı cavab strukturunun kod bazasında tam təsviri yoxdur.</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2026-04-06T20:27:32.399Z</dcterms:created>
  <dcterms:modified xsi:type="dcterms:W3CDTF">2026-04-06T20:27:32.399Z</dcterms:modified>
</cp:coreProperties>
</file>

<file path=docProps/custom.xml><?xml version="1.0" encoding="utf-8"?>
<Properties xmlns="http://schemas.openxmlformats.org/officeDocument/2006/custom-properties" xmlns:vt="http://schemas.openxmlformats.org/officeDocument/2006/docPropsVTypes"/>
</file>