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before="1000"/>
        <w:jc w:val="center"/>
      </w:pPr>
      <w:r>
        <w:rPr>
          <w:rFonts w:ascii="SimHei" w:cs="SimHei" w:eastAsia="SimHei" w:hAnsi="SimHei"/>
          <w:b/>
          <w:bCs/>
          <w:color w:val="0B1220"/>
          <w:sz w:val="56"/>
          <w:szCs w:val="56"/>
        </w:rPr>
        <w:t xml:space="preserve">EmbaFinans</w:t>
      </w:r>
    </w:p>
    <w:p>
      <w:pPr>
        <w:spacing w:after="400"/>
        <w:jc w:val="center"/>
      </w:pPr>
      <w:r>
        <w:rPr>
          <w:rFonts w:ascii="Microsoft YaHei" w:cs="Microsoft YaHei" w:eastAsia="Microsoft YaHei" w:hAnsi="Microsoft YaHei"/>
          <w:color w:val="2B2B2B"/>
          <w:sz w:val="32"/>
          <w:szCs w:val="32"/>
        </w:rPr>
        <w:t xml:space="preserve">Kredit Scoring Sistemi</w:t>
      </w:r>
    </w:p>
    <w:p>
      <w:pPr>
        <w:spacing w:before="600"/>
        <w:jc w:val="center"/>
      </w:pPr>
      <w:r>
        <w:rPr>
          <w:rFonts w:ascii="Microsoft YaHei" w:cs="Microsoft YaHei" w:eastAsia="Microsoft YaHei" w:hAnsi="Microsoft YaHei"/>
          <w:color w:val="9AA6B2"/>
          <w:sz w:val="20"/>
          <w:szCs w:val="20"/>
        </w:rPr>
        <w:t xml:space="preserve">──────────────────────────────</w:t>
      </w:r>
    </w:p>
    <w:p>
      <w:pPr>
        <w:spacing w:after="200" w:before="400"/>
        <w:jc w:val="center"/>
      </w:pPr>
      <w:r>
        <w:rPr>
          <w:rFonts w:ascii="SimHei" w:cs="SimHei" w:eastAsia="SimHei" w:hAnsi="SimHei"/>
          <w:b/>
          <w:bCs/>
          <w:color w:val="0B1220"/>
          <w:sz w:val="40"/>
          <w:szCs w:val="40"/>
        </w:rPr>
        <w:t xml:space="preserve">Tekniki İnteqrasiya Sənədi</w:t>
      </w:r>
    </w:p>
    <w:p>
      <w:pPr>
        <w:spacing w:before="100"/>
        <w:jc w:val="center"/>
      </w:pPr>
      <w:r>
        <w:rPr>
          <w:rFonts w:ascii="Microsoft YaHei" w:cs="Microsoft YaHei" w:eastAsia="Microsoft YaHei" w:hAnsi="Microsoft YaHei"/>
          <w:color w:val="2B2B2B"/>
          <w:sz w:val="24"/>
          <w:szCs w:val="24"/>
        </w:rPr>
        <w:t xml:space="preserve">Xarici Xidmət İnteqrasiyalarının Tam Təsviri</w:t>
      </w:r>
    </w:p>
    <w:p>
      <w:pPr>
        <w:spacing w:before="1500"/>
        <w:jc w:val="center"/>
      </w:pPr>
      <w:r>
        <w:rPr>
          <w:rFonts w:ascii="Microsoft YaHei" w:cs="Microsoft YaHei" w:eastAsia="Microsoft YaHei" w:hAnsi="Microsoft YaHei"/>
          <w:color w:val="9AA6B2"/>
          <w:sz w:val="20"/>
          <w:szCs w:val="20"/>
        </w:rPr>
        <w:t xml:space="preserve">7 inteqrasiya | versiya 2.0</w:t>
      </w:r>
    </w:p>
    <w:p>
      <w:pPr>
        <w:spacing w:before="100"/>
        <w:jc w:val="center"/>
      </w:pPr>
      <w:r>
        <w:rPr>
          <w:rFonts w:ascii="Microsoft YaHei" w:cs="Microsoft YaHei" w:eastAsia="Microsoft YaHei" w:hAnsi="Microsoft YaHei"/>
          <w:color w:val="9AA6B2"/>
          <w:sz w:val="20"/>
          <w:szCs w:val="20"/>
        </w:rPr>
        <w:t xml:space="preserve">2026-04-07</w:t>
      </w:r>
    </w:p>
    <w:p>
      <w:pPr>
        <w:sectPr>
          <w:pgSz w:w="11906" w:h="16838" w:orient="portrait"/>
          <w:pgMar w:top="0" w:right="0" w:bottom="0" w:left="0" w:header="708" w:footer="708" w:gutter="0"/>
          <w:pgNumType/>
          <w:titlePg/>
          <w:docGrid w:linePitch="360"/>
        </w:sectPr>
      </w:pPr>
    </w:p>
    <w:p>
      <w:pPr>
        <w:spacing w:after="300" w:before="400"/>
      </w:pPr>
      <w:r>
        <w:rPr>
          <w:rFonts w:ascii="SimHei" w:cs="SimHei" w:eastAsia="SimHei" w:hAnsi="SimHei"/>
          <w:b/>
          <w:bCs/>
          <w:color w:val="0B1220"/>
          <w:sz w:val="36"/>
          <w:szCs w:val="36"/>
        </w:rPr>
        <w:t xml:space="preserve">Mündəricat</w:t>
      </w:r>
    </w:p>
    <w:sdt>
      <w:sdtPr>
        <w:alias w:val="Mündəricat"/>
      </w:sdtPr>
      <w:sdtContent>
        <w:p>
          <w:r>
            <w:fldChar w:fldCharType="begin" w:dirty="true"/>
            <w:instrText xml:space="preserve">TOC \h \o "1-2"</w:instrText>
            <w:fldChar w:fldCharType="separate"/>
          </w:r>
        </w:p>
        <w:p>
          <w:pPr>
            <w:pStyle w:val="9"/>
            <w:tabs>
              <w:tab w:val="right" w:leader="dot" w:pos="9026"/>
            </w:tabs>
          </w:pPr>
          <w:r>
            <w:t>1. Giriş və Özətlər</w:t>
          </w:r>
          <w:r>
            <w:tab/>
          </w:r>
          <w:r>
            <w:t>2</w:t>
          </w:r>
        </w:p>
        <w:p>
          <w:pPr>
            <w:pStyle w:val="9"/>
            <w:tabs>
              <w:tab w:val="right" w:leader="dot" w:pos="9026"/>
            </w:tabs>
          </w:pPr>
          <w:r>
            <w:t>2. İnteqrasiyaların Ümumi Siyahısı</w:t>
          </w:r>
          <w:r>
            <w:tab/>
          </w:r>
          <w:r>
            <w:t>3</w:t>
          </w:r>
        </w:p>
        <w:p>
          <w:pPr>
            <w:pStyle w:val="9"/>
            <w:tabs>
              <w:tab w:val="right" w:leader="dot" w:pos="9026"/>
            </w:tabs>
          </w:pPr>
          <w:r>
            <w:t>3. ASAN Finance İnteqrasiyası</w:t>
          </w:r>
          <w:r>
            <w:tab/>
          </w:r>
          <w:r>
            <w:t>4</w:t>
          </w:r>
        </w:p>
        <w:p>
          <w:pPr>
            <w:pStyle w:val="11"/>
            <w:ind w:left="360"/>
            <w:tabs>
              <w:tab w:val="right" w:leader="dot" w:pos="9026"/>
            </w:tabs>
          </w:pPr>
          <w:r>
            <w:t>3.1. Konfiqurasiya Parametrləri</w:t>
          </w:r>
          <w:r>
            <w:tab/>
          </w:r>
          <w:r>
            <w:t>4</w:t>
          </w:r>
        </w:p>
        <w:p>
          <w:pPr>
            <w:pStyle w:val="9"/>
            <w:tabs>
              <w:tab w:val="right" w:leader="dot" w:pos="9026"/>
            </w:tabs>
          </w:pPr>
          <w:r>
            <w:t>4. SIMA İnteqrasiyası</w:t>
          </w:r>
          <w:r>
            <w:tab/>
          </w:r>
          <w:r>
            <w:t>5</w:t>
          </w:r>
        </w:p>
        <w:p>
          <w:pPr>
            <w:pStyle w:val="11"/>
            <w:ind w:left="360"/>
            <w:tabs>
              <w:tab w:val="right" w:leader="dot" w:pos="9026"/>
            </w:tabs>
          </w:pPr>
          <w:r>
            <w:t>4.1. Konfiqurasiya Parametrləri</w:t>
          </w:r>
          <w:r>
            <w:tab/>
          </w:r>
          <w:r>
            <w:t>5</w:t>
          </w:r>
        </w:p>
        <w:p>
          <w:pPr>
            <w:pStyle w:val="9"/>
            <w:tabs>
              <w:tab w:val="right" w:leader="dot" w:pos="9026"/>
            </w:tabs>
          </w:pPr>
          <w:r>
            <w:t>5. MKR Kredit Bürosu (AKB) İnteqrasiyası</w:t>
          </w:r>
          <w:r>
            <w:tab/>
          </w:r>
          <w:r>
            <w:t>6</w:t>
          </w:r>
        </w:p>
        <w:p>
          <w:pPr>
            <w:pStyle w:val="11"/>
            <w:ind w:left="360"/>
            <w:tabs>
              <w:tab w:val="right" w:leader="dot" w:pos="9026"/>
            </w:tabs>
          </w:pPr>
          <w:r>
            <w:t>5.1. Konfiqurasiya Parametrləri</w:t>
          </w:r>
          <w:r>
            <w:tab/>
          </w:r>
          <w:r>
            <w:t>6</w:t>
          </w:r>
        </w:p>
        <w:p>
          <w:pPr>
            <w:pStyle w:val="9"/>
            <w:tabs>
              <w:tab w:val="right" w:leader="dot" w:pos="9026"/>
            </w:tabs>
          </w:pPr>
          <w:r>
            <w:t>6. SMS İnteqrasiyaları</w:t>
          </w:r>
          <w:r>
            <w:tab/>
          </w:r>
          <w:r>
            <w:t>7</w:t>
          </w:r>
        </w:p>
        <w:p>
          <w:pPr>
            <w:pStyle w:val="11"/>
            <w:ind w:left="360"/>
            <w:tabs>
              <w:tab w:val="right" w:leader="dot" w:pos="9026"/>
            </w:tabs>
          </w:pPr>
          <w:r>
            <w:t>6.1. Poct Göyərçini SMS</w:t>
          </w:r>
          <w:r>
            <w:tab/>
          </w:r>
          <w:r>
            <w:t>7</w:t>
          </w:r>
        </w:p>
        <w:p>
          <w:pPr>
            <w:pStyle w:val="11"/>
            <w:ind w:left="360"/>
            <w:tabs>
              <w:tab w:val="right" w:leader="dot" w:pos="9026"/>
            </w:tabs>
          </w:pPr>
          <w:r>
            <w:t>6.2. QuickSMS</w:t>
          </w:r>
          <w:r>
            <w:tab/>
          </w:r>
          <w:r>
            <w:t>7</w:t>
          </w:r>
        </w:p>
        <w:p>
          <w:pPr>
            <w:pStyle w:val="9"/>
            <w:tabs>
              <w:tab w:val="right" w:leader="dot" w:pos="9026"/>
            </w:tabs>
          </w:pPr>
          <w:r>
            <w:t>7. Cüzdan İnteqrasiyası</w:t>
          </w:r>
          <w:r>
            <w:tab/>
          </w:r>
          <w:r>
            <w:t>8</w:t>
          </w:r>
        </w:p>
        <w:p>
          <w:pPr>
            <w:pStyle w:val="11"/>
            <w:ind w:left="360"/>
            <w:tabs>
              <w:tab w:val="right" w:leader="dot" w:pos="9026"/>
            </w:tabs>
          </w:pPr>
          <w:r>
            <w:t>7.1. CüzdanController — Köçürmə əməliyyatları</w:t>
          </w:r>
          <w:r>
            <w:tab/>
          </w:r>
          <w:r>
            <w:t>8</w:t>
          </w:r>
        </w:p>
        <w:p>
          <w:pPr>
            <w:pStyle w:val="11"/>
            <w:ind w:left="360"/>
            <w:tabs>
              <w:tab w:val="right" w:leader="dot" w:pos="9026"/>
            </w:tabs>
          </w:pPr>
          <w:r>
            <w:t>7.2. CüzdanMobileController — Callback və Top-Up</w:t>
          </w:r>
          <w:r>
            <w:tab/>
          </w:r>
          <w:r>
            <w:t>10</w:t>
          </w:r>
        </w:p>
        <w:p>
          <w:pPr>
            <w:pStyle w:val="11"/>
            <w:ind w:left="360"/>
            <w:tabs>
              <w:tab w:val="right" w:leader="dot" w:pos="9026"/>
            </w:tabs>
          </w:pPr>
          <w:r>
            <w:t>7.3. CüzdanMobileService — REST API Endpoint-ləri</w:t>
          </w:r>
          <w:r>
            <w:tab/>
          </w:r>
          <w:r>
            <w:t>11</w:t>
          </w:r>
        </w:p>
        <w:p>
          <w:pPr>
            <w:pStyle w:val="11"/>
            <w:ind w:left="360"/>
            <w:tabs>
              <w:tab w:val="right" w:leader="dot" w:pos="9026"/>
            </w:tabs>
          </w:pPr>
          <w:r>
            <w:t>7.4. CüzdanServicePayOut — Webhook Endpoint</w:t>
          </w:r>
          <w:r>
            <w:tab/>
          </w:r>
          <w:r>
            <w:t>13</w:t>
          </w:r>
        </w:p>
        <w:p>
          <w:pPr>
            <w:pStyle w:val="11"/>
            <w:ind w:left="360"/>
            <w:tabs>
              <w:tab w:val="right" w:leader="dot" w:pos="9026"/>
            </w:tabs>
          </w:pPr>
          <w:r>
            <w:t>7.5. CüzdanPreScoringJob — Avtomatik Prescoring</w:t>
          </w:r>
          <w:r>
            <w:tab/>
          </w:r>
          <w:r>
            <w:t>14</w:t>
          </w:r>
        </w:p>
        <w:p>
          <w:pPr>
            <w:pStyle w:val="11"/>
            <w:ind w:left="360"/>
            <w:tabs>
              <w:tab w:val="right" w:leader="dot" w:pos="9026"/>
            </w:tabs>
          </w:pPr>
          <w:r>
            <w:t>7.6. CüzdanRefundJob — Avtomatik Refund</w:t>
          </w:r>
          <w:r>
            <w:tab/>
          </w:r>
          <w:r>
            <w:t>15</w:t>
          </w:r>
        </w:p>
        <w:p>
          <w:pPr>
            <w:pStyle w:val="11"/>
            <w:ind w:left="360"/>
            <w:tabs>
              <w:tab w:val="right" w:leader="dot" w:pos="9026"/>
            </w:tabs>
          </w:pPr>
          <w:r>
            <w:t>7.7. Cüzdan İnteqrasiyası Data Strukturları</w:t>
          </w:r>
          <w:r>
            <w:tab/>
          </w:r>
          <w:r>
            <w:t>15</w:t>
          </w:r>
        </w:p>
        <w:p>
          <w:pPr>
            <w:pStyle w:val="9"/>
            <w:tabs>
              <w:tab w:val="right" w:leader="dot" w:pos="9026"/>
            </w:tabs>
          </w:pPr>
          <w:r>
            <w:t>8. Video Recording İnteqrasiyası</w:t>
          </w:r>
          <w:r>
            <w:tab/>
          </w:r>
          <w:r>
            <w:t>16</w:t>
          </w:r>
        </w:p>
        <w:p>
          <w:pPr>
            <w:pStyle w:val="11"/>
            <w:ind w:left="360"/>
            <w:tabs>
              <w:tab w:val="right" w:leader="dot" w:pos="9026"/>
            </w:tabs>
          </w:pPr>
          <w:r>
            <w:t>8.1. Konfiqurasiya Parametrləri</w:t>
          </w:r>
          <w:r>
            <w:tab/>
          </w:r>
          <w:r>
            <w:t>16</w:t>
          </w:r>
        </w:p>
        <w:p>
          <w:pPr>
            <w:pStyle w:val="11"/>
            <w:ind w:left="360"/>
            <w:tabs>
              <w:tab w:val="right" w:leader="dot" w:pos="9026"/>
            </w:tabs>
          </w:pPr>
          <w:r>
            <w:t>8.2. Video çəkilişi sorğu</w:t>
          </w:r>
          <w:r>
            <w:tab/>
          </w:r>
          <w:r>
            <w:t>17</w:t>
          </w:r>
        </w:p>
        <w:p>
          <w:pPr>
            <w:pStyle w:val="11"/>
            <w:ind w:left="360"/>
            <w:tabs>
              <w:tab w:val="right" w:leader="dot" w:pos="9026"/>
            </w:tabs>
          </w:pPr>
          <w:r>
            <w:t>8.3. Video URL-i</w:t>
          </w:r>
          <w:r>
            <w:tab/>
          </w:r>
          <w:r>
            <w:t>18</w:t>
          </w:r>
        </w:p>
        <w:p>
          <w:pPr>
            <w:pStyle w:val="11"/>
            <w:ind w:left="360"/>
            <w:tabs>
              <w:tab w:val="right" w:leader="dot" w:pos="9026"/>
            </w:tabs>
          </w:pPr>
          <w:r>
            <w:t>8.4. Video çəkilişinin yoxlanılması</w:t>
          </w:r>
          <w:r>
            <w:tab/>
          </w:r>
          <w:r>
            <w:t>18</w:t>
          </w:r>
        </w:p>
        <w:p>
          <w:pPr>
            <w:pStyle w:val="11"/>
            <w:ind w:left="360"/>
            <w:tabs>
              <w:tab w:val="right" w:leader="dot" w:pos="9026"/>
            </w:tabs>
          </w:pPr>
          <w:r>
            <w:t>8.5. Data Strukturu</w:t>
          </w:r>
          <w:r>
            <w:tab/>
          </w:r>
          <w:r>
            <w:t>19</w:t>
          </w:r>
        </w:p>
        <w:p>
          <w:pPr>
            <w:pStyle w:val="11"/>
            <w:ind w:left="360"/>
            <w:tabs>
              <w:tab w:val="right" w:leader="dot" w:pos="9026"/>
            </w:tabs>
          </w:pPr>
          <w:r>
            <w:t>8.6. Cüzdan ilə qarşılıqlı əlaqə</w:t>
          </w:r>
          <w:r>
            <w:tab/>
          </w:r>
          <w:r>
            <w:t>19</w:t>
          </w:r>
        </w:p>
        <w:p>
          <w:pPr>
            <w:pStyle w:val="9"/>
            <w:tabs>
              <w:tab w:val="right" w:leader="dot" w:pos="9026"/>
            </w:tabs>
          </w:pPr>
          <w:r>
            <w:t>9. İnteqrasiya Arxitekturası Ümumi Baxış</w:t>
          </w:r>
          <w:r>
            <w:tab/>
          </w:r>
          <w:r>
            <w:t>20</w:t>
          </w:r>
        </w:p>
        <w:p>
          <w:r>
            <w:fldChar w:fldCharType="end"/>
          </w:r>
        </w:p>
      </w:sdtContent>
    </w:sdt>
    <w:p>
      <w:pPr>
        <w:spacing w:before="200"/>
        <w:jc w:val="center"/>
      </w:pPr>
      <w:r>
        <w:rPr>
          <w:rFonts w:ascii="Microsoft YaHei" w:cs="Microsoft YaHei" w:eastAsia="Microsoft YaHei" w:hAnsi="Microsoft YaHei"/>
          <w:color w:val="999999"/>
          <w:sz w:val="18"/>
          <w:szCs w:val="18"/>
        </w:rPr>
        <w:t xml:space="preserve">Qeyd: Bu mündəricat sahə kodları vasitəsilə generasiya olunub. Səhifə nömrələrinin dəqiqliyini təmin etmək üçün mündəricata sağ klikləyib “Update Field” seçin.</w:t>
      </w:r>
    </w:p>
    <w:p>
      <w:r>
        <w:br w:type="page"/>
      </w:r>
    </w:p>
    <w:p>
      <w:pPr>
        <w:pStyle w:val="Heading1"/>
        <w:spacing w:after="300" w:before="600" w:line="250"/>
      </w:pPr>
      <w:r>
        <w:rPr>
          <w:rFonts w:ascii="SimHei" w:cs="SimHei" w:eastAsia="SimHei" w:hAnsi="SimHei"/>
          <w:b/>
          <w:bCs/>
          <w:color w:val="0B1220"/>
          <w:sz w:val="32"/>
          <w:szCs w:val="32"/>
        </w:rPr>
        <w:t xml:space="preserve">1. Giriş və Özətlər</w:t>
      </w:r>
    </w:p>
    <w:p>
      <w:pPr>
        <w:spacing w:after="120" w:line="250"/>
        <w:ind w:firstLine="420"/>
        <w:jc w:val="left"/>
      </w:pPr>
      <w:r>
        <w:rPr>
          <w:rFonts w:ascii="Microsoft YaHei" w:cs="Microsoft YaHei" w:eastAsia="Microsoft YaHei" w:hAnsi="Microsoft YaHei"/>
          <w:color w:val="0F172A"/>
          <w:sz w:val="21"/>
          <w:szCs w:val="21"/>
        </w:rPr>
        <w:t xml:space="preserve">Bu sənəd EmbaFinans kredit scoring sisteminin xarici xidmətlərlə inteqrasiyalarının tam texniki təsvirini ehtiva edir. Sistem əsasən Java (embafinance.jar, softgenic.jar) və Clojure texnologiyaları üzərində qurulmuşdur və məlumat bazaları DB4O ilə idarə olunur. Hər bir inteqrasiyaçı endpoint URL-ləri, HTTP metodları, request/response payload strukturları, autentifikasiya mexanizmləri və konfiqurasiya parametrləri daxil olmaqla detallı şəkildə təsvir olunur.</w:t>
      </w:r>
    </w:p>
    <w:p>
      <w:pPr>
        <w:spacing w:after="120" w:line="250"/>
        <w:ind w:firstLine="420"/>
        <w:jc w:val="left"/>
      </w:pPr>
      <w:r>
        <w:rPr>
          <w:rFonts w:ascii="Microsoft YaHei" w:cs="Microsoft YaHei" w:eastAsia="Microsoft YaHei" w:hAnsi="Microsoft YaHei"/>
          <w:color w:val="0F172A"/>
          <w:sz w:val="21"/>
          <w:szCs w:val="21"/>
        </w:rPr>
        <w:t xml:space="preserve">Sistemin kredit müraciətlərini emal etmək üçün bir neçə xarici xidmətlə inteqrasiyası mövcuddur. Bu inteqrasiyalar iki kateqoriyaya bölünür: Maliyyə məlumat xidmətləri (ASAN Finance, SIMA, MKR Kredit Bürosu), şəxsiyyət təsdiqi və kommunikasiya xidmətləri (Video Recording, Poct Göyərçini SMS, QuickSMS), və rəqəmsal cüzdan inteqrasiyaları (Cüzdan Mobile, Cüzdan PayOut, Cüzdan PreScoring). Cüzdan inteqrasiyası sistemən ən mühüm komponentlərindən biri olub, mobil cüzdan vasitəsilə kredit müraciətinin yaradılması, prescoring, təsdiqlənmə, və karta köçürülməsi proseslərini əhatə edir.</w:t>
      </w:r>
    </w:p>
    <w:p>
      <w:pPr>
        <w:pStyle w:val="Heading1"/>
        <w:spacing w:after="300" w:before="600" w:line="250"/>
      </w:pPr>
      <w:r>
        <w:rPr>
          <w:rFonts w:ascii="SimHei" w:cs="SimHei" w:eastAsia="SimHei" w:hAnsi="SimHei"/>
          <w:b/>
          <w:bCs/>
          <w:color w:val="0B1220"/>
          <w:sz w:val="32"/>
          <w:szCs w:val="32"/>
        </w:rPr>
        <w:t xml:space="preserve">2. İnteqrasiyaların Ümumi Siyahısı</w:t>
      </w:r>
    </w:p>
    <w:p>
      <w:pPr>
        <w:spacing w:after="120" w:line="250"/>
        <w:ind w:firstLine="420"/>
        <w:jc w:val="left"/>
      </w:pPr>
      <w:r>
        <w:rPr>
          <w:rFonts w:ascii="Microsoft YaHei" w:cs="Microsoft YaHei" w:eastAsia="Microsoft YaHei" w:hAnsi="Microsoft YaHei"/>
          <w:color w:val="0F172A"/>
          <w:sz w:val="21"/>
          <w:szCs w:val="21"/>
        </w:rPr>
        <w:t xml:space="preserve">Aşağıdakı cədvəl sistemən bütün xarici inteqrasiyalarını qısa şəkildə təqdim edir. Hər bir inteqrasiya üçün əsas məlumatlar — məqsəd, texnologiya, əlaqə istiqaməti və konfiqurasiya mənbəyi göstərilmişdər.</w:t>
      </w:r>
    </w:p>
    <w:p>
      <w:pPr>
        <w:spacing w:after="100" w:before="10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600"/>
        <w:gridCol w:w="2200"/>
        <w:gridCol w:w="4200"/>
        <w:gridCol w:w="2000"/>
      </w:tblGrid>
      <w:tr>
        <w:trPr>
          <w:tblHeader/>
        </w:trPr>
        <w:tc>
          <w:tcPr>
            <w:tcW w:type="dxa" w:w="6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w:t>
            </w:r>
          </w:p>
        </w:tc>
        <w:tc>
          <w:tcPr>
            <w:tcW w:type="dxa" w:w="2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İnteqrasiya</w:t>
            </w:r>
          </w:p>
        </w:tc>
        <w:tc>
          <w:tcPr>
            <w:tcW w:type="dxa" w:w="4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Məqsəd</w:t>
            </w:r>
          </w:p>
        </w:tc>
        <w:tc>
          <w:tcPr>
            <w:tcW w:type="dxa" w:w="2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İstiqamət</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1</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 Finance</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Şəxsi məlumat, iş yeri, pensiya məlumatları</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Embafinans → ASAN</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2</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SIMA</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Fiziki şəxslərin maliyyə əməliyyat məlumatları</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Embafinans → SIMA</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3</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 Kredit Bürosu (AKB)</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Kredit scoring və kredit tarixi sorğuları</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Embafinans → MKR</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4</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Poct Göyərçini SMS</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OTP SMS göndərmə (Creditadmin)</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Embafinans → Poct</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5</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QuickSMS</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OTP SMS göndərmə (Retail)</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Embafinans → QuickSMS</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6</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Cüzdan Mobile</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Mobil cüzdan kredit müraciəti, callback, top-up</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 Cüzdan</w:t>
            </w:r>
          </w:p>
        </w:tc>
      </w:tr>
      <w:tr>
        <w:tc>
          <w:tcPr>
            <w:tcW w:type="dxa" w:w="6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7</w:t>
            </w:r>
          </w:p>
        </w:tc>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 Recording</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 çəkilişi ilə şəxsiyyət təsdiqi</w:t>
            </w:r>
          </w:p>
        </w:tc>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Embafinans → Video</w:t>
            </w:r>
          </w:p>
        </w:tc>
      </w:tr>
    </w:tbl>
    <w:p>
      <w:pPr>
        <w:spacing w:after="200" w:before="60"/>
        <w:jc w:val="center"/>
      </w:pPr>
      <w:r>
        <w:rPr>
          <w:rFonts w:ascii="Microsoft YaHei" w:cs="Microsoft YaHei" w:eastAsia="Microsoft YaHei" w:hAnsi="Microsoft YaHei"/>
          <w:color w:val="9AA6B2"/>
          <w:sz w:val="18"/>
          <w:szCs w:val="18"/>
        </w:rPr>
        <w:t xml:space="preserve">Cədvəl 1: İnteqrasiyaların ümumi siyahısı</w:t>
      </w:r>
    </w:p>
    <w:p>
      <w:pPr>
        <w:pStyle w:val="Heading1"/>
        <w:spacing w:after="300" w:before="600" w:line="250"/>
      </w:pPr>
      <w:r>
        <w:rPr>
          <w:rFonts w:ascii="SimHei" w:cs="SimHei" w:eastAsia="SimHei" w:hAnsi="SimHei"/>
          <w:b/>
          <w:bCs/>
          <w:color w:val="0B1220"/>
          <w:sz w:val="32"/>
          <w:szCs w:val="32"/>
        </w:rPr>
        <w:t xml:space="preserve">3. ASAN Finance İnteqrasiyası</w:t>
      </w:r>
    </w:p>
    <w:p>
      <w:pPr>
        <w:spacing w:after="120" w:line="250"/>
        <w:ind w:firstLine="420"/>
        <w:jc w:val="left"/>
      </w:pPr>
      <w:r>
        <w:rPr>
          <w:rFonts w:ascii="Microsoft YaHei" w:cs="Microsoft YaHei" w:eastAsia="Microsoft YaHei" w:hAnsi="Microsoft YaHei"/>
          <w:color w:val="0F172A"/>
          <w:sz w:val="21"/>
          <w:szCs w:val="21"/>
        </w:rPr>
        <w:t xml:space="preserve">ASAN Finance inteqrasiyası EmbaFinansın şəxsi məlumat xidmətidir. Bu inteqrasiya vasitəsilə PIN kodu və pasport seriyası ilə fiziki şəxslərin şəxsiyyət məlumatları, iş yeri məlumatları və pensiya məlumatları sorğulur. Bu məlumatlar scoring prosesində prioritet 2 cutoff yoxlamalarında istifadə olunur və həmçinin Cüzdan PreScoring job-da avtomatik olaraq çağırılır.</w:t>
      </w:r>
    </w:p>
    <w:p>
      <w:pPr>
        <w:pStyle w:val="Heading2"/>
        <w:spacing w:after="200" w:before="400" w:line="250"/>
      </w:pPr>
      <w:r>
        <w:rPr>
          <w:rFonts w:ascii="SimHei" w:cs="SimHei" w:eastAsia="SimHei" w:hAnsi="SimHei"/>
          <w:b/>
          <w:bCs/>
          <w:color w:val="2B2B2B"/>
          <w:sz w:val="28"/>
          <w:szCs w:val="28"/>
        </w:rPr>
        <w:t xml:space="preserve">3.1. Konfiqurasiya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3500"/>
        <w:gridCol w:w="2700"/>
      </w:tblGrid>
      <w:tr>
        <w:trPr>
          <w:tblHeader/>
        </w:trPr>
        <w:tc>
          <w:tcPr>
            <w:tcW w:type="dxa" w:w="28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Parametr</w:t>
            </w:r>
          </w:p>
        </w:tc>
        <w:tc>
          <w:tcPr>
            <w:tcW w:type="dxa" w:w="35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c>
          <w:tcPr>
            <w:tcW w:type="dxa" w:w="27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Nümunə</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asanfinance.url</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 Finance API baz URL</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https://api.asanfinance.az</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asanfinance.username</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API istifadəçi adı</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embafin_user</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asanfinance.password</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API şifrə</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asanfinance.timeout</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Timeout (saniyə)</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30</w:t>
            </w:r>
          </w:p>
        </w:tc>
      </w:tr>
    </w:tbl>
    <w:p>
      <w:pPr>
        <w:spacing w:after="200" w:before="60"/>
        <w:jc w:val="center"/>
      </w:pPr>
      <w:r>
        <w:rPr>
          <w:rFonts w:ascii="Microsoft YaHei" w:cs="Microsoft YaHei" w:eastAsia="Microsoft YaHei" w:hAnsi="Microsoft YaHei"/>
          <w:color w:val="9AA6B2"/>
          <w:sz w:val="18"/>
          <w:szCs w:val="18"/>
        </w:rPr>
        <w:t xml:space="preserve">Cədvəl 2: ASAN Finance konfiqurasiya parametrləri</w:t>
      </w:r>
    </w:p>
    <w:p>
      <w:pPr>
        <w:pStyle w:val="Heading1"/>
        <w:spacing w:after="300" w:before="600" w:line="250"/>
      </w:pPr>
      <w:r>
        <w:rPr>
          <w:rFonts w:ascii="SimHei" w:cs="SimHei" w:eastAsia="SimHei" w:hAnsi="SimHei"/>
          <w:b/>
          <w:bCs/>
          <w:color w:val="0B1220"/>
          <w:sz w:val="32"/>
          <w:szCs w:val="32"/>
        </w:rPr>
        <w:t xml:space="preserve">4. SIMA İnteqrasiyası</w:t>
      </w:r>
    </w:p>
    <w:p>
      <w:pPr>
        <w:spacing w:after="120" w:line="250"/>
        <w:ind w:firstLine="420"/>
        <w:jc w:val="left"/>
      </w:pPr>
      <w:r>
        <w:rPr>
          <w:rFonts w:ascii="Microsoft YaHei" w:cs="Microsoft YaHei" w:eastAsia="Microsoft YaHei" w:hAnsi="Microsoft YaHei"/>
          <w:color w:val="0F172A"/>
          <w:sz w:val="21"/>
          <w:szCs w:val="21"/>
        </w:rPr>
        <w:t xml:space="preserve">SIMA (Sosial İnsuranalar Agentliyi) inteqrasiyası vasitəsilə fiziki şəxslərin maliyyə əməliyyat məlumatları sorğulur. Bu inteqrasiya şəxsin iş yeri, əmək haqqı, sosial sığortalar və digər maliyyə fəaliyyəti barədə məlumat toplayaraq scoring prosesinə təsir edir.</w:t>
      </w:r>
    </w:p>
    <w:p>
      <w:pPr>
        <w:pStyle w:val="Heading2"/>
        <w:spacing w:after="200" w:before="400" w:line="250"/>
      </w:pPr>
      <w:r>
        <w:rPr>
          <w:rFonts w:ascii="SimHei" w:cs="SimHei" w:eastAsia="SimHei" w:hAnsi="SimHei"/>
          <w:b/>
          <w:bCs/>
          <w:color w:val="2B2B2B"/>
          <w:sz w:val="28"/>
          <w:szCs w:val="28"/>
        </w:rPr>
        <w:t xml:space="preserve">4.1. Konfiqurasiya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3500"/>
        <w:gridCol w:w="2700"/>
      </w:tblGrid>
      <w:tr>
        <w:trPr>
          <w:tblHeader/>
        </w:trPr>
        <w:tc>
          <w:tcPr>
            <w:tcW w:type="dxa" w:w="28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Parametr</w:t>
            </w:r>
          </w:p>
        </w:tc>
        <w:tc>
          <w:tcPr>
            <w:tcW w:type="dxa" w:w="35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c>
          <w:tcPr>
            <w:tcW w:type="dxa" w:w="27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Nümunə</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sima.lw_address</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SIMA API URL</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https://sima.gov.az/api</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sima.clientid</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API client ID</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embafin_sima</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sima.timeout</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Timeout (saniyə)</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30</w:t>
            </w:r>
          </w:p>
        </w:tc>
      </w:tr>
    </w:tbl>
    <w:p>
      <w:pPr>
        <w:spacing w:after="200" w:before="60"/>
        <w:jc w:val="center"/>
      </w:pPr>
      <w:r>
        <w:rPr>
          <w:rFonts w:ascii="Microsoft YaHei" w:cs="Microsoft YaHei" w:eastAsia="Microsoft YaHei" w:hAnsi="Microsoft YaHei"/>
          <w:color w:val="9AA6B2"/>
          <w:sz w:val="18"/>
          <w:szCs w:val="18"/>
        </w:rPr>
        <w:t xml:space="preserve">Cədvəl 3: SIMA konfiqurasiya parametrləri</w:t>
      </w:r>
    </w:p>
    <w:p>
      <w:pPr>
        <w:pStyle w:val="Heading1"/>
        <w:spacing w:after="300" w:before="600" w:line="250"/>
      </w:pPr>
      <w:r>
        <w:rPr>
          <w:rFonts w:ascii="SimHei" w:cs="SimHei" w:eastAsia="SimHei" w:hAnsi="SimHei"/>
          <w:b/>
          <w:bCs/>
          <w:color w:val="0B1220"/>
          <w:sz w:val="32"/>
          <w:szCs w:val="32"/>
        </w:rPr>
        <w:t xml:space="preserve">5. MKR Kredit Bürosu (AKB) İnteqrasiyası</w:t>
      </w:r>
    </w:p>
    <w:p>
      <w:pPr>
        <w:spacing w:after="120" w:line="250"/>
        <w:ind w:firstLine="420"/>
        <w:jc w:val="left"/>
      </w:pPr>
      <w:r>
        <w:rPr>
          <w:rFonts w:ascii="Microsoft YaHei" w:cs="Microsoft YaHei" w:eastAsia="Microsoft YaHei" w:hAnsi="Microsoft YaHei"/>
          <w:color w:val="0F172A"/>
          <w:sz w:val="21"/>
          <w:szCs w:val="21"/>
        </w:rPr>
        <w:t xml:space="preserve">MKR (Mərkəzi Kredit Bürosu) inteqrasiyası kredit scoring və kredit tarixi sorğularını həyata keçirir. Bu inteqrasiya iki əsas funksiya yerinə yetirir: scoring (ballə görə qiymətləndirmə) və inquire (kredit tarixi sorğusu). Scoring nəticələri prescoring prosesində prioritet 3 və 4 cutoff yoxlamalarında istifadə olunur. AKB scoring cavabından point (bal), exclusionCode (istisna kodu) və scoreExclusion dəyərləri çıxarılır.</w:t>
      </w:r>
    </w:p>
    <w:p>
      <w:pPr>
        <w:pStyle w:val="Heading2"/>
        <w:spacing w:after="200" w:before="400" w:line="250"/>
      </w:pPr>
      <w:r>
        <w:rPr>
          <w:rFonts w:ascii="SimHei" w:cs="SimHei" w:eastAsia="SimHei" w:hAnsi="SimHei"/>
          <w:b/>
          <w:bCs/>
          <w:color w:val="2B2B2B"/>
          <w:sz w:val="28"/>
          <w:szCs w:val="28"/>
        </w:rPr>
        <w:t xml:space="preserve">5.1. Konfiqurasiya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3500"/>
        <w:gridCol w:w="2700"/>
      </w:tblGrid>
      <w:tr>
        <w:trPr>
          <w:tblHeader/>
        </w:trPr>
        <w:tc>
          <w:tcPr>
            <w:tcW w:type="dxa" w:w="28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Parametr</w:t>
            </w:r>
          </w:p>
        </w:tc>
        <w:tc>
          <w:tcPr>
            <w:tcW w:type="dxa" w:w="35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c>
          <w:tcPr>
            <w:tcW w:type="dxa" w:w="27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Nümunə</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mkr.url</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 API baz URL</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https://api.mkr.az</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mkr.username</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API istifadəçi adı</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embafin_mkr</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mkr.password</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API şifrə</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w:t>
            </w:r>
          </w:p>
        </w:tc>
      </w:tr>
      <w:tr>
        <w:tc>
          <w:tcPr>
            <w:tcW w:type="dxa" w:w="2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mkr.timeout</w:t>
            </w:r>
          </w:p>
        </w:tc>
        <w:tc>
          <w:tcPr>
            <w:tcW w:type="dxa" w:w="3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Timeout (saniyə)</w:t>
            </w:r>
          </w:p>
        </w:tc>
        <w:tc>
          <w:tcPr>
            <w:tcW w:type="dxa" w:w="2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30</w:t>
            </w:r>
          </w:p>
        </w:tc>
      </w:tr>
    </w:tbl>
    <w:p>
      <w:pPr>
        <w:spacing w:after="200" w:before="60"/>
        <w:jc w:val="center"/>
      </w:pPr>
      <w:r>
        <w:rPr>
          <w:rFonts w:ascii="Microsoft YaHei" w:cs="Microsoft YaHei" w:eastAsia="Microsoft YaHei" w:hAnsi="Microsoft YaHei"/>
          <w:color w:val="9AA6B2"/>
          <w:sz w:val="18"/>
          <w:szCs w:val="18"/>
        </w:rPr>
        <w:t xml:space="preserve">Cədvəl 4: MKR konfiqurasiya parametrləri</w:t>
      </w:r>
    </w:p>
    <w:p>
      <w:pPr>
        <w:pStyle w:val="Heading1"/>
        <w:spacing w:after="300" w:before="600" w:line="250"/>
      </w:pPr>
      <w:r>
        <w:rPr>
          <w:rFonts w:ascii="SimHei" w:cs="SimHei" w:eastAsia="SimHei" w:hAnsi="SimHei"/>
          <w:b/>
          <w:bCs/>
          <w:color w:val="0B1220"/>
          <w:sz w:val="32"/>
          <w:szCs w:val="32"/>
        </w:rPr>
        <w:t xml:space="preserve">6. SMS İnteqrasiyaları</w:t>
      </w:r>
    </w:p>
    <w:p>
      <w:pPr>
        <w:spacing w:after="120" w:line="250"/>
        <w:ind w:firstLine="420"/>
        <w:jc w:val="left"/>
      </w:pPr>
      <w:r>
        <w:rPr>
          <w:rFonts w:ascii="Microsoft YaHei" w:cs="Microsoft YaHei" w:eastAsia="Microsoft YaHei" w:hAnsi="Microsoft YaHei"/>
          <w:color w:val="0F172A"/>
          <w:sz w:val="21"/>
          <w:szCs w:val="21"/>
        </w:rPr>
        <w:t xml:space="preserve">Sistemdə OTP (One-Time Password) SMS göndərmək üçün iki müxtəlif SMS provider-i istifadə olunur. Poct Göyərçini Creditadmin (kredit administrasiyası) üçün, QuickSMS isə Retail (pərakəndə satış) üçün növbəti SMS göndərir. Hər iki inteqrasiya HTTP POST metodu ilə işləyir və JSON formatında cavab qaytarır.</w:t>
      </w:r>
    </w:p>
    <w:p>
      <w:pPr>
        <w:pStyle w:val="Heading2"/>
        <w:spacing w:after="200" w:before="400" w:line="250"/>
      </w:pPr>
      <w:r>
        <w:rPr>
          <w:rFonts w:ascii="SimHei" w:cs="SimHei" w:eastAsia="SimHei" w:hAnsi="SimHei"/>
          <w:b/>
          <w:bCs/>
          <w:color w:val="2B2B2B"/>
          <w:sz w:val="28"/>
          <w:szCs w:val="28"/>
        </w:rPr>
        <w:t xml:space="preserve">6.1. Poct Göyərçini SMS</w:t>
      </w:r>
    </w:p>
    <w:p>
      <w:pPr>
        <w:spacing w:after="120" w:line="250"/>
        <w:ind w:firstLine="420"/>
        <w:jc w:val="left"/>
      </w:pPr>
      <w:r>
        <w:rPr>
          <w:rFonts w:ascii="Microsoft YaHei" w:cs="Microsoft YaHei" w:eastAsia="Microsoft YaHei" w:hAnsi="Microsoft YaHei"/>
          <w:color w:val="0F172A"/>
          <w:sz w:val="21"/>
          <w:szCs w:val="21"/>
        </w:rPr>
        <w:t xml:space="preserve">Poct Göyərçini Creditadmin modulu tərəfindən istifadə olunan SMS xidmətidir. Kredit müraciəti prosesi zamanı müştərinin mobil telefonuna OTP göndərmək üçün istifadə edilir.</w:t>
      </w:r>
    </w:p>
    <w:p>
      <w:pPr>
        <w:pStyle w:val="Heading2"/>
        <w:spacing w:after="200" w:before="400" w:line="250"/>
      </w:pPr>
      <w:r>
        <w:rPr>
          <w:rFonts w:ascii="SimHei" w:cs="SimHei" w:eastAsia="SimHei" w:hAnsi="SimHei"/>
          <w:b/>
          <w:bCs/>
          <w:color w:val="2B2B2B"/>
          <w:sz w:val="28"/>
          <w:szCs w:val="28"/>
        </w:rPr>
        <w:t xml:space="preserve">6.2. QuickSMS</w:t>
      </w:r>
    </w:p>
    <w:p>
      <w:pPr>
        <w:spacing w:after="120" w:line="250"/>
        <w:ind w:firstLine="420"/>
        <w:jc w:val="left"/>
      </w:pPr>
      <w:r>
        <w:rPr>
          <w:rFonts w:ascii="Microsoft YaHei" w:cs="Microsoft YaHei" w:eastAsia="Microsoft YaHei" w:hAnsi="Microsoft YaHei"/>
          <w:color w:val="0F172A"/>
          <w:sz w:val="21"/>
          <w:szCs w:val="21"/>
        </w:rPr>
        <w:t xml:space="preserve">QuickSMS Retail modulu tərəfindən istifadə olunan SMS xidmətidir. Eyni OTP funksiyasını yerinə yetirir, ancaq fərqli API endpoint və formatı istifadə edir.</w:t>
      </w:r>
    </w:p>
    <w:p>
      <w:pPr>
        <w:pStyle w:val="Heading1"/>
        <w:spacing w:after="300" w:before="600" w:line="250"/>
      </w:pPr>
      <w:r>
        <w:rPr>
          <w:rFonts w:ascii="SimHei" w:cs="SimHei" w:eastAsia="SimHei" w:hAnsi="SimHei"/>
          <w:b/>
          <w:bCs/>
          <w:color w:val="0B1220"/>
          <w:sz w:val="32"/>
          <w:szCs w:val="32"/>
        </w:rPr>
        <w:t xml:space="preserve">7. Cüzdan İnteqrasiyası</w:t>
      </w:r>
    </w:p>
    <w:p>
      <w:pPr>
        <w:spacing w:after="120" w:line="250"/>
        <w:ind w:firstLine="420"/>
        <w:jc w:val="left"/>
      </w:pPr>
      <w:r>
        <w:rPr>
          <w:rFonts w:ascii="Microsoft YaHei" w:cs="Microsoft YaHei" w:eastAsia="Microsoft YaHei" w:hAnsi="Microsoft YaHei"/>
          <w:color w:val="0F172A"/>
          <w:sz w:val="21"/>
          <w:szCs w:val="21"/>
        </w:rPr>
        <w:t xml:space="preserve">Cüzdan inteqrasiyası EmbaFinansın ən hərtərəfli və çoxtərəfli xarici inteqrasiyasıdır. Bu inteqrasiya vasitəsilə Cüzdan.az mobil cüzdan platforması ilə tam inteqrasiya təmin edilir. Cüzdan inteqrasiyası bir neçə alt-komponentdən ibarətdir: CüzdanController (köçürmə, refund, payment əməliyyatları), CüzdanMobileController (callback, top-up), CüzdanMobileService (REST API — müraciət yaratma və status sorğu), CüzdanServicePayOut (webhook — kart registrasiyası), CüzdanPreScoringJob (avtomatik prescoring) və CüzdanRefundJob (avtomatik refund).</w:t>
      </w:r>
    </w:p>
    <w:p>
      <w:pPr>
        <w:spacing w:after="120" w:line="250"/>
        <w:ind w:firstLine="420"/>
        <w:jc w:val="left"/>
      </w:pPr>
      <w:r>
        <w:rPr>
          <w:rFonts w:ascii="Microsoft YaHei" w:cs="Microsoft YaHei" w:eastAsia="Microsoft YaHei" w:hAnsi="Microsoft YaHei"/>
          <w:color w:val="0F172A"/>
          <w:sz w:val="21"/>
          <w:szCs w:val="21"/>
        </w:rPr>
        <w:t xml:space="preserve">Cüzdan inteqrasiyası system-də bir neçə kritik Biznes Proses Modeli (BPM) node-ları ilə əlaqələndirilir: “cuzdan pre-scoring” (State), “cuzdan choose branch” (Task), “is cuzdan card request allowed” (Decision), “cuzdan request card data” (Task), “is cuzdan transfer allowed” (Decision), “cuzdan transfer card data” (Task), “cuzdan mobile top up” (Task). Bu node-lar kredit müraciətinin RCASH case tipi içərəsində iş axınını idarə edir.</w:t>
      </w:r>
    </w:p>
    <w:p>
      <w:pPr>
        <w:pStyle w:val="Heading2"/>
        <w:spacing w:after="200" w:before="400" w:line="250"/>
      </w:pPr>
      <w:r>
        <w:rPr>
          <w:rFonts w:ascii="SimHei" w:cs="SimHei" w:eastAsia="SimHei" w:hAnsi="SimHei"/>
          <w:b/>
          <w:bCs/>
          <w:color w:val="2B2B2B"/>
          <w:sz w:val="28"/>
          <w:szCs w:val="28"/>
        </w:rPr>
        <w:t xml:space="preserve">7.1. CüzdanController — Köçürmə əməliyyatları</w:t>
      </w:r>
    </w:p>
    <w:p>
      <w:pPr>
        <w:spacing w:after="120" w:line="250"/>
        <w:ind w:firstLine="420"/>
        <w:jc w:val="left"/>
      </w:pPr>
      <w:r>
        <w:rPr>
          <w:rFonts w:ascii="Microsoft YaHei" w:cs="Microsoft YaHei" w:eastAsia="Microsoft YaHei" w:hAnsi="Microsoft YaHei"/>
          <w:color w:val="0F172A"/>
          <w:sz w:val="21"/>
          <w:szCs w:val="21"/>
        </w:rPr>
        <w:t xml:space="preserve">CüzdanController kredit məbləğinin müştərinin bank kartına köçürülməsi, kart registrasiyası (0.10 AZN), refund və payment query əməliyyatlarını həyata keçirir. Bu kontroller daxili API çağırıları üçün istifadə olunur və birbaşa REST endpoint əlçə mirətmir.</w:t>
      </w:r>
    </w:p>
    <w:p>
      <w:pPr>
        <w:spacing w:after="150" w:before="300" w:line="250"/>
      </w:pPr>
      <w:r>
        <w:rPr>
          <w:rFonts w:ascii="SimHei" w:cs="SimHei" w:eastAsia="SimHei" w:hAnsi="SimHei"/>
          <w:b/>
          <w:bCs/>
          <w:color w:val="2B2B2B"/>
          <w:sz w:val="24"/>
          <w:szCs w:val="24"/>
        </w:rPr>
        <w:t xml:space="preserve">Konfiqurasiya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3000"/>
        <w:gridCol w:w="6000"/>
      </w:tblGrid>
      <w:tr>
        <w:trPr>
          <w:tblHeader/>
        </w:trPr>
        <w:tc>
          <w:tcPr>
            <w:tcW w:type="dxa" w:w="3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Parametr</w:t>
            </w:r>
          </w:p>
        </w:tc>
        <w:tc>
          <w:tcPr>
            <w:tcW w:type="dxa" w:w="6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cuzdan.auth_header</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Kart registrasiya/köçürmə üçün Authorization header</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cuzdan.auth_transfer_header</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Köçürmə əməliyyatı üçün xüsusi Authorization header</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cuzdan.callback_url</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Payment callback URL (kart registrasiyası)</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cuzdan.profile_id</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Cüzdan merchant profil ID (rəqəm)</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cuzdan.timeout</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Timeout (saniyə, default 10)</w:t>
            </w:r>
          </w:p>
        </w:tc>
      </w:tr>
    </w:tbl>
    <w:p>
      <w:pPr>
        <w:spacing w:after="200" w:before="60"/>
        <w:jc w:val="center"/>
      </w:pPr>
      <w:r>
        <w:rPr>
          <w:rFonts w:ascii="Microsoft YaHei" w:cs="Microsoft YaHei" w:eastAsia="Microsoft YaHei" w:hAnsi="Microsoft YaHei"/>
          <w:color w:val="9AA6B2"/>
          <w:sz w:val="18"/>
          <w:szCs w:val="18"/>
        </w:rPr>
        <w:t xml:space="preserve">Cədvəl 5: CüzdanController konfiqurasiya parametrləri</w:t>
      </w:r>
    </w:p>
    <w:p>
      <w:pPr>
        <w:spacing w:after="150" w:before="300" w:line="250"/>
      </w:pPr>
      <w:r>
        <w:rPr>
          <w:rFonts w:ascii="SimHei" w:cs="SimHei" w:eastAsia="SimHei" w:hAnsi="SimHei"/>
          <w:b/>
          <w:bCs/>
          <w:color w:val="2B2B2B"/>
          <w:sz w:val="24"/>
          <w:szCs w:val="24"/>
        </w:rPr>
        <w:t xml:space="preserve">7.1.1. Transfer əməliyyatı</w:t>
      </w:r>
    </w:p>
    <w:p>
      <w:pPr>
        <w:spacing w:after="120" w:line="250"/>
        <w:jc w:val="left"/>
      </w:pPr>
      <w:r>
        <w:rPr>
          <w:rFonts w:ascii="Microsoft YaHei" w:cs="Microsoft YaHei" w:eastAsia="Microsoft YaHei" w:hAnsi="Microsoft YaHei"/>
          <w:color w:val="0F172A"/>
          <w:sz w:val="21"/>
          <w:szCs w:val="21"/>
        </w:rPr>
        <w:t xml:space="preserve">HTTP Method: POST (daxili API çağırısı)</w:t>
      </w:r>
    </w:p>
    <w:p>
      <w:pPr>
        <w:spacing w:after="120" w:line="250"/>
        <w:ind w:firstLine="420"/>
        <w:jc w:val="left"/>
      </w:pPr>
      <w:r>
        <w:rPr>
          <w:rFonts w:ascii="Microsoft YaHei" w:cs="Microsoft YaHei" w:eastAsia="Microsoft YaHei" w:hAnsi="Microsoft YaHei"/>
          <w:color w:val="0F172A"/>
          <w:sz w:val="21"/>
          <w:szCs w:val="21"/>
        </w:rPr>
        <w:t xml:space="preserve">Authorization: Transfer əməliyyatları üçün auth_transfer_header istifadə olunur, digər əməliyyatlar üçün auth_header.</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"profile_id": &lt;integer&gt;,</w:t>
      </w:r>
    </w:p>
    <w:p>
      <w:pPr>
        <w:spacing w:after="80" w:line="250"/>
        <w:ind w:left="400"/>
      </w:pPr>
      <w:r>
        <w:rPr>
          <w:rFonts w:ascii="SarasaMonoSC" w:cs="SarasaMonoSC" w:eastAsia="SarasaMonoSC" w:hAnsi="SarasaMonoSC"/>
          <w:color w:val="0F172A"/>
          <w:sz w:val="18"/>
          <w:szCs w:val="18"/>
        </w:rPr>
        <w:t xml:space="preserve">  "request_ref": "&lt;CardTransferData UUID&gt;",</w:t>
      </w:r>
    </w:p>
    <w:p>
      <w:pPr>
        <w:spacing w:after="80" w:line="250"/>
        <w:ind w:left="400"/>
      </w:pPr>
      <w:r>
        <w:rPr>
          <w:rFonts w:ascii="SarasaMonoSC" w:cs="SarasaMonoSC" w:eastAsia="SarasaMonoSC" w:hAnsi="SarasaMonoSC"/>
          <w:color w:val="0F172A"/>
          <w:sz w:val="18"/>
          <w:szCs w:val="18"/>
        </w:rPr>
        <w:t xml:space="preserve">  "currency_code": "AZN",</w:t>
      </w:r>
    </w:p>
    <w:p>
      <w:pPr>
        <w:spacing w:after="80" w:line="250"/>
        <w:ind w:left="400"/>
      </w:pPr>
      <w:r>
        <w:rPr>
          <w:rFonts w:ascii="SarasaMonoSC" w:cs="SarasaMonoSC" w:eastAsia="SarasaMonoSC" w:hAnsi="SarasaMonoSC"/>
          <w:color w:val="0F172A"/>
          <w:sz w:val="18"/>
          <w:szCs w:val="18"/>
        </w:rPr>
        <w:t xml:space="preserve">  "amount": &lt;decimal&gt;,</w:t>
      </w:r>
    </w:p>
    <w:p>
      <w:pPr>
        <w:spacing w:after="80" w:line="250"/>
        <w:ind w:left="400"/>
      </w:pPr>
      <w:r>
        <w:rPr>
          <w:rFonts w:ascii="SarasaMonoSC" w:cs="SarasaMonoSC" w:eastAsia="SarasaMonoSC" w:hAnsi="SarasaMonoSC"/>
          <w:color w:val="0F172A"/>
          <w:sz w:val="18"/>
          <w:szCs w:val="18"/>
        </w:rPr>
        <w:t xml:space="preserve">  "description": "Transfer of credit amount to customer card",</w:t>
      </w:r>
    </w:p>
    <w:p>
      <w:pPr>
        <w:spacing w:after="80" w:line="250"/>
        <w:ind w:left="400"/>
      </w:pPr>
      <w:r>
        <w:rPr>
          <w:rFonts w:ascii="SarasaMonoSC" w:cs="SarasaMonoSC" w:eastAsia="SarasaMonoSC" w:hAnsi="SarasaMonoSC"/>
          <w:color w:val="0F172A"/>
          <w:sz w:val="18"/>
          <w:szCs w:val="18"/>
        </w:rPr>
        <w:t xml:space="preserve">  "token": "&lt;kart token&gt;",</w:t>
      </w:r>
    </w:p>
    <w:p>
      <w:pPr>
        <w:spacing w:after="80" w:line="250"/>
        <w:ind w:left="400"/>
      </w:pPr>
      <w:r>
        <w:rPr>
          <w:rFonts w:ascii="SarasaMonoSC" w:cs="SarasaMonoSC" w:eastAsia="SarasaMonoSC" w:hAnsi="SarasaMonoSC"/>
          <w:color w:val="0F172A"/>
          <w:sz w:val="18"/>
          <w:szCs w:val="18"/>
        </w:rPr>
        <w:t xml:space="preserve">  "tran_ref": "&lt;əməliyyat reference&gt;"</w:t>
      </w:r>
    </w:p>
    <w:p>
      <w:pPr>
        <w:spacing w:after="80" w:line="250"/>
        <w:ind w:left="400"/>
      </w:pPr>
      <w:r>
        <w:rPr>
          <w:rFonts w:ascii="SarasaMonoSC" w:cs="SarasaMonoSC" w:eastAsia="SarasaMonoSC" w:hAnsi="SarasaMonoSC"/>
          <w:color w:val="0F172A"/>
          <w:sz w:val="18"/>
          <w:szCs w:val="18"/>
        </w:rPr>
        <w:t xml:space="preserve">}</w:t>
      </w:r>
    </w:p>
    <w:p>
      <w:pPr>
        <w:spacing w:after="120" w:line="250"/>
        <w:ind w:firstLine="420"/>
        <w:jc w:val="left"/>
      </w:pPr>
      <w:r>
        <w:rPr>
          <w:rFonts w:ascii="Microsoft YaHei" w:cs="Microsoft YaHei" w:eastAsia="Microsoft YaHei" w:hAnsi="Microsoft YaHei"/>
          <w:color w:val="0F172A"/>
          <w:sz w:val="21"/>
          <w:szCs w:val="21"/>
        </w:rPr>
        <w:t xml:space="preserve">Uğur statusu: HTTP 200 + boş olmayan cavab success hesab olunur. Ələmələürmə statusu “A” (tran_status) olduqda əməliyyat uğur hesab edilir.</w:t>
      </w:r>
    </w:p>
    <w:p>
      <w:pPr>
        <w:spacing w:after="150" w:before="300" w:line="250"/>
      </w:pPr>
      <w:r>
        <w:rPr>
          <w:rFonts w:ascii="SimHei" w:cs="SimHei" w:eastAsia="SimHei" w:hAnsi="SimHei"/>
          <w:b/>
          <w:bCs/>
          <w:color w:val="2B2B2B"/>
          <w:sz w:val="24"/>
          <w:szCs w:val="24"/>
        </w:rPr>
        <w:t xml:space="preserve">7.1.2. Refund əməliyyatı</w:t>
      </w:r>
    </w:p>
    <w:p>
      <w:pPr>
        <w:spacing w:after="120" w:line="250"/>
        <w:ind w:firstLine="420"/>
        <w:jc w:val="left"/>
      </w:pPr>
      <w:r>
        <w:rPr>
          <w:rFonts w:ascii="Microsoft YaHei" w:cs="Microsoft YaHei" w:eastAsia="Microsoft YaHei" w:hAnsi="Microsoft YaHei"/>
          <w:color w:val="0F172A"/>
          <w:sz w:val="21"/>
          <w:szCs w:val="21"/>
        </w:rPr>
        <w:t xml:space="preserve">Kart registrasiyası üçün ödənilmiş 0.10 AZN məbləğin geri qaytarılması üçün istifadə edilir.</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"profile_id": &lt;integer&gt;,</w:t>
      </w:r>
    </w:p>
    <w:p>
      <w:pPr>
        <w:spacing w:after="80" w:line="250"/>
        <w:ind w:left="400"/>
      </w:pPr>
      <w:r>
        <w:rPr>
          <w:rFonts w:ascii="SarasaMonoSC" w:cs="SarasaMonoSC" w:eastAsia="SarasaMonoSC" w:hAnsi="SarasaMonoSC"/>
          <w:color w:val="0F172A"/>
          <w:sz w:val="18"/>
          <w:szCs w:val="18"/>
        </w:rPr>
        <w:t xml:space="preserve">  "tran_type": "refund",</w:t>
      </w:r>
    </w:p>
    <w:p>
      <w:pPr>
        <w:spacing w:after="80" w:line="250"/>
        <w:ind w:left="400"/>
      </w:pPr>
      <w:r>
        <w:rPr>
          <w:rFonts w:ascii="SarasaMonoSC" w:cs="SarasaMonoSC" w:eastAsia="SarasaMonoSC" w:hAnsi="SarasaMonoSC"/>
          <w:color w:val="0F172A"/>
          <w:sz w:val="18"/>
          <w:szCs w:val="18"/>
        </w:rPr>
        <w:t xml:space="preserve">  "tran_class": "ecom",</w:t>
      </w:r>
    </w:p>
    <w:p>
      <w:pPr>
        <w:spacing w:after="80" w:line="250"/>
        <w:ind w:left="400"/>
      </w:pPr>
      <w:r>
        <w:rPr>
          <w:rFonts w:ascii="SarasaMonoSC" w:cs="SarasaMonoSC" w:eastAsia="SarasaMonoSC" w:hAnsi="SarasaMonoSC"/>
          <w:color w:val="0F172A"/>
          <w:sz w:val="18"/>
          <w:szCs w:val="18"/>
        </w:rPr>
        <w:t xml:space="preserve">  "cart_id": "&lt;CardTransferData UUID&gt;",</w:t>
      </w:r>
    </w:p>
    <w:p>
      <w:pPr>
        <w:spacing w:after="80" w:line="250"/>
        <w:ind w:left="400"/>
      </w:pPr>
      <w:r>
        <w:rPr>
          <w:rFonts w:ascii="SarasaMonoSC" w:cs="SarasaMonoSC" w:eastAsia="SarasaMonoSC" w:hAnsi="SarasaMonoSC"/>
          <w:color w:val="0F172A"/>
          <w:sz w:val="18"/>
          <w:szCs w:val="18"/>
        </w:rPr>
        <w:t xml:space="preserve">  "cart_currency": "AZN",</w:t>
      </w:r>
    </w:p>
    <w:p>
      <w:pPr>
        <w:spacing w:after="80" w:line="250"/>
        <w:ind w:left="400"/>
      </w:pPr>
      <w:r>
        <w:rPr>
          <w:rFonts w:ascii="SarasaMonoSC" w:cs="SarasaMonoSC" w:eastAsia="SarasaMonoSC" w:hAnsi="SarasaMonoSC"/>
          <w:color w:val="0F172A"/>
          <w:sz w:val="18"/>
          <w:szCs w:val="18"/>
        </w:rPr>
        <w:t xml:space="preserve">  "cart_amount": &lt;decimal&gt;,</w:t>
      </w:r>
    </w:p>
    <w:p>
      <w:pPr>
        <w:spacing w:after="80" w:line="250"/>
        <w:ind w:left="400"/>
      </w:pPr>
      <w:r>
        <w:rPr>
          <w:rFonts w:ascii="SarasaMonoSC" w:cs="SarasaMonoSC" w:eastAsia="SarasaMonoSC" w:hAnsi="SarasaMonoSC"/>
          <w:color w:val="0F172A"/>
          <w:sz w:val="18"/>
          <w:szCs w:val="18"/>
        </w:rPr>
        <w:t xml:space="preserve">  "cart_description": "Card registration refund",</w:t>
      </w:r>
    </w:p>
    <w:p>
      <w:pPr>
        <w:spacing w:after="80" w:line="250"/>
        <w:ind w:left="400"/>
      </w:pPr>
      <w:r>
        <w:rPr>
          <w:rFonts w:ascii="SarasaMonoSC" w:cs="SarasaMonoSC" w:eastAsia="SarasaMonoSC" w:hAnsi="SarasaMonoSC"/>
          <w:color w:val="0F172A"/>
          <w:sz w:val="18"/>
          <w:szCs w:val="18"/>
        </w:rPr>
        <w:t xml:space="preserve">  "tran_ref": "&lt;əməliyyat reference&gt;"</w:t>
      </w:r>
    </w:p>
    <w:p>
      <w:pPr>
        <w:spacing w:after="80" w:line="250"/>
        <w:ind w:left="400"/>
      </w:pPr>
      <w:r>
        <w:rPr>
          <w:rFonts w:ascii="SarasaMonoSC" w:cs="SarasaMonoSC" w:eastAsia="SarasaMonoSC" w:hAnsi="SarasaMonoSC"/>
          <w:color w:val="0F172A"/>
          <w:sz w:val="18"/>
          <w:szCs w:val="18"/>
        </w:rPr>
        <w:t xml:space="preserve">}</w:t>
      </w:r>
    </w:p>
    <w:p>
      <w:pPr>
        <w:spacing w:after="150" w:before="300" w:line="250"/>
      </w:pPr>
      <w:r>
        <w:rPr>
          <w:rFonts w:ascii="SimHei" w:cs="SimHei" w:eastAsia="SimHei" w:hAnsi="SimHei"/>
          <w:b/>
          <w:bCs/>
          <w:color w:val="2B2B2B"/>
          <w:sz w:val="24"/>
          <w:szCs w:val="24"/>
        </w:rPr>
        <w:t xml:space="preserve">7.1.3. Payment Request (Kart registrasiya)</w:t>
      </w:r>
    </w:p>
    <w:p>
      <w:pPr>
        <w:spacing w:after="120" w:line="250"/>
        <w:ind w:firstLine="420"/>
        <w:jc w:val="left"/>
      </w:pPr>
      <w:r>
        <w:rPr>
          <w:rFonts w:ascii="Microsoft YaHei" w:cs="Microsoft YaHei" w:eastAsia="Microsoft YaHei" w:hAnsi="Microsoft YaHei"/>
          <w:color w:val="0F172A"/>
          <w:sz w:val="21"/>
          <w:szCs w:val="21"/>
        </w:rPr>
        <w:t xml:space="preserve">Müştərinin kartını registrasiya etmək üçün 0.10 AZN tutarında sale əməliyyatı göndərilir. Bu əməliyyat uğurlu olduqda kart token-i alınır və sonrakı köçürmə üçün istifadə edilir.</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"profile_id": &lt;integer&gt;,</w:t>
      </w:r>
    </w:p>
    <w:p>
      <w:pPr>
        <w:spacing w:after="80" w:line="250"/>
        <w:ind w:left="400"/>
      </w:pPr>
      <w:r>
        <w:rPr>
          <w:rFonts w:ascii="SarasaMonoSC" w:cs="SarasaMonoSC" w:eastAsia="SarasaMonoSC" w:hAnsi="SarasaMonoSC"/>
          <w:color w:val="0F172A"/>
          <w:sz w:val="18"/>
          <w:szCs w:val="18"/>
        </w:rPr>
        <w:t xml:space="preserve">  "tran_type": "sale",</w:t>
      </w:r>
    </w:p>
    <w:p>
      <w:pPr>
        <w:spacing w:after="80" w:line="250"/>
        <w:ind w:left="400"/>
      </w:pPr>
      <w:r>
        <w:rPr>
          <w:rFonts w:ascii="SarasaMonoSC" w:cs="SarasaMonoSC" w:eastAsia="SarasaMonoSC" w:hAnsi="SarasaMonoSC"/>
          <w:color w:val="0F172A"/>
          <w:sz w:val="18"/>
          <w:szCs w:val="18"/>
        </w:rPr>
        <w:t xml:space="preserve">  "tran_class": "ecom",</w:t>
      </w:r>
    </w:p>
    <w:p>
      <w:pPr>
        <w:spacing w:after="80" w:line="250"/>
        <w:ind w:left="400"/>
      </w:pPr>
      <w:r>
        <w:rPr>
          <w:rFonts w:ascii="SarasaMonoSC" w:cs="SarasaMonoSC" w:eastAsia="SarasaMonoSC" w:hAnsi="SarasaMonoSC"/>
          <w:color w:val="0F172A"/>
          <w:sz w:val="18"/>
          <w:szCs w:val="18"/>
        </w:rPr>
        <w:t xml:space="preserve">  "cart_id": "&lt;CardTransferData UUID&gt;",</w:t>
      </w:r>
    </w:p>
    <w:p>
      <w:pPr>
        <w:spacing w:after="80" w:line="250"/>
        <w:ind w:left="400"/>
      </w:pPr>
      <w:r>
        <w:rPr>
          <w:rFonts w:ascii="SarasaMonoSC" w:cs="SarasaMonoSC" w:eastAsia="SarasaMonoSC" w:hAnsi="SarasaMonoSC"/>
          <w:color w:val="0F172A"/>
          <w:sz w:val="18"/>
          <w:szCs w:val="18"/>
        </w:rPr>
        <w:t xml:space="preserve">  "cart_currency": "AZN",</w:t>
      </w:r>
    </w:p>
    <w:p>
      <w:pPr>
        <w:spacing w:after="80" w:line="250"/>
        <w:ind w:left="400"/>
      </w:pPr>
      <w:r>
        <w:rPr>
          <w:rFonts w:ascii="SarasaMonoSC" w:cs="SarasaMonoSC" w:eastAsia="SarasaMonoSC" w:hAnsi="SarasaMonoSC"/>
          <w:color w:val="0F172A"/>
          <w:sz w:val="18"/>
          <w:szCs w:val="18"/>
        </w:rPr>
        <w:t xml:space="preserve">  "cart_amount": 0.10,</w:t>
      </w:r>
    </w:p>
    <w:p>
      <w:pPr>
        <w:spacing w:after="80" w:line="250"/>
        <w:ind w:left="400"/>
      </w:pPr>
      <w:r>
        <w:rPr>
          <w:rFonts w:ascii="SarasaMonoSC" w:cs="SarasaMonoSC" w:eastAsia="SarasaMonoSC" w:hAnsi="SarasaMonoSC"/>
          <w:color w:val="0F172A"/>
          <w:sz w:val="18"/>
          <w:szCs w:val="18"/>
        </w:rPr>
        <w:t xml:space="preserve">  "cart_description": "Card registration",</w:t>
      </w:r>
    </w:p>
    <w:p>
      <w:pPr>
        <w:spacing w:after="80" w:line="250"/>
        <w:ind w:left="400"/>
      </w:pPr>
      <w:r>
        <w:rPr>
          <w:rFonts w:ascii="SarasaMonoSC" w:cs="SarasaMonoSC" w:eastAsia="SarasaMonoSC" w:hAnsi="SarasaMonoSC"/>
          <w:color w:val="0F172A"/>
          <w:sz w:val="18"/>
          <w:szCs w:val="18"/>
        </w:rPr>
        <w:t xml:space="preserve">  "customer_details": { ... },</w:t>
      </w:r>
    </w:p>
    <w:p>
      <w:pPr>
        <w:spacing w:after="80" w:line="250"/>
        <w:ind w:left="400"/>
      </w:pPr>
      <w:r>
        <w:rPr>
          <w:rFonts w:ascii="SarasaMonoSC" w:cs="SarasaMonoSC" w:eastAsia="SarasaMonoSC" w:hAnsi="SarasaMonoSC"/>
          <w:color w:val="0F172A"/>
          <w:sz w:val="18"/>
          <w:szCs w:val="18"/>
        </w:rPr>
        <w:t xml:space="preserve">  "hide_shipping": true,</w:t>
      </w:r>
    </w:p>
    <w:p>
      <w:pPr>
        <w:spacing w:after="80" w:line="250"/>
        <w:ind w:left="400"/>
      </w:pPr>
      <w:r>
        <w:rPr>
          <w:rFonts w:ascii="SarasaMonoSC" w:cs="SarasaMonoSC" w:eastAsia="SarasaMonoSC" w:hAnsi="SarasaMonoSC"/>
          <w:color w:val="0F172A"/>
          <w:sz w:val="18"/>
          <w:szCs w:val="18"/>
        </w:rPr>
        <w:t xml:space="preserve">  "callback": "&lt;cuzdan.callback_url&gt;",</w:t>
      </w:r>
    </w:p>
    <w:p>
      <w:pPr>
        <w:spacing w:after="80" w:line="250"/>
        <w:ind w:left="400"/>
      </w:pPr>
      <w:r>
        <w:rPr>
          <w:rFonts w:ascii="SarasaMonoSC" w:cs="SarasaMonoSC" w:eastAsia="SarasaMonoSC" w:hAnsi="SarasaMonoSC"/>
          <w:color w:val="0F172A"/>
          <w:sz w:val="18"/>
          <w:szCs w:val="18"/>
        </w:rPr>
        <w:t xml:space="preserve">  "tokenise": 2,</w:t>
      </w:r>
    </w:p>
    <w:p>
      <w:pPr>
        <w:spacing w:after="80" w:line="250"/>
        <w:ind w:left="400"/>
      </w:pPr>
      <w:r>
        <w:rPr>
          <w:rFonts w:ascii="SarasaMonoSC" w:cs="SarasaMonoSC" w:eastAsia="SarasaMonoSC" w:hAnsi="SarasaMonoSC"/>
          <w:color w:val="0F172A"/>
          <w:sz w:val="18"/>
          <w:szCs w:val="18"/>
        </w:rPr>
        <w:t xml:space="preserve">  "show_save_card": false</w:t>
      </w:r>
    </w:p>
    <w:p>
      <w:pPr>
        <w:spacing w:after="80" w:line="250"/>
        <w:ind w:left="400"/>
      </w:pPr>
      <w:r>
        <w:rPr>
          <w:rFonts w:ascii="SarasaMonoSC" w:cs="SarasaMonoSC" w:eastAsia="SarasaMonoSC" w:hAnsi="SarasaMonoSC"/>
          <w:color w:val="0F172A"/>
          <w:sz w:val="18"/>
          <w:szCs w:val="18"/>
        </w:rPr>
        <w:t xml:space="preserve">}</w:t>
      </w:r>
    </w:p>
    <w:p>
      <w:pPr>
        <w:pStyle w:val="Heading2"/>
        <w:spacing w:after="200" w:before="400" w:line="250"/>
      </w:pPr>
      <w:r>
        <w:rPr>
          <w:rFonts w:ascii="SimHei" w:cs="SimHei" w:eastAsia="SimHei" w:hAnsi="SimHei"/>
          <w:b/>
          <w:bCs/>
          <w:color w:val="2B2B2B"/>
          <w:sz w:val="28"/>
          <w:szCs w:val="28"/>
        </w:rPr>
        <w:t xml:space="preserve">7.2. CüzdanMobileController — Callback və Top-Up</w:t>
      </w:r>
    </w:p>
    <w:p>
      <w:pPr>
        <w:spacing w:after="120" w:line="250"/>
        <w:ind w:firstLine="420"/>
        <w:jc w:val="left"/>
      </w:pPr>
      <w:r>
        <w:rPr>
          <w:rFonts w:ascii="Microsoft YaHei" w:cs="Microsoft YaHei" w:eastAsia="Microsoft YaHei" w:hAnsi="Microsoft YaHei"/>
          <w:color w:val="0F172A"/>
          <w:sz w:val="21"/>
          <w:szCs w:val="21"/>
        </w:rPr>
        <w:t xml:space="preserve">CüzdanMobileController Cüzdan.az mobil platforması ilə əlaqə saxlayan kontrollerdir. İki əsas funksiya yerinə yetirir: kredit müraciətinin statusu dəyişdikdə Cüzdana callback göndərmək, və kredit məbləğinin müştərinin cüzdan hesabına köçürülməsi (top-up).</w:t>
      </w:r>
    </w:p>
    <w:p>
      <w:pPr>
        <w:spacing w:after="150" w:before="300" w:line="250"/>
      </w:pPr>
      <w:r>
        <w:rPr>
          <w:rFonts w:ascii="SimHei" w:cs="SimHei" w:eastAsia="SimHei" w:hAnsi="SimHei"/>
          <w:b/>
          <w:bCs/>
          <w:color w:val="2B2B2B"/>
          <w:sz w:val="24"/>
          <w:szCs w:val="24"/>
        </w:rPr>
        <w:t xml:space="preserve">Konfiqurasiya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3000"/>
        <w:gridCol w:w="6000"/>
      </w:tblGrid>
      <w:tr>
        <w:trPr>
          <w:tblHeader/>
        </w:trPr>
        <w:tc>
          <w:tcPr>
            <w:tcW w:type="dxa" w:w="3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Parametr</w:t>
            </w:r>
          </w:p>
        </w:tc>
        <w:tc>
          <w:tcPr>
            <w:tcW w:type="dxa" w:w="6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cuzdan_mobile.api_key</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API key (Base64 şəkildə avtomatik encod olunur)</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cuzdan_mobile.url_top_up</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Top-up əməliyyatı URL</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cuzdan_mobile.timeout</w:t>
            </w:r>
          </w:p>
        </w:tc>
        <w:tc>
          <w:tcPr>
            <w:tcW w:type="dxa" w:w="6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Timeout (saniyə, default 30)</w:t>
            </w:r>
          </w:p>
        </w:tc>
      </w:tr>
    </w:tbl>
    <w:p>
      <w:pPr>
        <w:spacing w:after="200" w:before="60"/>
        <w:jc w:val="center"/>
      </w:pPr>
      <w:r>
        <w:rPr>
          <w:rFonts w:ascii="Microsoft YaHei" w:cs="Microsoft YaHei" w:eastAsia="Microsoft YaHei" w:hAnsi="Microsoft YaHei"/>
          <w:color w:val="9AA6B2"/>
          <w:sz w:val="18"/>
          <w:szCs w:val="18"/>
        </w:rPr>
        <w:t xml:space="preserve">Cədvəl 6: CüzdanMobileController konfiqurasiya parametrləri</w:t>
      </w:r>
    </w:p>
    <w:p>
      <w:pPr>
        <w:spacing w:after="150" w:before="300" w:line="250"/>
      </w:pPr>
      <w:r>
        <w:rPr>
          <w:rFonts w:ascii="SimHei" w:cs="SimHei" w:eastAsia="SimHei" w:hAnsi="SimHei"/>
          <w:b/>
          <w:bCs/>
          <w:color w:val="2B2B2B"/>
          <w:sz w:val="24"/>
          <w:szCs w:val="24"/>
        </w:rPr>
        <w:t xml:space="preserve">7.2.1. Callback (Status bildirişi)</w:t>
      </w:r>
    </w:p>
    <w:p>
      <w:pPr>
        <w:spacing w:after="120" w:line="250"/>
        <w:ind w:firstLine="420"/>
        <w:jc w:val="left"/>
      </w:pPr>
      <w:r>
        <w:rPr>
          <w:rFonts w:ascii="Microsoft YaHei" w:cs="Microsoft YaHei" w:eastAsia="Microsoft YaHei" w:hAnsi="Microsoft YaHei"/>
          <w:color w:val="0F172A"/>
          <w:sz w:val="21"/>
          <w:szCs w:val="21"/>
        </w:rPr>
        <w:t xml:space="preserve">Kredit müraciəti təsdiqləndikdə (Approved) və ya rədd edildikdə (Rejected) Cüzdana bildiriş göndərilir. Rejected halında waitPeriodDays dəyəri də əlavə oluna bilər.</w:t>
      </w:r>
    </w:p>
    <w:p>
      <w:pPr>
        <w:spacing w:after="120" w:line="250"/>
        <w:jc w:val="left"/>
      </w:pPr>
      <w:r>
        <w:rPr>
          <w:rFonts w:ascii="Microsoft YaHei" w:cs="Microsoft YaHei" w:eastAsia="Microsoft YaHei" w:hAnsi="Microsoft YaHei"/>
          <w:color w:val="0F172A"/>
          <w:sz w:val="21"/>
          <w:szCs w:val="21"/>
        </w:rPr>
        <w:t xml:space="preserve">Authorization: x-api-token header (Base64 encod olunmuş API key)</w:t>
      </w:r>
    </w:p>
    <w:p>
      <w:pPr>
        <w:spacing w:after="120" w:line="250"/>
        <w:jc w:val="left"/>
      </w:pPr>
      <w:r>
        <w:rPr>
          <w:rFonts w:ascii="Microsoft YaHei" w:cs="Microsoft YaHei" w:eastAsia="Microsoft YaHei" w:hAnsi="Microsoft YaHei"/>
          <w:color w:val="0F172A"/>
          <w:sz w:val="21"/>
          <w:szCs w:val="21"/>
        </w:rPr>
        <w:t xml:space="preserve">Request Payload (Approved):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"applicationId": "&lt;müraciət external number&gt;",</w:t>
      </w:r>
    </w:p>
    <w:p>
      <w:pPr>
        <w:spacing w:after="80" w:line="250"/>
        <w:ind w:left="400"/>
      </w:pPr>
      <w:r>
        <w:rPr>
          <w:rFonts w:ascii="SarasaMonoSC" w:cs="SarasaMonoSC" w:eastAsia="SarasaMonoSC" w:hAnsi="SarasaMonoSC"/>
          <w:color w:val="0F172A"/>
          <w:sz w:val="18"/>
          <w:szCs w:val="18"/>
        </w:rPr>
        <w:t xml:space="preserve">  "newStatus": "Approved",</w:t>
      </w:r>
    </w:p>
    <w:p>
      <w:pPr>
        <w:spacing w:after="80" w:line="250"/>
        <w:ind w:left="400"/>
      </w:pPr>
      <w:r>
        <w:rPr>
          <w:rFonts w:ascii="SarasaMonoSC" w:cs="SarasaMonoSC" w:eastAsia="SarasaMonoSC" w:hAnsi="SarasaMonoSC"/>
          <w:color w:val="0F172A"/>
          <w:sz w:val="18"/>
          <w:szCs w:val="18"/>
        </w:rPr>
        <w:t xml:space="preserve">  "eventTimestamp": "&lt;ISO 8601 timestamp&gt;"</w:t>
      </w:r>
    </w:p>
    <w:p>
      <w:pPr>
        <w:spacing w:after="80" w:line="250"/>
        <w:ind w:left="400"/>
      </w:pPr>
      <w:r>
        <w:rPr>
          <w:rFonts w:ascii="SarasaMonoSC" w:cs="SarasaMonoSC" w:eastAsia="SarasaMonoSC" w:hAnsi="SarasaMonoSC"/>
          <w:color w:val="0F172A"/>
          <w:sz w:val="18"/>
          <w:szCs w:val="18"/>
        </w:rPr>
        <w:t xml:space="preserve">}</w:t>
      </w:r>
    </w:p>
    <w:p>
      <w:pPr>
        <w:spacing w:after="120" w:line="250"/>
        <w:jc w:val="left"/>
      </w:pPr>
      <w:r>
        <w:rPr>
          <w:rFonts w:ascii="Microsoft YaHei" w:cs="Microsoft YaHei" w:eastAsia="Microsoft YaHei" w:hAnsi="Microsoft YaHei"/>
          <w:color w:val="0F172A"/>
          <w:sz w:val="21"/>
          <w:szCs w:val="21"/>
        </w:rPr>
        <w:t xml:space="preserve">Request Payload (Rejected with wait period):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"applicationId": "&lt;müraciət external number&gt;",</w:t>
      </w:r>
    </w:p>
    <w:p>
      <w:pPr>
        <w:spacing w:after="80" w:line="250"/>
        <w:ind w:left="400"/>
      </w:pPr>
      <w:r>
        <w:rPr>
          <w:rFonts w:ascii="SarasaMonoSC" w:cs="SarasaMonoSC" w:eastAsia="SarasaMonoSC" w:hAnsi="SarasaMonoSC"/>
          <w:color w:val="0F172A"/>
          <w:sz w:val="18"/>
          <w:szCs w:val="18"/>
        </w:rPr>
        <w:t xml:space="preserve">  "newStatus": "Rejected",</w:t>
      </w:r>
    </w:p>
    <w:p>
      <w:pPr>
        <w:spacing w:after="80" w:line="250"/>
        <w:ind w:left="400"/>
      </w:pPr>
      <w:r>
        <w:rPr>
          <w:rFonts w:ascii="SarasaMonoSC" w:cs="SarasaMonoSC" w:eastAsia="SarasaMonoSC" w:hAnsi="SarasaMonoSC"/>
          <w:color w:val="0F172A"/>
          <w:sz w:val="18"/>
          <w:szCs w:val="18"/>
        </w:rPr>
        <w:t xml:space="preserve">  "eventTimestamp": "&lt;ISO 8601 timestamp&gt;",</w:t>
      </w:r>
    </w:p>
    <w:p>
      <w:pPr>
        <w:spacing w:after="80" w:line="250"/>
        <w:ind w:left="400"/>
      </w:pPr>
      <w:r>
        <w:rPr>
          <w:rFonts w:ascii="SarasaMonoSC" w:cs="SarasaMonoSC" w:eastAsia="SarasaMonoSC" w:hAnsi="SarasaMonoSC"/>
          <w:color w:val="0F172A"/>
          <w:sz w:val="18"/>
          <w:szCs w:val="18"/>
        </w:rPr>
        <w:t xml:space="preserve">  "waitPeriodDays": &lt;integer&gt;</w:t>
      </w:r>
    </w:p>
    <w:p>
      <w:pPr>
        <w:spacing w:after="80" w:line="250"/>
        <w:ind w:left="400"/>
      </w:pPr>
      <w:r>
        <w:rPr>
          <w:rFonts w:ascii="SarasaMonoSC" w:cs="SarasaMonoSC" w:eastAsia="SarasaMonoSC" w:hAnsi="SarasaMonoSC"/>
          <w:color w:val="0F172A"/>
          <w:sz w:val="18"/>
          <w:szCs w:val="18"/>
        </w:rPr>
        <w:t xml:space="preserve">}</w:t>
      </w:r>
    </w:p>
    <w:p>
      <w:pPr>
        <w:spacing w:after="120" w:line="250"/>
        <w:ind w:left="400"/>
      </w:pPr>
      <w:r>
        <w:rPr>
          <w:rFonts w:ascii="Microsoft YaHei" w:cs="Microsoft YaHei" w:eastAsia="Microsoft YaHei" w:hAnsi="Microsoft YaHei"/>
          <w:i/>
          <w:iCs/>
          <w:color w:val="9AA6B2"/>
          <w:sz w:val="20"/>
          <w:szCs w:val="20"/>
        </w:rPr>
        <w:t xml:space="preserve">ℹ Callback URL müraciət yaradılarkən Cüzdan tərəfindən təqdim olunur (callbackUrl field).</w:t>
      </w:r>
    </w:p>
    <w:p>
      <w:pPr>
        <w:spacing w:after="150" w:before="300" w:line="250"/>
      </w:pPr>
      <w:r>
        <w:rPr>
          <w:rFonts w:ascii="SimHei" w:cs="SimHei" w:eastAsia="SimHei" w:hAnsi="SimHei"/>
          <w:b/>
          <w:bCs/>
          <w:color w:val="2B2B2B"/>
          <w:sz w:val="24"/>
          <w:szCs w:val="24"/>
        </w:rPr>
        <w:t xml:space="preserve">7.2.2. Top-Up (Cüzdan hesabına köçürmə)</w:t>
      </w:r>
    </w:p>
    <w:p>
      <w:pPr>
        <w:spacing w:after="120" w:line="250"/>
        <w:ind w:firstLine="420"/>
        <w:jc w:val="left"/>
      </w:pPr>
      <w:r>
        <w:rPr>
          <w:rFonts w:ascii="Microsoft YaHei" w:cs="Microsoft YaHei" w:eastAsia="Microsoft YaHei" w:hAnsi="Microsoft YaHei"/>
          <w:color w:val="0F172A"/>
          <w:sz w:val="21"/>
          <w:szCs w:val="21"/>
        </w:rPr>
        <w:t xml:space="preserve">Kredit təsdiqləndikdən və köçürüldükdən sonra məbləğin müştərinin cüzdan hesabına köçürülməsi üçün istifadə edilir. Bu əməliyyat BPM əməliyyatı “cuzdan mobile top up” node-u tərəfindən həyata keçirilir.</w:t>
      </w:r>
    </w:p>
    <w:p>
      <w:pPr>
        <w:spacing w:after="120" w:line="250"/>
        <w:jc w:val="left"/>
      </w:pPr>
      <w:r>
        <w:rPr>
          <w:rFonts w:ascii="Microsoft YaHei" w:cs="Microsoft YaHei" w:eastAsia="Microsoft YaHei" w:hAnsi="Microsoft YaHei"/>
          <w:color w:val="0F172A"/>
          <w:sz w:val="21"/>
          <w:szCs w:val="21"/>
        </w:rPr>
        <w:t xml:space="preserve">Endpoint: cuzdan_mobile.url_top_up</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"applicationId": "&lt;müraciət external number&gt;",</w:t>
      </w:r>
    </w:p>
    <w:p>
      <w:pPr>
        <w:spacing w:after="80" w:line="250"/>
        <w:ind w:left="400"/>
      </w:pPr>
      <w:r>
        <w:rPr>
          <w:rFonts w:ascii="SarasaMonoSC" w:cs="SarasaMonoSC" w:eastAsia="SarasaMonoSC" w:hAnsi="SarasaMonoSC"/>
          <w:color w:val="0F172A"/>
          <w:sz w:val="18"/>
          <w:szCs w:val="18"/>
        </w:rPr>
        <w:t xml:space="preserve">  "amount": &lt;decimal&gt;,</w:t>
      </w:r>
    </w:p>
    <w:p>
      <w:pPr>
        <w:spacing w:after="80" w:line="250"/>
        <w:ind w:left="400"/>
      </w:pPr>
      <w:r>
        <w:rPr>
          <w:rFonts w:ascii="SarasaMonoSC" w:cs="SarasaMonoSC" w:eastAsia="SarasaMonoSC" w:hAnsi="SarasaMonoSC"/>
          <w:color w:val="0F172A"/>
          <w:sz w:val="18"/>
          <w:szCs w:val="18"/>
        </w:rPr>
        <w:t xml:space="preserve">  "currency": "AZN"</w:t>
      </w:r>
    </w:p>
    <w:p>
      <w:pPr>
        <w:spacing w:after="80" w:line="250"/>
        <w:ind w:left="400"/>
      </w:pPr>
      <w:r>
        <w:rPr>
          <w:rFonts w:ascii="SarasaMonoSC" w:cs="SarasaMonoSC" w:eastAsia="SarasaMonoSC" w:hAnsi="SarasaMonoSC"/>
          <w:color w:val="0F172A"/>
          <w:sz w:val="18"/>
          <w:szCs w:val="18"/>
        </w:rPr>
        <w:t xml:space="preserve">}</w:t>
      </w:r>
    </w:p>
    <w:p>
      <w:pPr>
        <w:spacing w:after="120" w:line="250"/>
        <w:jc w:val="left"/>
      </w:pPr>
      <w:r>
        <w:rPr>
          <w:rFonts w:ascii="Microsoft YaHei" w:cs="Microsoft YaHei" w:eastAsia="Microsoft YaHei" w:hAnsi="Microsoft YaHei"/>
          <w:color w:val="0F172A"/>
          <w:sz w:val="21"/>
          <w:szCs w:val="21"/>
        </w:rPr>
        <w:t xml:space="preserve">Response (uğur):</w:t>
      </w:r>
    </w:p>
    <w:p>
      <w:pPr>
        <w:spacing w:after="80" w:line="250"/>
        <w:ind w:left="400"/>
      </w:pPr>
      <w:r>
        <w:rPr>
          <w:rFonts w:ascii="SarasaMonoSC" w:cs="SarasaMonoSC" w:eastAsia="SarasaMonoSC" w:hAnsi="SarasaMonoSC"/>
          <w:color w:val="0F172A"/>
          <w:sz w:val="18"/>
          <w:szCs w:val="18"/>
        </w:rPr>
        <w:t xml:space="preserve">{ "status": "OK" }</w:t>
      </w:r>
    </w:p>
    <w:p>
      <w:pPr>
        <w:pStyle w:val="Heading2"/>
        <w:spacing w:after="200" w:before="400" w:line="250"/>
      </w:pPr>
      <w:r>
        <w:rPr>
          <w:rFonts w:ascii="SimHei" w:cs="SimHei" w:eastAsia="SimHei" w:hAnsi="SimHei"/>
          <w:b/>
          <w:bCs/>
          <w:color w:val="2B2B2B"/>
          <w:sz w:val="28"/>
          <w:szCs w:val="28"/>
        </w:rPr>
        <w:t xml:space="preserve">7.3. CüzdanMobileService — REST API Endpoint-ləri</w:t>
      </w:r>
    </w:p>
    <w:p>
      <w:pPr>
        <w:spacing w:after="120" w:line="250"/>
        <w:ind w:firstLine="420"/>
        <w:jc w:val="left"/>
      </w:pPr>
      <w:r>
        <w:rPr>
          <w:rFonts w:ascii="Microsoft YaHei" w:cs="Microsoft YaHei" w:eastAsia="Microsoft YaHei" w:hAnsi="Microsoft YaHei"/>
          <w:color w:val="0F172A"/>
          <w:sz w:val="21"/>
          <w:szCs w:val="21"/>
        </w:rPr>
        <w:t xml:space="preserve">CüzdanMobileService REST API xidmətidir və Cüzdan.az tərəfindən EmbaFinansa müraciət göndərmək və müraciət statusunu soruşunmaq üçün istifadə edilir. Bu xidmət /cuzdan-mobile adresində JAX-RS server kimi işləyir.</w:t>
      </w:r>
    </w:p>
    <w:p>
      <w:pPr>
        <w:spacing w:after="120" w:line="250"/>
        <w:ind w:left="400"/>
      </w:pPr>
      <w:r>
        <w:rPr>
          <w:rFonts w:ascii="Microsoft YaHei" w:cs="Microsoft YaHei" w:eastAsia="Microsoft YaHei" w:hAnsi="Microsoft YaHei"/>
          <w:i/>
          <w:iCs/>
          <w:color w:val="9AA6B2"/>
          <w:sz w:val="20"/>
          <w:szCs w:val="20"/>
        </w:rPr>
        <w:t xml:space="preserve">ℹ Security Function: XCUZDAN — bu funksiya üzrə icazə tələb olunur.</w:t>
      </w:r>
    </w:p>
    <w:p>
      <w:pPr>
        <w:spacing w:after="150" w:before="300" w:line="250"/>
      </w:pPr>
      <w:r>
        <w:rPr>
          <w:rFonts w:ascii="SimHei" w:cs="SimHei" w:eastAsia="SimHei" w:hAnsi="SimHei"/>
          <w:b/>
          <w:bCs/>
          <w:color w:val="2B2B2B"/>
          <w:sz w:val="24"/>
          <w:szCs w:val="24"/>
        </w:rPr>
        <w:t xml:space="preserve">7.3.1. Müraciət yaratma (POST /cuzdan-mobile/)</w:t>
      </w:r>
    </w:p>
    <w:p>
      <w:pPr>
        <w:spacing w:after="120" w:line="250"/>
        <w:ind w:firstLine="420"/>
        <w:jc w:val="left"/>
      </w:pPr>
      <w:r>
        <w:rPr>
          <w:rFonts w:ascii="Microsoft YaHei" w:cs="Microsoft YaHei" w:eastAsia="Microsoft YaHei" w:hAnsi="Microsoft YaHei"/>
          <w:color w:val="0F172A"/>
          <w:sz w:val="21"/>
          <w:szCs w:val="21"/>
        </w:rPr>
        <w:t xml:space="preserve">Bu endpoint Cüzdan.az tərəfindən yeni kredit müraciəti yaratmaq üçün çağırılır. Müraciət məlumatları yoxlanılır, müştəri tapılır və ya yaradılır, RCASH tipi case açılır və prescoring əlçə qoyulur.</w:t>
      </w:r>
    </w:p>
    <w:p>
      <w:pPr>
        <w:spacing w:after="120" w:line="250"/>
        <w:jc w:val="left"/>
      </w:pPr>
      <w:r>
        <w:rPr>
          <w:rFonts w:ascii="Microsoft YaHei" w:cs="Microsoft YaHei" w:eastAsia="Microsoft YaHei" w:hAnsi="Microsoft YaHei"/>
          <w:color w:val="0F172A"/>
          <w:sz w:val="21"/>
          <w:szCs w:val="21"/>
        </w:rPr>
        <w:t xml:space="preserve">Content-Type: application/json</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"applicationId": "&lt;string, max 40&gt;",</w:t>
      </w:r>
    </w:p>
    <w:p>
      <w:pPr>
        <w:spacing w:after="80" w:line="250"/>
        <w:ind w:left="400"/>
      </w:pPr>
      <w:r>
        <w:rPr>
          <w:rFonts w:ascii="SarasaMonoSC" w:cs="SarasaMonoSC" w:eastAsia="SarasaMonoSC" w:hAnsi="SarasaMonoSC"/>
          <w:color w:val="0F172A"/>
          <w:sz w:val="18"/>
          <w:szCs w:val="18"/>
        </w:rPr>
        <w:t xml:space="preserve">  "firstName": "&lt;string, max 40, hərflər və boşluqlar&gt;",</w:t>
      </w:r>
    </w:p>
    <w:p>
      <w:pPr>
        <w:spacing w:after="80" w:line="250"/>
        <w:ind w:left="400"/>
      </w:pPr>
      <w:r>
        <w:rPr>
          <w:rFonts w:ascii="SarasaMonoSC" w:cs="SarasaMonoSC" w:eastAsia="SarasaMonoSC" w:hAnsi="SarasaMonoSC"/>
          <w:color w:val="0F172A"/>
          <w:sz w:val="18"/>
          <w:szCs w:val="18"/>
        </w:rPr>
        <w:t xml:space="preserve">  "lastName": "&lt;string, max 255, hərflər və boşluqlar&gt;",</w:t>
      </w:r>
    </w:p>
    <w:p>
      <w:pPr>
        <w:spacing w:after="80" w:line="250"/>
        <w:ind w:left="400"/>
      </w:pPr>
      <w:r>
        <w:rPr>
          <w:rFonts w:ascii="SarasaMonoSC" w:cs="SarasaMonoSC" w:eastAsia="SarasaMonoSC" w:hAnsi="SarasaMonoSC"/>
          <w:color w:val="0F172A"/>
          <w:sz w:val="18"/>
          <w:szCs w:val="18"/>
        </w:rPr>
        <w:t xml:space="preserve">  "middleName": "&lt;string, max 40, hərflər və boşluqlar&gt;",</w:t>
      </w:r>
    </w:p>
    <w:p>
      <w:pPr>
        <w:spacing w:after="80" w:line="250"/>
        <w:ind w:left="400"/>
      </w:pPr>
      <w:r>
        <w:rPr>
          <w:rFonts w:ascii="SarasaMonoSC" w:cs="SarasaMonoSC" w:eastAsia="SarasaMonoSC" w:hAnsi="SarasaMonoSC"/>
          <w:color w:val="0F172A"/>
          <w:sz w:val="18"/>
          <w:szCs w:val="18"/>
        </w:rPr>
        <w:t xml:space="preserve">  "requestedAmount": "&lt;decimal, &gt; 0&gt;",</w:t>
      </w:r>
    </w:p>
    <w:p>
      <w:pPr>
        <w:spacing w:after="80" w:line="250"/>
        <w:ind w:left="400"/>
      </w:pPr>
      <w:r>
        <w:rPr>
          <w:rFonts w:ascii="SarasaMonoSC" w:cs="SarasaMonoSC" w:eastAsia="SarasaMonoSC" w:hAnsi="SarasaMonoSC"/>
          <w:color w:val="0F172A"/>
          <w:sz w:val="18"/>
          <w:szCs w:val="18"/>
        </w:rPr>
        <w:t xml:space="preserve">  "loanTermMonths": "&lt;integer, &gt; 0&gt;",</w:t>
      </w:r>
    </w:p>
    <w:p>
      <w:pPr>
        <w:spacing w:after="80" w:line="250"/>
        <w:ind w:left="400"/>
      </w:pPr>
      <w:r>
        <w:rPr>
          <w:rFonts w:ascii="SarasaMonoSC" w:cs="SarasaMonoSC" w:eastAsia="SarasaMonoSC" w:hAnsi="SarasaMonoSC"/>
          <w:color w:val="0F172A"/>
          <w:sz w:val="18"/>
          <w:szCs w:val="18"/>
        </w:rPr>
        <w:t xml:space="preserve">  "pincode": "&lt;string, tam 7 simvol&gt;",</w:t>
      </w:r>
    </w:p>
    <w:p>
      <w:pPr>
        <w:spacing w:after="80" w:line="250"/>
        <w:ind w:left="400"/>
      </w:pPr>
      <w:r>
        <w:rPr>
          <w:rFonts w:ascii="SarasaMonoSC" w:cs="SarasaMonoSC" w:eastAsia="SarasaMonoSC" w:hAnsi="SarasaMonoSC"/>
          <w:color w:val="0F172A"/>
          <w:sz w:val="18"/>
          <w:szCs w:val="18"/>
        </w:rPr>
        <w:t xml:space="preserve">  "serialNumber": "&lt;string, pasport seriyası, max 40&gt;",</w:t>
      </w:r>
    </w:p>
    <w:p>
      <w:pPr>
        <w:spacing w:after="80" w:line="250"/>
        <w:ind w:left="400"/>
      </w:pPr>
      <w:r>
        <w:rPr>
          <w:rFonts w:ascii="SarasaMonoSC" w:cs="SarasaMonoSC" w:eastAsia="SarasaMonoSC" w:hAnsi="SarasaMonoSC"/>
          <w:color w:val="0F172A"/>
          <w:sz w:val="18"/>
          <w:szCs w:val="18"/>
        </w:rPr>
        <w:t xml:space="preserve">  "mobileNumber": "&lt;string, +994XXXXXXXXX formatı&gt;",</w:t>
      </w:r>
    </w:p>
    <w:p>
      <w:pPr>
        <w:spacing w:after="80" w:line="250"/>
        <w:ind w:left="400"/>
      </w:pPr>
      <w:r>
        <w:rPr>
          <w:rFonts w:ascii="SarasaMonoSC" w:cs="SarasaMonoSC" w:eastAsia="SarasaMonoSC" w:hAnsi="SarasaMonoSC"/>
          <w:color w:val="0F172A"/>
          <w:sz w:val="18"/>
          <w:szCs w:val="18"/>
        </w:rPr>
        <w:t xml:space="preserve">  "employmentStatus": "&lt;string: EMPLOYED|PENSIONER|UNEMPLOYED|EMPLOYED_AND_PENSIONER&gt;",</w:t>
      </w:r>
    </w:p>
    <w:p>
      <w:pPr>
        <w:spacing w:after="80" w:line="250"/>
        <w:ind w:left="400"/>
      </w:pPr>
      <w:r>
        <w:rPr>
          <w:rFonts w:ascii="SarasaMonoSC" w:cs="SarasaMonoSC" w:eastAsia="SarasaMonoSC" w:hAnsi="SarasaMonoSC"/>
          <w:color w:val="0F172A"/>
          <w:sz w:val="18"/>
          <w:szCs w:val="18"/>
        </w:rPr>
        <w:t xml:space="preserve">  "callbackUrl": "&lt;valid URL&gt;",</w:t>
      </w:r>
    </w:p>
    <w:p>
      <w:pPr>
        <w:spacing w:after="80" w:line="250"/>
        <w:ind w:left="400"/>
      </w:pPr>
      <w:r>
        <w:rPr>
          <w:rFonts w:ascii="SarasaMonoSC" w:cs="SarasaMonoSC" w:eastAsia="SarasaMonoSC" w:hAnsi="SarasaMonoSC"/>
          <w:color w:val="0F172A"/>
          <w:sz w:val="18"/>
          <w:szCs w:val="18"/>
        </w:rPr>
        <w:t xml:space="preserve">  "videoRecordingUrl": "&lt;optional, valid URL&gt;"</w:t>
      </w:r>
    </w:p>
    <w:p>
      <w:pPr>
        <w:spacing w:after="80" w:line="250"/>
        <w:ind w:left="400"/>
      </w:pPr>
      <w:r>
        <w:rPr>
          <w:rFonts w:ascii="SarasaMonoSC" w:cs="SarasaMonoSC" w:eastAsia="SarasaMonoSC" w:hAnsi="SarasaMonoSC"/>
          <w:color w:val="0F172A"/>
          <w:sz w:val="18"/>
          <w:szCs w:val="18"/>
        </w:rPr>
        <w:t xml:space="preserve">}</w:t>
      </w:r>
    </w:p>
    <w:p>
      <w:pPr>
        <w:spacing w:after="150" w:before="300" w:line="250"/>
      </w:pPr>
      <w:r>
        <w:rPr>
          <w:rFonts w:ascii="SimHei" w:cs="SimHei" w:eastAsia="SimHei" w:hAnsi="SimHei"/>
          <w:b/>
          <w:bCs/>
          <w:color w:val="2B2B2B"/>
          <w:sz w:val="24"/>
          <w:szCs w:val="24"/>
        </w:rPr>
        <w:t xml:space="preserve">Field Təsvirləri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000"/>
        <w:gridCol w:w="1200"/>
        <w:gridCol w:w="700"/>
        <w:gridCol w:w="5100"/>
      </w:tblGrid>
      <w:tr>
        <w:trPr>
          <w:tblHeader/>
        </w:trPr>
        <w:tc>
          <w:tcPr>
            <w:tcW w:type="dxa" w:w="2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Field</w:t>
            </w:r>
          </w:p>
        </w:tc>
        <w:tc>
          <w:tcPr>
            <w:tcW w:type="dxa" w:w="1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Tip</w:t>
            </w:r>
          </w:p>
        </w:tc>
        <w:tc>
          <w:tcPr>
            <w:tcW w:type="dxa" w:w="7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Tələb</w:t>
            </w:r>
          </w:p>
        </w:tc>
        <w:tc>
          <w:tcPr>
            <w:tcW w:type="dxa" w:w="51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applicationId</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Müraciətin xarici identifikatoru, max 40 simvol</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firstName</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Adı, yalnız hərflər və boşluqlar, max 40</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lastName</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Soyadı, yalnız hərflər və boşluqlar, max 255</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middleName</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Ata adı, yalnız hərflər və boşluqlar, max 40</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pincode</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PIN kodu, tam 7 simvol</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serialNumber</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Pasport seriya nömrəsi, max 40 simvol</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mobileNumber</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Mobil nömrə, +994XXXXXXXXX formatı (13 simvol)</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employmentStatus</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İş yeri statusu: EMPLOYED(3), PENSIONER(4), UNEMPLOYED(2), EMPLOYED_AND_PENSIONER(5)</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requestedAmount</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Decimal</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Sorğan məbləğ, 0-dan böyük</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loanTermMonths</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Integer</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Kredit müddəti (ay), 0-dan böyük</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callbackUrl</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URL</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Bəli</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Status callback URL (http/https)</w:t>
            </w:r>
          </w:p>
        </w:tc>
      </w:tr>
      <w:tr>
        <w:tc>
          <w:tcPr>
            <w:tcW w:type="dxa" w:w="2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videoRecordingUrl</w:t>
            </w:r>
          </w:p>
        </w:tc>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URL</w:t>
            </w:r>
          </w:p>
        </w:tc>
        <w:tc>
          <w:tcPr>
            <w:tcW w:type="dxa" w:w="7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Xeyr</w:t>
            </w:r>
          </w:p>
        </w:tc>
        <w:tc>
          <w:tcPr>
            <w:tcW w:type="dxa" w:w="51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 çəkilişi URL (Cüzdan tərəfindən təqdim olunur)</w:t>
            </w:r>
          </w:p>
        </w:tc>
      </w:tr>
    </w:tbl>
    <w:p>
      <w:pPr>
        <w:spacing w:after="200" w:before="60"/>
        <w:jc w:val="center"/>
      </w:pPr>
      <w:r>
        <w:rPr>
          <w:rFonts w:ascii="Microsoft YaHei" w:cs="Microsoft YaHei" w:eastAsia="Microsoft YaHei" w:hAnsi="Microsoft YaHei"/>
          <w:color w:val="9AA6B2"/>
          <w:sz w:val="18"/>
          <w:szCs w:val="18"/>
        </w:rPr>
        <w:t xml:space="preserve">Cədvəl 7: CüzdanMobileService create request field-ləri</w:t>
      </w:r>
    </w:p>
    <w:p>
      <w:pPr>
        <w:spacing w:after="120" w:line="250"/>
        <w:jc w:val="left"/>
      </w:pPr>
      <w:r>
        <w:rPr>
          <w:rFonts w:ascii="Microsoft YaHei" w:cs="Microsoft YaHei" w:eastAsia="Microsoft YaHei" w:hAnsi="Microsoft YaHei"/>
          <w:color w:val="0F172A"/>
          <w:sz w:val="21"/>
          <w:szCs w:val="21"/>
        </w:rPr>
        <w:t xml:space="preserve">Response (uğur, HTTP 201):</w:t>
      </w:r>
    </w:p>
    <w:p>
      <w:pPr>
        <w:spacing w:after="80" w:line="250"/>
        <w:ind w:left="400"/>
      </w:pPr>
      <w:r>
        <w:rPr>
          <w:rFonts w:ascii="SarasaMonoSC" w:cs="SarasaMonoSC" w:eastAsia="SarasaMonoSC" w:hAnsi="SarasaMonoSC"/>
          <w:color w:val="0F172A"/>
          <w:sz w:val="18"/>
          <w:szCs w:val="18"/>
        </w:rPr>
        <w:t xml:space="preserve">{ "applicationId": "&lt;applicationId&gt;", "status": "In Review" }</w:t>
      </w:r>
    </w:p>
    <w:p>
      <w:pPr>
        <w:spacing w:after="120" w:line="250"/>
        <w:jc w:val="left"/>
      </w:pPr>
      <w:r>
        <w:rPr>
          <w:rFonts w:ascii="Microsoft YaHei" w:cs="Microsoft YaHei" w:eastAsia="Microsoft YaHei" w:hAnsi="Microsoft YaHei"/>
          <w:color w:val="0F172A"/>
          <w:sz w:val="21"/>
          <w:szCs w:val="21"/>
        </w:rPr>
        <w:t xml:space="preserve">Response (xəta nümunələri):</w:t>
      </w:r>
    </w:p>
    <w:p>
      <w:pPr>
        <w:spacing w:after="80" w:line="250"/>
        <w:ind w:left="400"/>
      </w:pPr>
      <w:r>
        <w:rPr>
          <w:rFonts w:ascii="SarasaMonoSC" w:cs="SarasaMonoSC" w:eastAsia="SarasaMonoSC" w:hAnsi="SarasaMonoSC"/>
          <w:color w:val="0F172A"/>
          <w:sz w:val="18"/>
          <w:szCs w:val="18"/>
        </w:rPr>
        <w:t xml:space="preserve">{ "status": "error", "code": "INVALID_PINCODE", "message": "Field 'pincode' length must be exactly 7" }</w:t>
      </w:r>
    </w:p>
    <w:p>
      <w:pPr>
        <w:spacing w:after="80" w:line="250"/>
        <w:ind w:left="400"/>
      </w:pPr>
      <w:r>
        <w:rPr>
          <w:rFonts w:ascii="SarasaMonoSC" w:cs="SarasaMonoSC" w:eastAsia="SarasaMonoSC" w:hAnsi="SarasaMonoSC"/>
          <w:color w:val="0F172A"/>
          <w:sz w:val="18"/>
          <w:szCs w:val="18"/>
        </w:rPr>
        <w:t xml:space="preserve">{ "status": "error", "code": "INVALID_DATA", "message": "Product with code 'ACW' not found" }</w:t>
      </w:r>
    </w:p>
    <w:p>
      <w:pPr>
        <w:spacing w:after="150" w:before="300" w:line="250"/>
      </w:pPr>
      <w:r>
        <w:rPr>
          <w:rFonts w:ascii="SimHei" w:cs="SimHei" w:eastAsia="SimHei" w:hAnsi="SimHei"/>
          <w:b/>
          <w:bCs/>
          <w:color w:val="2B2B2B"/>
          <w:sz w:val="24"/>
          <w:szCs w:val="24"/>
        </w:rPr>
        <w:t xml:space="preserve">7.3.2. Müraciət statusu sorğu (GET /cuzdan-mobile/{applicationId})</w:t>
      </w:r>
    </w:p>
    <w:p>
      <w:pPr>
        <w:spacing w:after="120" w:line="250"/>
        <w:ind w:firstLine="420"/>
        <w:jc w:val="left"/>
      </w:pPr>
      <w:r>
        <w:rPr>
          <w:rFonts w:ascii="Microsoft YaHei" w:cs="Microsoft YaHei" w:eastAsia="Microsoft YaHei" w:hAnsi="Microsoft YaHei"/>
          <w:color w:val="0F172A"/>
          <w:sz w:val="21"/>
          <w:szCs w:val="21"/>
        </w:rPr>
        <w:t xml:space="preserve">Cüzdan.az müraciətin hal-hazırda statusunu soruşunmaq üçün bu endpoint-i çağırır. Yalnız CUZDAN mənbəli müraciətlər üçün cavab qaytarılır.</w:t>
      </w:r>
    </w:p>
    <w:p>
      <w:pPr>
        <w:spacing w:after="120" w:line="250"/>
        <w:jc w:val="left"/>
      </w:pPr>
      <w:r>
        <w:rPr>
          <w:rFonts w:ascii="Microsoft YaHei" w:cs="Microsoft YaHei" w:eastAsia="Microsoft YaHei" w:hAnsi="Microsoft YaHei"/>
          <w:color w:val="0F172A"/>
          <w:sz w:val="21"/>
          <w:szCs w:val="21"/>
        </w:rPr>
        <w:t xml:space="preserve">Response (In Review):</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"applicationId": "&lt;id&gt;",</w:t>
      </w:r>
    </w:p>
    <w:p>
      <w:pPr>
        <w:spacing w:after="80" w:line="250"/>
        <w:ind w:left="400"/>
      </w:pPr>
      <w:r>
        <w:rPr>
          <w:rFonts w:ascii="SarasaMonoSC" w:cs="SarasaMonoSC" w:eastAsia="SarasaMonoSC" w:hAnsi="SarasaMonoSC"/>
          <w:color w:val="0F172A"/>
          <w:sz w:val="18"/>
          <w:szCs w:val="18"/>
        </w:rPr>
        <w:t xml:space="preserve">  "status": "In Review",</w:t>
      </w:r>
    </w:p>
    <w:p>
      <w:pPr>
        <w:spacing w:after="80" w:line="250"/>
        <w:ind w:left="400"/>
      </w:pPr>
      <w:r>
        <w:rPr>
          <w:rFonts w:ascii="SarasaMonoSC" w:cs="SarasaMonoSC" w:eastAsia="SarasaMonoSC" w:hAnsi="SarasaMonoSC"/>
          <w:color w:val="0F172A"/>
          <w:sz w:val="18"/>
          <w:szCs w:val="18"/>
        </w:rPr>
        <w:t xml:space="preserve">  "createdAt": "&lt;ISO 8601&gt;",</w:t>
      </w:r>
    </w:p>
    <w:p>
      <w:pPr>
        <w:spacing w:after="80" w:line="250"/>
        <w:ind w:left="400"/>
      </w:pPr>
      <w:r>
        <w:rPr>
          <w:rFonts w:ascii="SarasaMonoSC" w:cs="SarasaMonoSC" w:eastAsia="SarasaMonoSC" w:hAnsi="SarasaMonoSC"/>
          <w:color w:val="0F172A"/>
          <w:sz w:val="18"/>
          <w:szCs w:val="18"/>
        </w:rPr>
        <w:t xml:space="preserve">  "updatedAt": "&lt;ISO 8601&gt;"</w:t>
      </w:r>
    </w:p>
    <w:p>
      <w:pPr>
        <w:spacing w:after="80" w:line="250"/>
        <w:ind w:left="400"/>
      </w:pPr>
      <w:r>
        <w:rPr>
          <w:rFonts w:ascii="SarasaMonoSC" w:cs="SarasaMonoSC" w:eastAsia="SarasaMonoSC" w:hAnsi="SarasaMonoSC"/>
          <w:color w:val="0F172A"/>
          <w:sz w:val="18"/>
          <w:szCs w:val="18"/>
        </w:rPr>
        <w:t xml:space="preserve">}</w:t>
      </w:r>
    </w:p>
    <w:p>
      <w:pPr>
        <w:spacing w:after="120" w:line="250"/>
        <w:jc w:val="left"/>
      </w:pPr>
      <w:r>
        <w:rPr>
          <w:rFonts w:ascii="Microsoft YaHei" w:cs="Microsoft YaHei" w:eastAsia="Microsoft YaHei" w:hAnsi="Microsoft YaHei"/>
          <w:color w:val="0F172A"/>
          <w:sz w:val="21"/>
          <w:szCs w:val="21"/>
        </w:rPr>
        <w:t xml:space="preserve">Response (Funded — köçürülümüş):</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"applicationId": "&lt;id&gt;",</w:t>
      </w:r>
    </w:p>
    <w:p>
      <w:pPr>
        <w:spacing w:after="80" w:line="250"/>
        <w:ind w:left="400"/>
      </w:pPr>
      <w:r>
        <w:rPr>
          <w:rFonts w:ascii="SarasaMonoSC" w:cs="SarasaMonoSC" w:eastAsia="SarasaMonoSC" w:hAnsi="SarasaMonoSC"/>
          <w:color w:val="0F172A"/>
          <w:sz w:val="18"/>
          <w:szCs w:val="18"/>
        </w:rPr>
        <w:t xml:space="preserve">  "status": "Funded",</w:t>
      </w:r>
    </w:p>
    <w:p>
      <w:pPr>
        <w:spacing w:after="80" w:line="250"/>
        <w:ind w:left="400"/>
      </w:pPr>
      <w:r>
        <w:rPr>
          <w:rFonts w:ascii="SarasaMonoSC" w:cs="SarasaMonoSC" w:eastAsia="SarasaMonoSC" w:hAnsi="SarasaMonoSC"/>
          <w:color w:val="0F172A"/>
          <w:sz w:val="18"/>
          <w:szCs w:val="18"/>
        </w:rPr>
        <w:t xml:space="preserve">  "createdAt": "&lt;ISO 8601&gt;",</w:t>
      </w:r>
    </w:p>
    <w:p>
      <w:pPr>
        <w:spacing w:after="80" w:line="250"/>
        <w:ind w:left="400"/>
      </w:pPr>
      <w:r>
        <w:rPr>
          <w:rFonts w:ascii="SarasaMonoSC" w:cs="SarasaMonoSC" w:eastAsia="SarasaMonoSC" w:hAnsi="SarasaMonoSC"/>
          <w:color w:val="0F172A"/>
          <w:sz w:val="18"/>
          <w:szCs w:val="18"/>
        </w:rPr>
        <w:t xml:space="preserve">  "updatedAt": "&lt;ISO 8601&gt;",</w:t>
      </w:r>
    </w:p>
    <w:p>
      <w:pPr>
        <w:spacing w:after="80" w:line="250"/>
        <w:ind w:left="400"/>
      </w:pPr>
      <w:r>
        <w:rPr>
          <w:rFonts w:ascii="SarasaMonoSC" w:cs="SarasaMonoSC" w:eastAsia="SarasaMonoSC" w:hAnsi="SarasaMonoSC"/>
          <w:color w:val="0F172A"/>
          <w:sz w:val="18"/>
          <w:szCs w:val="18"/>
        </w:rPr>
        <w:t xml:space="preserve">  "contractDetails": {</w:t>
      </w:r>
    </w:p>
    <w:p>
      <w:pPr>
        <w:spacing w:after="80" w:line="250"/>
        <w:ind w:left="400"/>
      </w:pPr>
      <w:r>
        <w:rPr>
          <w:rFonts w:ascii="SarasaMonoSC" w:cs="SarasaMonoSC" w:eastAsia="SarasaMonoSC" w:hAnsi="SarasaMonoSC"/>
          <w:color w:val="0F172A"/>
          <w:sz w:val="18"/>
          <w:szCs w:val="18"/>
        </w:rPr>
        <w:t xml:space="preserve">    "contractNumber": "&lt;müqavilə nömrəsi&gt;",</w:t>
      </w:r>
    </w:p>
    <w:p>
      <w:pPr>
        <w:spacing w:after="80" w:line="250"/>
        <w:ind w:left="400"/>
      </w:pPr>
      <w:r>
        <w:rPr>
          <w:rFonts w:ascii="SarasaMonoSC" w:cs="SarasaMonoSC" w:eastAsia="SarasaMonoSC" w:hAnsi="SarasaMonoSC"/>
          <w:color w:val="0F172A"/>
          <w:sz w:val="18"/>
          <w:szCs w:val="18"/>
        </w:rPr>
        <w:t xml:space="preserve">    "loanId": "&lt;kredit ID&gt;",</w:t>
      </w:r>
    </w:p>
    <w:p>
      <w:pPr>
        <w:spacing w:after="80" w:line="250"/>
        <w:ind w:left="400"/>
      </w:pPr>
      <w:r>
        <w:rPr>
          <w:rFonts w:ascii="SarasaMonoSC" w:cs="SarasaMonoSC" w:eastAsia="SarasaMonoSC" w:hAnsi="SarasaMonoSC"/>
          <w:color w:val="0F172A"/>
          <w:sz w:val="18"/>
          <w:szCs w:val="18"/>
        </w:rPr>
        <w:t xml:space="preserve">    "amount": &lt;decimal&gt;,</w:t>
      </w:r>
    </w:p>
    <w:p>
      <w:pPr>
        <w:spacing w:after="80" w:line="250"/>
        <w:ind w:left="400"/>
      </w:pPr>
      <w:r>
        <w:rPr>
          <w:rFonts w:ascii="SarasaMonoSC" w:cs="SarasaMonoSC" w:eastAsia="SarasaMonoSC" w:hAnsi="SarasaMonoSC"/>
          <w:color w:val="0F172A"/>
          <w:sz w:val="18"/>
          <w:szCs w:val="18"/>
        </w:rPr>
        <w:t xml:space="preserve">    "currency": "AZN",</w:t>
      </w:r>
    </w:p>
    <w:p>
      <w:pPr>
        <w:spacing w:after="80" w:line="250"/>
        <w:ind w:left="400"/>
      </w:pPr>
      <w:r>
        <w:rPr>
          <w:rFonts w:ascii="SarasaMonoSC" w:cs="SarasaMonoSC" w:eastAsia="SarasaMonoSC" w:hAnsi="SarasaMonoSC"/>
          <w:color w:val="0F172A"/>
          <w:sz w:val="18"/>
          <w:szCs w:val="18"/>
        </w:rPr>
        <w:t xml:space="preserve">    "interestRate": &lt;decimal&gt;</w:t>
      </w:r>
    </w:p>
    <w:p>
      <w:pPr>
        <w:spacing w:after="80" w:line="250"/>
        <w:ind w:left="400"/>
      </w:pPr>
      <w:r>
        <w:rPr>
          <w:rFonts w:ascii="SarasaMonoSC" w:cs="SarasaMonoSC" w:eastAsia="SarasaMonoSC" w:hAnsi="SarasaMonoSC"/>
          <w:color w:val="0F172A"/>
          <w:sz w:val="18"/>
          <w:szCs w:val="18"/>
        </w:rPr>
        <w:t xml:space="preserve">  }</w:t>
      </w:r>
    </w:p>
    <w:p>
      <w:pPr>
        <w:spacing w:after="80" w:line="250"/>
        <w:ind w:left="400"/>
      </w:pPr>
      <w:r>
        <w:rPr>
          <w:rFonts w:ascii="SarasaMonoSC" w:cs="SarasaMonoSC" w:eastAsia="SarasaMonoSC" w:hAnsi="SarasaMonoSC"/>
          <w:color w:val="0F172A"/>
          <w:sz w:val="18"/>
          <w:szCs w:val="18"/>
        </w:rPr>
        <w:t xml:space="preserve">}</w:t>
      </w:r>
    </w:p>
    <w:p>
      <w:pPr>
        <w:spacing w:after="120" w:line="250"/>
        <w:ind w:firstLine="420"/>
        <w:jc w:val="left"/>
      </w:pPr>
      <w:r>
        <w:rPr>
          <w:rFonts w:ascii="Microsoft YaHei" w:cs="Microsoft YaHei" w:eastAsia="Microsoft YaHei" w:hAnsi="Microsoft YaHei"/>
          <w:color w:val="0F172A"/>
          <w:sz w:val="21"/>
          <w:szCs w:val="21"/>
        </w:rPr>
        <w:t xml:space="preserve">Mümkün statuslar: In Review, Approved, Rejected, Funded. Case ləğv edilmişsə Rejected qaytarılır.</w:t>
      </w:r>
    </w:p>
    <w:p>
      <w:pPr>
        <w:pStyle w:val="Heading2"/>
        <w:spacing w:after="200" w:before="400" w:line="250"/>
      </w:pPr>
      <w:r>
        <w:rPr>
          <w:rFonts w:ascii="SimHei" w:cs="SimHei" w:eastAsia="SimHei" w:hAnsi="SimHei"/>
          <w:b/>
          <w:bCs/>
          <w:color w:val="2B2B2B"/>
          <w:sz w:val="28"/>
          <w:szCs w:val="28"/>
        </w:rPr>
        <w:t xml:space="preserve">7.4. CüzdanServicePayOut — Webhook Endpoint</w:t>
      </w:r>
    </w:p>
    <w:p>
      <w:pPr>
        <w:spacing w:after="120" w:line="250"/>
        <w:ind w:firstLine="420"/>
        <w:jc w:val="left"/>
      </w:pPr>
      <w:r>
        <w:rPr>
          <w:rFonts w:ascii="Microsoft YaHei" w:cs="Microsoft YaHei" w:eastAsia="Microsoft YaHei" w:hAnsi="Microsoft YaHei"/>
          <w:color w:val="0F172A"/>
          <w:sz w:val="21"/>
          <w:szCs w:val="21"/>
        </w:rPr>
        <w:t xml:space="preserve">CüzdanServicePayOut /cuzdan-pay-out adresində JAX-RS server kimi işləyir və kart registrasiyası callback-i qəbul edir. Bu endpoint üçün əsasən CUZDAN system istifadəçısı ilə sessiya açılır.</w:t>
      </w:r>
    </w:p>
    <w:p>
      <w:pPr>
        <w:spacing w:after="150" w:before="300" w:line="250"/>
      </w:pPr>
      <w:r>
        <w:rPr>
          <w:rFonts w:ascii="SimHei" w:cs="SimHei" w:eastAsia="SimHei" w:hAnsi="SimHei"/>
          <w:b/>
          <w:bCs/>
          <w:color w:val="2B2B2B"/>
          <w:sz w:val="24"/>
          <w:szCs w:val="24"/>
        </w:rPr>
        <w:t xml:space="preserve">7.4.1. Kart registrasiyası callback (POST /cuzdan-pay-out/)</w:t>
      </w:r>
    </w:p>
    <w:p>
      <w:pPr>
        <w:spacing w:after="120" w:line="250"/>
        <w:ind w:firstLine="420"/>
        <w:jc w:val="left"/>
      </w:pPr>
      <w:r>
        <w:rPr>
          <w:rFonts w:ascii="Microsoft YaHei" w:cs="Microsoft YaHei" w:eastAsia="Microsoft YaHei" w:hAnsi="Microsoft YaHei"/>
          <w:color w:val="0F172A"/>
          <w:sz w:val="21"/>
          <w:szCs w:val="21"/>
        </w:rPr>
        <w:t xml:space="preserve">Bu webhook Cüzdan tərəfindən kart registrasiyası nəticəsini bildirmək üçün çağırılır. payment_description formatı “NNNNNN******NNNN” (6 rəqəm + 6 ulduz + 4 rəqəm) olmalıdır.</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"cart_id": "&lt;CardTransferData UUID&gt;",</w:t>
      </w:r>
    </w:p>
    <w:p>
      <w:pPr>
        <w:spacing w:after="80" w:line="250"/>
        <w:ind w:left="400"/>
      </w:pPr>
      <w:r>
        <w:rPr>
          <w:rFonts w:ascii="SarasaMonoSC" w:cs="SarasaMonoSC" w:eastAsia="SarasaMonoSC" w:hAnsi="SarasaMonoSC"/>
          <w:color w:val="0F172A"/>
          <w:sz w:val="18"/>
          <w:szCs w:val="18"/>
        </w:rPr>
        <w:t xml:space="preserve">  "token": "&lt;kart token&gt;",</w:t>
      </w:r>
    </w:p>
    <w:p>
      <w:pPr>
        <w:spacing w:after="80" w:line="250"/>
        <w:ind w:left="400"/>
      </w:pPr>
      <w:r>
        <w:rPr>
          <w:rFonts w:ascii="SarasaMonoSC" w:cs="SarasaMonoSC" w:eastAsia="SarasaMonoSC" w:hAnsi="SarasaMonoSC"/>
          <w:color w:val="0F172A"/>
          <w:sz w:val="18"/>
          <w:szCs w:val="18"/>
        </w:rPr>
        <w:t xml:space="preserve">  "tran_ref": "&lt;əməliyyat reference&gt;",</w:t>
      </w:r>
    </w:p>
    <w:p>
      <w:pPr>
        <w:spacing w:after="80" w:line="250"/>
        <w:ind w:left="400"/>
      </w:pPr>
      <w:r>
        <w:rPr>
          <w:rFonts w:ascii="SarasaMonoSC" w:cs="SarasaMonoSC" w:eastAsia="SarasaMonoSC" w:hAnsi="SarasaMonoSC"/>
          <w:color w:val="0F172A"/>
          <w:sz w:val="18"/>
          <w:szCs w:val="18"/>
        </w:rPr>
        <w:t xml:space="preserve">  "payment_info": {</w:t>
      </w:r>
    </w:p>
    <w:p>
      <w:pPr>
        <w:spacing w:after="80" w:line="250"/>
        <w:ind w:left="400"/>
      </w:pPr>
      <w:r>
        <w:rPr>
          <w:rFonts w:ascii="SarasaMonoSC" w:cs="SarasaMonoSC" w:eastAsia="SarasaMonoSC" w:hAnsi="SarasaMonoSC"/>
          <w:color w:val="0F172A"/>
          <w:sz w:val="18"/>
          <w:szCs w:val="18"/>
        </w:rPr>
        <w:t xml:space="preserve">    "payment_description": "123456******7890"</w:t>
      </w:r>
    </w:p>
    <w:p>
      <w:pPr>
        <w:spacing w:after="80" w:line="250"/>
        <w:ind w:left="400"/>
      </w:pPr>
      <w:r>
        <w:rPr>
          <w:rFonts w:ascii="SarasaMonoSC" w:cs="SarasaMonoSC" w:eastAsia="SarasaMonoSC" w:hAnsi="SarasaMonoSC"/>
          <w:color w:val="0F172A"/>
          <w:sz w:val="18"/>
          <w:szCs w:val="18"/>
        </w:rPr>
        <w:t xml:space="preserve">  }</w:t>
      </w:r>
    </w:p>
    <w:p>
      <w:pPr>
        <w:spacing w:after="80" w:line="250"/>
        <w:ind w:left="400"/>
      </w:pPr>
      <w:r>
        <w:rPr>
          <w:rFonts w:ascii="SarasaMonoSC" w:cs="SarasaMonoSC" w:eastAsia="SarasaMonoSC" w:hAnsi="SarasaMonoSC"/>
          <w:color w:val="0F172A"/>
          <w:sz w:val="18"/>
          <w:szCs w:val="18"/>
        </w:rPr>
        <w:t xml:space="preserve">}</w:t>
      </w:r>
    </w:p>
    <w:p>
      <w:pPr>
        <w:spacing w:after="120" w:line="250"/>
        <w:ind w:firstLine="420"/>
        <w:jc w:val="left"/>
      </w:pPr>
      <w:r>
        <w:rPr>
          <w:rFonts w:ascii="Microsoft YaHei" w:cs="Microsoft YaHei" w:eastAsia="Microsoft YaHei" w:hAnsi="Microsoft YaHei"/>
          <w:color w:val="0F172A"/>
          <w:sz w:val="21"/>
          <w:szCs w:val="21"/>
        </w:rPr>
        <w:t xml:space="preserve">Uğur cavab HTTP 200, xəta cavabı uyğun error JSON qaytarır. Callback qəbul edildikdən sonra əgər tran_status “A”-dırsa, avtomatik refund əməliyyatı həyata keçirilir və “cuzdan request card data” task node-u avtomatik yekunlaşdırılır.</w:t>
      </w:r>
    </w:p>
    <w:p>
      <w:pPr>
        <w:pStyle w:val="Heading2"/>
        <w:spacing w:after="200" w:before="400" w:line="250"/>
      </w:pPr>
      <w:r>
        <w:rPr>
          <w:rFonts w:ascii="SimHei" w:cs="SimHei" w:eastAsia="SimHei" w:hAnsi="SimHei"/>
          <w:b/>
          <w:bCs/>
          <w:color w:val="2B2B2B"/>
          <w:sz w:val="28"/>
          <w:szCs w:val="28"/>
        </w:rPr>
        <w:t xml:space="preserve">7.5. CüzdanPreScoringJob — Avtomatik Prescoring</w:t>
      </w:r>
    </w:p>
    <w:p>
      <w:pPr>
        <w:spacing w:after="120" w:line="250"/>
        <w:ind w:firstLine="420"/>
        <w:jc w:val="left"/>
      </w:pPr>
      <w:r>
        <w:rPr>
          <w:rFonts w:ascii="Microsoft YaHei" w:cs="Microsoft YaHei" w:eastAsia="Microsoft YaHei" w:hAnsi="Microsoft YaHei"/>
          <w:color w:val="0F172A"/>
          <w:sz w:val="21"/>
          <w:szCs w:val="21"/>
        </w:rPr>
        <w:t xml:space="preserve">CüzdanPreScoringJob avtomatik prescoring prosesini həyata keçirən cron job-dur. Bu job prescoring=true olan açıq ShopApplication-ları tapır və 4 mərhələli cutoff yoxlamasından keçirir. Hər mərhələ uğursuz olarsa, müraciət avtomatik rədd edilir və Cüzdana callback göndərilir.</w:t>
      </w:r>
    </w:p>
    <w:p>
      <w:pPr>
        <w:spacing w:after="120" w:line="250"/>
        <w:ind w:firstLine="420"/>
        <w:jc w:val="left"/>
      </w:pPr>
      <w:r>
        <w:rPr>
          <w:rFonts w:ascii="Microsoft YaHei" w:cs="Microsoft YaHei" w:eastAsia="Microsoft YaHei" w:hAnsi="Microsoft YaHei"/>
          <w:color w:val="0F172A"/>
          <w:sz w:val="21"/>
          <w:szCs w:val="21"/>
        </w:rPr>
        <w:t xml:space="preserve">Prescoring konfiqurasiya ID: sse_cutoffs_cuzdan_prescoring. Bu konfiqurasiya 15 cutoff qaydasından ibarətdir və Clojure funksiyaları vasitəsilə icra olunur.</w:t>
      </w:r>
    </w:p>
    <w:p>
      <w:pPr>
        <w:spacing w:after="150" w:before="300" w:line="250"/>
      </w:pPr>
      <w:r>
        <w:rPr>
          <w:rFonts w:ascii="SimHei" w:cs="SimHei" w:eastAsia="SimHei" w:hAnsi="SimHei"/>
          <w:b/>
          <w:bCs/>
          <w:color w:val="2B2B2B"/>
          <w:sz w:val="24"/>
          <w:szCs w:val="24"/>
        </w:rPr>
        <w:t xml:space="preserve">Prescoring Mərhələləri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200"/>
        <w:gridCol w:w="3000"/>
        <w:gridCol w:w="2500"/>
        <w:gridCol w:w="2300"/>
      </w:tblGrid>
      <w:tr>
        <w:trPr>
          <w:tblHeader/>
        </w:trPr>
        <w:tc>
          <w:tcPr>
            <w:tcW w:type="dxa" w:w="1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Prioritet</w:t>
            </w:r>
          </w:p>
        </w:tc>
        <w:tc>
          <w:tcPr>
            <w:tcW w:type="dxa" w:w="3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Yoxlama</w:t>
            </w:r>
          </w:p>
        </w:tc>
        <w:tc>
          <w:tcPr>
            <w:tcW w:type="dxa" w:w="25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Məlumat Mənbəyi</w:t>
            </w:r>
          </w:p>
        </w:tc>
        <w:tc>
          <w:tcPr>
            <w:tcW w:type="dxa" w:w="23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Clojure Funksiyası</w:t>
            </w:r>
          </w:p>
        </w:tc>
      </w:tr>
      <w:tr>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1</w:t>
            </w:r>
          </w:p>
        </w:tc>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Ələ keçmiş rədd edilmiş müraciətlər</w:t>
            </w:r>
          </w:p>
        </w:tc>
        <w:tc>
          <w:tcPr>
            <w:tcW w:type="dxa" w:w="2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Daxili DB</w:t>
            </w:r>
          </w:p>
        </w:tc>
        <w:tc>
          <w:tcPr>
            <w:tcW w:type="dxa" w:w="23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cutoff-priority1-check-prescoring</w:t>
            </w:r>
          </w:p>
        </w:tc>
      </w:tr>
      <w:tr>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2</w:t>
            </w:r>
          </w:p>
        </w:tc>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Şəxsi məlumatlar (ASAN Finance)</w:t>
            </w:r>
          </w:p>
        </w:tc>
        <w:tc>
          <w:tcPr>
            <w:tcW w:type="dxa" w:w="2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ASAN Finance API</w:t>
            </w:r>
          </w:p>
        </w:tc>
        <w:tc>
          <w:tcPr>
            <w:tcW w:type="dxa" w:w="23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cutoff-priority2-check-prescoring</w:t>
            </w:r>
          </w:p>
        </w:tc>
      </w:tr>
      <w:tr>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3</w:t>
            </w:r>
          </w:p>
        </w:tc>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AKB scoring nəticəsi</w:t>
            </w:r>
          </w:p>
        </w:tc>
        <w:tc>
          <w:tcPr>
            <w:tcW w:type="dxa" w:w="2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 API (scoring)</w:t>
            </w:r>
          </w:p>
        </w:tc>
        <w:tc>
          <w:tcPr>
            <w:tcW w:type="dxa" w:w="23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cutoff-priority3-check-prescoring</w:t>
            </w:r>
          </w:p>
        </w:tc>
      </w:tr>
      <w:tr>
        <w:tc>
          <w:tcPr>
            <w:tcW w:type="dxa" w:w="1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4</w:t>
            </w:r>
          </w:p>
        </w:tc>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AKB kredit tarixi</w:t>
            </w:r>
          </w:p>
        </w:tc>
        <w:tc>
          <w:tcPr>
            <w:tcW w:type="dxa" w:w="25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MKR API (inquire)</w:t>
            </w:r>
          </w:p>
        </w:tc>
        <w:tc>
          <w:tcPr>
            <w:tcW w:type="dxa" w:w="23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cutoff-priority4-check-prescoring</w:t>
            </w:r>
          </w:p>
        </w:tc>
      </w:tr>
    </w:tbl>
    <w:p>
      <w:pPr>
        <w:spacing w:after="200" w:before="60"/>
        <w:jc w:val="center"/>
      </w:pPr>
      <w:r>
        <w:rPr>
          <w:rFonts w:ascii="Microsoft YaHei" w:cs="Microsoft YaHei" w:eastAsia="Microsoft YaHei" w:hAnsi="Microsoft YaHei"/>
          <w:color w:val="9AA6B2"/>
          <w:sz w:val="18"/>
          <w:szCs w:val="18"/>
        </w:rPr>
        <w:t xml:space="preserve">Cədvəl 8: Cüzdan PreScoring mərhələləri</w:t>
      </w:r>
    </w:p>
    <w:p>
      <w:pPr>
        <w:spacing w:after="120" w:line="250"/>
        <w:ind w:firstLine="420"/>
        <w:jc w:val="left"/>
      </w:pPr>
      <w:r>
        <w:rPr>
          <w:rFonts w:ascii="Microsoft YaHei" w:cs="Microsoft YaHei" w:eastAsia="Microsoft YaHei" w:hAnsi="Microsoft YaHei"/>
          <w:color w:val="0F172A"/>
          <w:sz w:val="21"/>
          <w:szCs w:val="21"/>
        </w:rPr>
        <w:t xml:space="preserve">Bütün prioritetlər uğur olduqda, job case-in “cuzdan pre-scoring” State node-unu signal edir və müraciət normal iş axınına davam edir. Hər hansı prioritet uğursuz olarsa, müraciət rədd edilir, case ləğv edilir və Cüzdan callback ilə Rejected statusu göndərilir.</w:t>
      </w:r>
    </w:p>
    <w:p>
      <w:pPr>
        <w:pStyle w:val="Heading2"/>
        <w:spacing w:after="200" w:before="400" w:line="250"/>
      </w:pPr>
      <w:r>
        <w:rPr>
          <w:rFonts w:ascii="SimHei" w:cs="SimHei" w:eastAsia="SimHei" w:hAnsi="SimHei"/>
          <w:b/>
          <w:bCs/>
          <w:color w:val="2B2B2B"/>
          <w:sz w:val="28"/>
          <w:szCs w:val="28"/>
        </w:rPr>
        <w:t xml:space="preserve">7.6. CüzdanRefundJob — Avtomatik Refund</w:t>
      </w:r>
    </w:p>
    <w:p>
      <w:pPr>
        <w:spacing w:after="120" w:line="250"/>
        <w:ind w:firstLine="420"/>
        <w:jc w:val="left"/>
      </w:pPr>
      <w:r>
        <w:rPr>
          <w:rFonts w:ascii="Microsoft YaHei" w:cs="Microsoft YaHei" w:eastAsia="Microsoft YaHei" w:hAnsi="Microsoft YaHei"/>
          <w:color w:val="0F172A"/>
          <w:sz w:val="21"/>
          <w:szCs w:val="21"/>
        </w:rPr>
        <w:t xml:space="preserve">CüzdanRefundJob cron job-dur və requested=true, refunded=false olan CardTransferData qeydlərini tapıb avtomatik refund əməliyyatı həyata keçirir. Refund uğur olduqda (tran_status = “A”), data.refund() çağırılır. Job UUID: A7E64A34E16D4D00BEF58546B5F2C384.</w:t>
      </w:r>
    </w:p>
    <w:p>
      <w:pPr>
        <w:pStyle w:val="Heading2"/>
        <w:spacing w:after="200" w:before="400" w:line="250"/>
      </w:pPr>
      <w:r>
        <w:rPr>
          <w:rFonts w:ascii="SimHei" w:cs="SimHei" w:eastAsia="SimHei" w:hAnsi="SimHei"/>
          <w:b/>
          <w:bCs/>
          <w:color w:val="2B2B2B"/>
          <w:sz w:val="28"/>
          <w:szCs w:val="28"/>
        </w:rPr>
        <w:t xml:space="preserve">7.7. Cüzdan İnteqrasiyası Data Strukturları</w:t>
      </w:r>
    </w:p>
    <w:p>
      <w:pPr>
        <w:spacing w:after="150" w:before="300" w:line="250"/>
      </w:pPr>
      <w:r>
        <w:rPr>
          <w:rFonts w:ascii="SimHei" w:cs="SimHei" w:eastAsia="SimHei" w:hAnsi="SimHei"/>
          <w:b/>
          <w:bCs/>
          <w:color w:val="2B2B2B"/>
          <w:sz w:val="24"/>
          <w:szCs w:val="24"/>
        </w:rPr>
        <w:t xml:space="preserve">CardTransferData (addon_card_transfer_data cədvəli)</w:t>
      </w:r>
    </w:p>
    <w:p>
      <w:pPr>
        <w:spacing w:after="120" w:line="250"/>
        <w:ind w:firstLine="420"/>
        <w:jc w:val="left"/>
      </w:pPr>
      <w:r>
        <w:rPr>
          <w:rFonts w:ascii="Microsoft YaHei" w:cs="Microsoft YaHei" w:eastAsia="Microsoft YaHei" w:hAnsi="Microsoft YaHei"/>
          <w:color w:val="0F172A"/>
          <w:sz w:val="21"/>
          <w:szCs w:val="21"/>
        </w:rPr>
        <w:t xml:space="preserve">Bu cədvəl kart köçürmə məlumatlarını saxlayır. Hər bir case üçün bir və ya bir neçə CardTransferData qeydi yarana bilər.</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800"/>
        <w:gridCol w:w="5000"/>
      </w:tblGrid>
      <w:tr>
        <w:trPr>
          <w:tblHeader/>
        </w:trPr>
        <w:tc>
          <w:tcPr>
            <w:tcW w:type="dxa" w:w="2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Field</w:t>
            </w:r>
          </w:p>
        </w:tc>
        <w:tc>
          <w:tcPr>
            <w:tcW w:type="dxa" w:w="18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Tip</w:t>
            </w:r>
          </w:p>
        </w:tc>
        <w:tc>
          <w:tcPr>
            <w:tcW w:type="dxa" w:w="5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uuid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String(32)</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Unikal identifikator</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busCase</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Case (FK)</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İlişkili business case</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loan</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Loan (FK)</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İlişkili kredit</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mobile</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String(30)</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Müştəri mobil nömrəsi</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tranRef</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String(30)</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Ələmiyyat reference kodu</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token</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String(30)</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Kart token-i</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requestedAmount</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Money</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Sorğan məbləğ (default 0.10 AZN)</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requested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Boolean</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Sorğu göndərilib</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refunded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Boolean</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Refund edilib</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transferred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Boolean</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Köçürülüb</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transferredAmount</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Money</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Köçürülən məbləğ</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responseCode</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String(30)</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Cavab kodu</w:t>
            </w:r>
          </w:p>
        </w:tc>
      </w:tr>
    </w:tbl>
    <w:p>
      <w:pPr>
        <w:spacing w:after="200" w:before="60"/>
        <w:jc w:val="center"/>
      </w:pPr>
      <w:r>
        <w:rPr>
          <w:rFonts w:ascii="Microsoft YaHei" w:cs="Microsoft YaHei" w:eastAsia="Microsoft YaHei" w:hAnsi="Microsoft YaHei"/>
          <w:color w:val="9AA6B2"/>
          <w:sz w:val="18"/>
          <w:szCs w:val="18"/>
        </w:rPr>
        <w:t xml:space="preserve">Cədvəl 9: CardTransferData data strukturu</w:t>
      </w:r>
    </w:p>
    <w:p>
      <w:pPr>
        <w:pStyle w:val="Heading1"/>
        <w:spacing w:after="300" w:before="600" w:line="250"/>
      </w:pPr>
      <w:r>
        <w:rPr>
          <w:rFonts w:ascii="SimHei" w:cs="SimHei" w:eastAsia="SimHei" w:hAnsi="SimHei"/>
          <w:b/>
          <w:bCs/>
          <w:color w:val="0B1220"/>
          <w:sz w:val="32"/>
          <w:szCs w:val="32"/>
        </w:rPr>
        <w:t xml:space="preserve">8. Video Recording İnteqrasiyası</w:t>
      </w:r>
    </w:p>
    <w:p>
      <w:pPr>
        <w:spacing w:after="120" w:line="250"/>
        <w:ind w:firstLine="420"/>
        <w:jc w:val="left"/>
      </w:pPr>
      <w:r>
        <w:rPr>
          <w:rFonts w:ascii="Microsoft YaHei" w:cs="Microsoft YaHei" w:eastAsia="Microsoft YaHei" w:hAnsi="Microsoft YaHei"/>
          <w:color w:val="0F172A"/>
          <w:sz w:val="21"/>
          <w:szCs w:val="21"/>
        </w:rPr>
        <w:t xml:space="preserve">Video Recording inteqrasiyası müştərinin şəxsiyyət təsdiqi məqsədi ilə video çəkilişi xidmətidir. Bu inteqrasiya vasitəsilə müştəri kredit müraciəti zamanı özünü video ilə təsdiq edir — bu, şəxsiyyətin təsdiqi üçün əlavə təhlükəsizlik tədbiri kimi xidmət edir. Video çəkilişi URL-i həmən Cüzdan.az tərəfindən müraciət yaradılarkən videoRecordingUrl field-i ilə təqdim oluna bilər, həm də EmbaFinans tərəfindən Creditadmin və Retail UI-dən üçün ayrılıq çağırıla bilər.</w:t>
      </w:r>
    </w:p>
    <w:p>
      <w:pPr>
        <w:spacing w:after="120" w:line="250"/>
        <w:ind w:firstLine="420"/>
        <w:jc w:val="left"/>
      </w:pPr>
      <w:r>
        <w:rPr>
          <w:rFonts w:ascii="Microsoft YaHei" w:cs="Microsoft YaHei" w:eastAsia="Microsoft YaHei" w:hAnsi="Microsoft YaHei"/>
          <w:color w:val="0F172A"/>
          <w:sz w:val="21"/>
          <w:szCs w:val="21"/>
        </w:rPr>
        <w:t xml:space="preserve">VideoRecordingController əsas sinif olub, video çəkilişi sorğusunun göndərilməsi, video URL-inin generasiyası və video çəkilişinin yoxlanılması funksiyalarını həyata keçirir. VideoRecordingCheckJob isə background job olub, hələ video çəkməmiş müraciətləri avtomatik yoxlayır.</w:t>
      </w:r>
    </w:p>
    <w:p>
      <w:pPr>
        <w:pStyle w:val="Heading2"/>
        <w:spacing w:after="200" w:before="400" w:line="250"/>
      </w:pPr>
      <w:r>
        <w:rPr>
          <w:rFonts w:ascii="SimHei" w:cs="SimHei" w:eastAsia="SimHei" w:hAnsi="SimHei"/>
          <w:b/>
          <w:bCs/>
          <w:color w:val="2B2B2B"/>
          <w:sz w:val="28"/>
          <w:szCs w:val="28"/>
        </w:rPr>
        <w:t xml:space="preserve">8.1. Konfiqurasiya Parametrləri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3000"/>
        <w:gridCol w:w="4200"/>
        <w:gridCol w:w="1800"/>
      </w:tblGrid>
      <w:tr>
        <w:trPr>
          <w:tblHeader/>
        </w:trPr>
        <w:tc>
          <w:tcPr>
            <w:tcW w:type="dxa" w:w="3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Parametr</w:t>
            </w:r>
          </w:p>
        </w:tc>
        <w:tc>
          <w:tcPr>
            <w:tcW w:type="dxa" w:w="4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c>
          <w:tcPr>
            <w:tcW w:type="dxa" w:w="18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Default</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video_recording.url</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 Recording xidmətinin baz URL</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video_recording.username</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Basic Auth istifadəçi adı</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video_recording.password</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Basic Auth şifrəsi</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video_recording.timeout</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Timeout (saniyə)</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30</w:t>
            </w:r>
          </w:p>
        </w:tc>
      </w:tr>
      <w:tr>
        <w:tc>
          <w:tcPr>
            <w:tcW w:type="dxa" w:w="3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video_recording.max_attempts</w:t>
            </w:r>
          </w:p>
        </w:tc>
        <w:tc>
          <w:tcPr>
            <w:tcW w:type="dxa" w:w="4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Maksimum cəhd sayı</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5</w:t>
            </w:r>
          </w:p>
        </w:tc>
      </w:tr>
    </w:tbl>
    <w:p>
      <w:pPr>
        <w:spacing w:after="200" w:before="60"/>
        <w:jc w:val="center"/>
      </w:pPr>
      <w:r>
        <w:rPr>
          <w:rFonts w:ascii="Microsoft YaHei" w:cs="Microsoft YaHei" w:eastAsia="Microsoft YaHei" w:hAnsi="Microsoft YaHei"/>
          <w:color w:val="9AA6B2"/>
          <w:sz w:val="18"/>
          <w:szCs w:val="18"/>
        </w:rPr>
        <w:t xml:space="preserve">Cədvəl 10: Video Recording konfiqurasiya parametrləri</w:t>
      </w:r>
    </w:p>
    <w:p>
      <w:pPr>
        <w:pStyle w:val="Heading2"/>
        <w:spacing w:after="200" w:before="400" w:line="250"/>
      </w:pPr>
      <w:r>
        <w:rPr>
          <w:rFonts w:ascii="SimHei" w:cs="SimHei" w:eastAsia="SimHei" w:hAnsi="SimHei"/>
          <w:b/>
          <w:bCs/>
          <w:color w:val="2B2B2B"/>
          <w:sz w:val="28"/>
          <w:szCs w:val="28"/>
        </w:rPr>
        <w:t xml:space="preserve">8.2. Video çəkilişi sorğu (Request Video Recording)</w:t>
      </w:r>
    </w:p>
    <w:p>
      <w:pPr>
        <w:spacing w:after="120" w:line="250"/>
        <w:ind w:firstLine="420"/>
        <w:jc w:val="left"/>
      </w:pPr>
      <w:r>
        <w:rPr>
          <w:rFonts w:ascii="Microsoft YaHei" w:cs="Microsoft YaHei" w:eastAsia="Microsoft YaHei" w:hAnsi="Microsoft YaHei"/>
          <w:color w:val="0F172A"/>
          <w:sz w:val="21"/>
          <w:szCs w:val="21"/>
        </w:rPr>
        <w:t xml:space="preserve">Video çəkilişi sorğu həm RetailClient həm də ShopClient üçün mövcuddur. Maksimum cəhd sayına (max_attempts, default 5) çatdıqda şəxsiyyət təsdiqi müddəti bitirilir və səhv mesajı göstərilir.</w:t>
      </w:r>
    </w:p>
    <w:p>
      <w:pPr>
        <w:spacing w:after="120" w:line="250"/>
        <w:jc w:val="left"/>
      </w:pPr>
      <w:r>
        <w:rPr>
          <w:rFonts w:ascii="Microsoft YaHei" w:cs="Microsoft YaHei" w:eastAsia="Microsoft YaHei" w:hAnsi="Microsoft YaHei"/>
          <w:color w:val="0F172A"/>
          <w:sz w:val="21"/>
          <w:szCs w:val="21"/>
        </w:rPr>
        <w:t xml:space="preserve">Endpoint: POST {video_recording.url}/api/orders</w:t>
      </w:r>
    </w:p>
    <w:p>
      <w:pPr>
        <w:spacing w:after="120" w:line="250"/>
        <w:jc w:val="left"/>
      </w:pPr>
      <w:r>
        <w:rPr>
          <w:rFonts w:ascii="Microsoft YaHei" w:cs="Microsoft YaHei" w:eastAsia="Microsoft YaHei" w:hAnsi="Microsoft YaHei"/>
          <w:color w:val="0F172A"/>
          <w:sz w:val="21"/>
          <w:szCs w:val="21"/>
        </w:rPr>
        <w:t xml:space="preserve">Authorization: Basic Auth (username:password)</w:t>
      </w:r>
    </w:p>
    <w:p>
      <w:pPr>
        <w:spacing w:after="120" w:line="250"/>
        <w:jc w:val="left"/>
      </w:pPr>
      <w:r>
        <w:rPr>
          <w:rFonts w:ascii="Microsoft YaHei" w:cs="Microsoft YaHei" w:eastAsia="Microsoft YaHei" w:hAnsi="Microsoft YaHei"/>
          <w:color w:val="0F172A"/>
          <w:sz w:val="21"/>
          <w:szCs w:val="21"/>
        </w:rPr>
        <w:t xml:space="preserve">Content-Type: application/json</w:t>
      </w:r>
    </w:p>
    <w:p>
      <w:pPr>
        <w:spacing w:after="120" w:line="250"/>
        <w:jc w:val="left"/>
      </w:pPr>
      <w:r>
        <w:rPr>
          <w:rFonts w:ascii="Microsoft YaHei" w:cs="Microsoft YaHei" w:eastAsia="Microsoft YaHei" w:hAnsi="Microsoft YaHei"/>
          <w:color w:val="0F172A"/>
          <w:sz w:val="21"/>
          <w:szCs w:val="21"/>
        </w:rPr>
        <w:t xml:space="preserve">Request Payload:</w:t>
      </w:r>
    </w:p>
    <w:p>
      <w:pPr>
        <w:spacing w:after="80" w:line="250"/>
        <w:ind w:left="400"/>
      </w:pPr>
      <w:r>
        <w:rPr>
          <w:rFonts w:ascii="SarasaMonoSC" w:cs="SarasaMonoSC" w:eastAsia="SarasaMonoSC" w:hAnsi="SarasaMonoSC"/>
          <w:color w:val="0F172A"/>
          <w:sz w:val="18"/>
          <w:szCs w:val="18"/>
        </w:rPr>
        <w:t xml:space="preserve">{</w:t>
      </w:r>
    </w:p>
    <w:p>
      <w:pPr>
        <w:spacing w:after="80" w:line="250"/>
        <w:ind w:left="400"/>
      </w:pPr>
      <w:r>
        <w:rPr>
          <w:rFonts w:ascii="SarasaMonoSC" w:cs="SarasaMonoSC" w:eastAsia="SarasaMonoSC" w:hAnsi="SarasaMonoSC"/>
          <w:color w:val="0F172A"/>
          <w:sz w:val="18"/>
          <w:szCs w:val="18"/>
        </w:rPr>
        <w:t xml:space="preserve">  "app_id": "&lt;client UUID və ya videoRecordingId&gt;",</w:t>
      </w:r>
    </w:p>
    <w:p>
      <w:pPr>
        <w:spacing w:after="80" w:line="250"/>
        <w:ind w:left="400"/>
      </w:pPr>
      <w:r>
        <w:rPr>
          <w:rFonts w:ascii="SarasaMonoSC" w:cs="SarasaMonoSC" w:eastAsia="SarasaMonoSC" w:hAnsi="SarasaMonoSC"/>
          <w:color w:val="0F172A"/>
          <w:sz w:val="18"/>
          <w:szCs w:val="18"/>
        </w:rPr>
        <w:t xml:space="preserve">  "phone": "&lt;mobil nömrə&gt;",</w:t>
      </w:r>
    </w:p>
    <w:p>
      <w:pPr>
        <w:spacing w:after="80" w:line="250"/>
        <w:ind w:left="400"/>
      </w:pPr>
      <w:r>
        <w:rPr>
          <w:rFonts w:ascii="SarasaMonoSC" w:cs="SarasaMonoSC" w:eastAsia="SarasaMonoSC" w:hAnsi="SarasaMonoSC"/>
          <w:color w:val="0F172A"/>
          <w:sz w:val="18"/>
          <w:szCs w:val="18"/>
        </w:rPr>
        <w:t xml:space="preserve">  "amount": &lt;decimal&gt;,</w:t>
      </w:r>
    </w:p>
    <w:p>
      <w:pPr>
        <w:spacing w:after="80" w:line="250"/>
        <w:ind w:left="400"/>
      </w:pPr>
      <w:r>
        <w:rPr>
          <w:rFonts w:ascii="SarasaMonoSC" w:cs="SarasaMonoSC" w:eastAsia="SarasaMonoSC" w:hAnsi="SarasaMonoSC"/>
          <w:color w:val="0F172A"/>
          <w:sz w:val="18"/>
          <w:szCs w:val="18"/>
        </w:rPr>
        <w:t xml:space="preserve">  "currency": "azn",</w:t>
      </w:r>
    </w:p>
    <w:p>
      <w:pPr>
        <w:spacing w:after="80" w:line="250"/>
        <w:ind w:left="400"/>
      </w:pPr>
      <w:r>
        <w:rPr>
          <w:rFonts w:ascii="SarasaMonoSC" w:cs="SarasaMonoSC" w:eastAsia="SarasaMonoSC" w:hAnsi="SarasaMonoSC"/>
          <w:color w:val="0F172A"/>
          <w:sz w:val="18"/>
          <w:szCs w:val="18"/>
        </w:rPr>
        <w:t xml:space="preserve">  "lang": "az",</w:t>
      </w:r>
    </w:p>
    <w:p>
      <w:pPr>
        <w:spacing w:after="80" w:line="250"/>
        <w:ind w:left="400"/>
      </w:pPr>
      <w:r>
        <w:rPr>
          <w:rFonts w:ascii="SarasaMonoSC" w:cs="SarasaMonoSC" w:eastAsia="SarasaMonoSC" w:hAnsi="SarasaMonoSC"/>
          <w:color w:val="0F172A"/>
          <w:sz w:val="18"/>
          <w:szCs w:val="18"/>
        </w:rPr>
        <w:t xml:space="preserve">  "redirect_url": null,</w:t>
      </w:r>
    </w:p>
    <w:p>
      <w:pPr>
        <w:spacing w:after="80" w:line="250"/>
        <w:ind w:left="400"/>
      </w:pPr>
      <w:r>
        <w:rPr>
          <w:rFonts w:ascii="SarasaMonoSC" w:cs="SarasaMonoSC" w:eastAsia="SarasaMonoSC" w:hAnsi="SarasaMonoSC"/>
          <w:color w:val="0F172A"/>
          <w:sz w:val="18"/>
          <w:szCs w:val="18"/>
        </w:rPr>
        <w:t xml:space="preserve">  "webhook_url": "https://cuzdan.az",</w:t>
      </w:r>
    </w:p>
    <w:p>
      <w:pPr>
        <w:spacing w:after="80" w:line="250"/>
        <w:ind w:left="400"/>
      </w:pPr>
      <w:r>
        <w:rPr>
          <w:rFonts w:ascii="SarasaMonoSC" w:cs="SarasaMonoSC" w:eastAsia="SarasaMonoSC" w:hAnsi="SarasaMonoSC"/>
          <w:color w:val="0F172A"/>
          <w:sz w:val="18"/>
          <w:szCs w:val="18"/>
        </w:rPr>
        <w:t xml:space="preserve">  "description": "Mən, &lt;Ad Soyad AtaAd&gt;, \"Embafinans\"a &lt;məbləğ&gt; &lt;valyuta&gt; məbləğində kredit əldə etmək üçün könülsü olaraq müraciət edirəm."</w:t>
      </w:r>
    </w:p>
    <w:p>
      <w:pPr>
        <w:spacing w:after="80" w:line="250"/>
        <w:ind w:left="400"/>
      </w:pPr>
      <w:r>
        <w:rPr>
          <w:rFonts w:ascii="SarasaMonoSC" w:cs="SarasaMonoSC" w:eastAsia="SarasaMonoSC" w:hAnsi="SarasaMonoSC"/>
          <w:color w:val="0F172A"/>
          <w:sz w:val="18"/>
          <w:szCs w:val="18"/>
        </w:rPr>
        <w:t xml:space="preserve">}</w:t>
      </w:r>
    </w:p>
    <w:p>
      <w:pPr>
        <w:spacing w:after="120" w:line="250"/>
        <w:ind w:left="400"/>
      </w:pPr>
      <w:r>
        <w:rPr>
          <w:rFonts w:ascii="Microsoft YaHei" w:cs="Microsoft YaHei" w:eastAsia="Microsoft YaHei" w:hAnsi="Microsoft YaHei"/>
          <w:i/>
          <w:iCs/>
          <w:color w:val="9AA6B2"/>
          <w:sz w:val="20"/>
          <w:szCs w:val="20"/>
        </w:rPr>
        <w:t xml:space="preserve">ℹ webhook_url həmişə “https://cuzdan.az” olaraq göndərilir. description Azərbaycan dilindədir və müştərinin adı, soyadı, məbləği və valyutası ehtiva edir.</w:t>
      </w:r>
    </w:p>
    <w:p>
      <w:pPr>
        <w:spacing w:after="120" w:line="250"/>
        <w:ind w:firstLine="420"/>
        <w:jc w:val="left"/>
      </w:pPr>
      <w:r>
        <w:rPr>
          <w:rFonts w:ascii="Microsoft YaHei" w:cs="Microsoft YaHei" w:eastAsia="Microsoft YaHei" w:hAnsi="Microsoft YaHei"/>
          <w:color w:val="0F172A"/>
          <w:sz w:val="21"/>
          <w:szCs w:val="21"/>
        </w:rPr>
        <w:t xml:space="preserve">Uğurlu cavab (HTTP 200 + boş olmayan body) halında videoRecordingId saxlanılır və müştəriyə video çəkilişi URL-i göndərilir.</w:t>
      </w:r>
    </w:p>
    <w:p>
      <w:pPr>
        <w:pStyle w:val="Heading2"/>
        <w:spacing w:after="200" w:before="400" w:line="250"/>
      </w:pPr>
      <w:r>
        <w:rPr>
          <w:rFonts w:ascii="SimHei" w:cs="SimHei" w:eastAsia="SimHei" w:hAnsi="SimHei"/>
          <w:b/>
          <w:bCs/>
          <w:color w:val="2B2B2B"/>
          <w:sz w:val="28"/>
          <w:szCs w:val="28"/>
        </w:rPr>
        <w:t xml:space="preserve">8.3. Video URL-i</w:t>
      </w:r>
    </w:p>
    <w:p>
      <w:pPr>
        <w:spacing w:after="120" w:line="250"/>
        <w:ind w:firstLine="420"/>
        <w:jc w:val="left"/>
      </w:pPr>
      <w:r>
        <w:rPr>
          <w:rFonts w:ascii="Microsoft YaHei" w:cs="Microsoft YaHei" w:eastAsia="Microsoft YaHei" w:hAnsi="Microsoft YaHei"/>
          <w:color w:val="0F172A"/>
          <w:sz w:val="21"/>
          <w:szCs w:val="21"/>
        </w:rPr>
        <w:t xml:space="preserve">Müştəri video çəkmək üçən URL alanda, sistem iki halı fərqləndirir: əgər bu ilk cəhddirsə (attempts=1) və initialUrl mövcuddursa, orijinal URL istifadə olunur; əks halda {video_recording.url}/videos/{videoRecordingId} formatında yeni URL generasiya olunur.</w:t>
      </w:r>
    </w:p>
    <w:p>
      <w:pPr>
        <w:spacing w:after="120" w:line="250"/>
        <w:jc w:val="left"/>
      </w:pPr>
      <w:r>
        <w:rPr>
          <w:rFonts w:ascii="Microsoft YaHei" w:cs="Microsoft YaHei" w:eastAsia="Microsoft YaHei" w:hAnsi="Microsoft YaHei"/>
          <w:color w:val="0F172A"/>
          <w:sz w:val="21"/>
          <w:szCs w:val="21"/>
        </w:rPr>
        <w:t xml:space="preserve">URL formatı: {url}/videos/{videoRecordingId}</w:t>
      </w:r>
    </w:p>
    <w:p>
      <w:pPr>
        <w:pStyle w:val="Heading2"/>
        <w:spacing w:after="200" w:before="400" w:line="250"/>
      </w:pPr>
      <w:r>
        <w:rPr>
          <w:rFonts w:ascii="SimHei" w:cs="SimHei" w:eastAsia="SimHei" w:hAnsi="SimHei"/>
          <w:b/>
          <w:bCs/>
          <w:color w:val="2B2B2B"/>
          <w:sz w:val="28"/>
          <w:szCs w:val="28"/>
        </w:rPr>
        <w:t xml:space="preserve">8.4. Video çəkilişinin yoxlanılması (Check Video)</w:t>
      </w:r>
    </w:p>
    <w:p>
      <w:pPr>
        <w:spacing w:after="120" w:line="250"/>
        <w:ind w:firstLine="420"/>
        <w:jc w:val="left"/>
      </w:pPr>
      <w:r>
        <w:rPr>
          <w:rFonts w:ascii="Microsoft YaHei" w:cs="Microsoft YaHei" w:eastAsia="Microsoft YaHei" w:hAnsi="Microsoft YaHei"/>
          <w:color w:val="0F172A"/>
          <w:sz w:val="21"/>
          <w:szCs w:val="21"/>
        </w:rPr>
        <w:t xml:space="preserve">VideoRecordingCheckJob avtomatik olaraq hələ video çəkməmiş müraciətləri yoxlayır. Bu job müəyyən tarix aralığında aktiv müraciətləri tapıb, hər birinin video çəkilişinin başa çatdığını yoxlayır.</w:t>
      </w:r>
    </w:p>
    <w:p>
      <w:pPr>
        <w:spacing w:after="120" w:line="250"/>
        <w:ind w:firstLine="420"/>
        <w:jc w:val="left"/>
      </w:pPr>
      <w:r>
        <w:rPr>
          <w:rFonts w:ascii="Microsoft YaHei" w:cs="Microsoft YaHei" w:eastAsia="Microsoft YaHei" w:hAnsi="Microsoft YaHei"/>
          <w:color w:val="0F172A"/>
          <w:sz w:val="21"/>
          <w:szCs w:val="21"/>
        </w:rPr>
        <w:t xml:space="preserve">Yoxlama üçün iki URL nömrəsi mövcuddur. Hər birinə HTTP HEAD request göndərilir. Uğur meyarları: HTTP status 200 və Content-Length &gt; 524288 bayt (512 KB). Yəni video faylı minimum 512 KB olmalıdır, ki bu qısa və ya boş video fayllarını filtrləyir.</w:t>
      </w:r>
    </w:p>
    <w:p>
      <w:pPr>
        <w:pStyle w:val="Heading2"/>
        <w:spacing w:after="200" w:before="400" w:line="250"/>
      </w:pPr>
      <w:r>
        <w:rPr>
          <w:rFonts w:ascii="SimHei" w:cs="SimHei" w:eastAsia="SimHei" w:hAnsi="SimHei"/>
          <w:b/>
          <w:bCs/>
          <w:color w:val="2B2B2B"/>
          <w:sz w:val="28"/>
          <w:szCs w:val="28"/>
        </w:rPr>
        <w:t xml:space="preserve">8.5. Data Strukturu</w:t>
      </w:r>
    </w:p>
    <w:p>
      <w:pPr>
        <w:spacing w:after="150" w:before="300" w:line="250"/>
      </w:pPr>
      <w:r>
        <w:rPr>
          <w:rFonts w:ascii="SimHei" w:cs="SimHei" w:eastAsia="SimHei" w:hAnsi="SimHei"/>
          <w:b/>
          <w:bCs/>
          <w:color w:val="2B2B2B"/>
          <w:sz w:val="24"/>
          <w:szCs w:val="24"/>
        </w:rPr>
        <w:t xml:space="preserve">VideoRecordingData (addon_video_recording_data cədvəli)</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800"/>
        <w:gridCol w:w="5000"/>
      </w:tblGrid>
      <w:tr>
        <w:trPr>
          <w:tblHeader/>
        </w:trPr>
        <w:tc>
          <w:tcPr>
            <w:tcW w:type="dxa" w:w="22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Field</w:t>
            </w:r>
          </w:p>
        </w:tc>
        <w:tc>
          <w:tcPr>
            <w:tcW w:type="dxa" w:w="18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Tip</w:t>
            </w:r>
          </w:p>
        </w:tc>
        <w:tc>
          <w:tcPr>
            <w:tcW w:type="dxa" w:w="5000"/>
            <w:tcBorders>
              <w:top w:val="single" w:color="9AA6B2" w:sz="8"/>
              <w:left w:val="nil"/>
              <w:bottom w:val="single" w:color="9AA6B2" w:sz="8"/>
              <w:right w:val="nil"/>
            </w:tcBorders>
            <w:shd w:fill="F1F5F9" w:val="clear"/>
            <w:vAlign w:val="center"/>
          </w:tcPr>
          <w:p>
            <w:pPr>
              <w:jc w:val="center"/>
            </w:pPr>
            <w:r>
              <w:rPr>
                <w:rFonts w:ascii="SimHei" w:cs="SimHei" w:eastAsia="SimHei" w:hAnsi="SimHei"/>
                <w:b/>
                <w:bCs/>
                <w:color w:val="0B1220"/>
                <w:sz w:val="20"/>
                <w:szCs w:val="20"/>
              </w:rPr>
              <w:t xml:space="preserve">Təsvir</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uuid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String(32)</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Unikal identifikator</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videoRecordingId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String(50)</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 xidməti tərəfindən verilən ID (unique)</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initialUrl</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String</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İlk video URL (Cüzdan tərəfindən verilə bilər)</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attempts</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Integer</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Cəhd sayı</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recorded</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Boolean</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Video çəkilib</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shopClient</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ShopClient (FK)</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İlişkili shop client</w:t>
            </w:r>
          </w:p>
        </w:tc>
      </w:tr>
      <w:tr>
        <w:tc>
          <w:tcPr>
            <w:tcW w:type="dxa" w:w="22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retailClient</w:t>
            </w:r>
          </w:p>
        </w:tc>
        <w:tc>
          <w:tcPr>
            <w:tcW w:type="dxa" w:w="18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RetailClient (FK)</w:t>
            </w:r>
          </w:p>
        </w:tc>
        <w:tc>
          <w:tcPr>
            <w:tcW w:type="dxa" w:w="5000"/>
            <w:tcBorders>
              <w:top w:val="single" w:color="9AA6B2" w:sz="8"/>
              <w:left w:val="nil"/>
              <w:bottom w:val="single" w:color="9AA6B2" w:sz="8"/>
              <w:right w:val="nil"/>
            </w:tcBorders>
            <w:vAlign w:val="center"/>
          </w:tcPr>
          <w:p>
            <w:pPr>
              <w:spacing w:line="250"/>
              <w:jc w:val="left"/>
            </w:pPr>
            <w:r>
              <w:rPr>
                <w:rFonts w:ascii="Microsoft YaHei" w:cs="Microsoft YaHei" w:eastAsia="Microsoft YaHei" w:hAnsi="Microsoft YaHei"/>
                <w:color w:val="0F172A"/>
                <w:sz w:val="20"/>
                <w:szCs w:val="20"/>
              </w:rPr>
              <w:t xml:space="preserve">İlişkili retail client</w:t>
            </w:r>
          </w:p>
        </w:tc>
      </w:tr>
    </w:tbl>
    <w:p>
      <w:pPr>
        <w:spacing w:after="200" w:before="60"/>
        <w:jc w:val="center"/>
      </w:pPr>
      <w:r>
        <w:rPr>
          <w:rFonts w:ascii="Microsoft YaHei" w:cs="Microsoft YaHei" w:eastAsia="Microsoft YaHei" w:hAnsi="Microsoft YaHei"/>
          <w:color w:val="9AA6B2"/>
          <w:sz w:val="18"/>
          <w:szCs w:val="18"/>
        </w:rPr>
        <w:t xml:space="preserve">Cədvəl 11: VideoRecordingData data strukturu</w:t>
      </w:r>
    </w:p>
    <w:p>
      <w:pPr>
        <w:pStyle w:val="Heading2"/>
        <w:spacing w:after="200" w:before="400" w:line="250"/>
      </w:pPr>
      <w:r>
        <w:rPr>
          <w:rFonts w:ascii="SimHei" w:cs="SimHei" w:eastAsia="SimHei" w:hAnsi="SimHei"/>
          <w:b/>
          <w:bCs/>
          <w:color w:val="2B2B2B"/>
          <w:sz w:val="28"/>
          <w:szCs w:val="28"/>
        </w:rPr>
        <w:t xml:space="preserve">8.6. Cüzdan ilə qarşılıqlı əlaqə</w:t>
      </w:r>
    </w:p>
    <w:p>
      <w:pPr>
        <w:spacing w:after="120" w:line="250"/>
        <w:ind w:firstLine="420"/>
        <w:jc w:val="left"/>
      </w:pPr>
      <w:r>
        <w:rPr>
          <w:rFonts w:ascii="Microsoft YaHei" w:cs="Microsoft YaHei" w:eastAsia="Microsoft YaHei" w:hAnsi="Microsoft YaHei"/>
          <w:color w:val="0F172A"/>
          <w:sz w:val="21"/>
          <w:szCs w:val="21"/>
        </w:rPr>
        <w:t xml:space="preserve">Video Recording inteqrasiyası Cüzdan inteqrasiyası ilə sıx əlaqəlidir. CüzdanMobileService üzrə müraciət yaradılarkən videoRecordingUrl field-i təqdim oluna bilər. Bu URL-dan videoId çıxarılır (URL-nin son hissəsi) və VideoRecordingData qeydi yaradılır. Beləliklə, müştəri Cüzdan tətbiqində video çəkdiyi zaman, bu məlumat EmbaFinans sistemində də avtomatik qeyd olunur. Eyni zamanda, webhook_url “https://cuzdan.az” olaraq hardcoded verilir, bu da video çəkilişi xidmətinin Cüzdan ekosisteminin bir parçası olduğunu göstərir.</w:t>
      </w:r>
    </w:p>
    <w:p>
      <w:pPr>
        <w:pStyle w:val="Heading1"/>
        <w:spacing w:after="300" w:before="600" w:line="250"/>
      </w:pPr>
      <w:r>
        <w:rPr>
          <w:rFonts w:ascii="SimHei" w:cs="SimHei" w:eastAsia="SimHei" w:hAnsi="SimHei"/>
          <w:b/>
          <w:bCs/>
          <w:color w:val="0B1220"/>
          <w:sz w:val="32"/>
          <w:szCs w:val="32"/>
        </w:rPr>
        <w:t xml:space="preserve">9. İnteqrasiya Arxitekturası Ümumi Baxış</w:t>
      </w:r>
    </w:p>
    <w:p>
      <w:pPr>
        <w:spacing w:after="120" w:line="250"/>
        <w:ind w:firstLine="420"/>
        <w:jc w:val="left"/>
      </w:pPr>
      <w:r>
        <w:rPr>
          <w:rFonts w:ascii="Microsoft YaHei" w:cs="Microsoft YaHei" w:eastAsia="Microsoft YaHei" w:hAnsi="Microsoft YaHei"/>
          <w:color w:val="0F172A"/>
          <w:sz w:val="21"/>
          <w:szCs w:val="21"/>
        </w:rPr>
        <w:t xml:space="preserve">Bütün inteqrasiyalar EmbafinanceAddonController sinfi vasitəsilə idarə olunur. Bu sinif əsasən Spring framework üzərində konfiqurasiya olunur və hər bir inteqrasiya kontrolleri InitializingBean interface-ini implement edir. Konfiqurasiya parametrləri properties fayllarından $[parametr.adı] formatında oxunur.</w:t>
      </w:r>
    </w:p>
    <w:p>
      <w:pPr>
        <w:spacing w:after="120" w:line="250"/>
        <w:ind w:firstLine="420"/>
        <w:jc w:val="left"/>
      </w:pPr>
      <w:r>
        <w:rPr>
          <w:rFonts w:ascii="Microsoft YaHei" w:cs="Microsoft YaHei" w:eastAsia="Microsoft YaHei" w:hAnsi="Microsoft YaHei"/>
          <w:color w:val="0F172A"/>
          <w:sz w:val="21"/>
          <w:szCs w:val="21"/>
        </w:rPr>
        <w:t xml:space="preserve">Cüzdan inteqrasiyası xüsusi bir yer tutur — o həm outbound (Cüzdana callback göndərmək, top-up), həm də inbound (Cüzdan tərəfindən müraciət yaratmaq, PayOut webhook) əlaqələrini əhatə edir. Video Recording isə şəxsiyyət təsdiqi üçün istifadə olunur və Cüzdan ekosistemi ilə sıx inteqrasiyada işləyir.</w:t>
      </w:r>
    </w:p>
    <w:p>
      <w:pPr>
        <w:spacing w:after="120" w:line="250"/>
        <w:ind w:firstLine="420"/>
        <w:jc w:val="left"/>
      </w:pPr>
      <w:r>
        <w:rPr>
          <w:rFonts w:ascii="Microsoft YaHei" w:cs="Microsoft YaHei" w:eastAsia="Microsoft YaHei" w:hAnsi="Microsoft YaHei"/>
          <w:color w:val="0F172A"/>
          <w:sz w:val="21"/>
          <w:szCs w:val="21"/>
        </w:rPr>
        <w:t xml:space="preserve">Sistemdə məlumatların saxlanması üçün Hibernate ORM istifadə olunur. Hər bir inteqrasiya üçün ayrı cədvəllər (addon_card_transfer_data, addon_video_recording_data və s.) mövcuddur. Bütün əməliyyatların tarixi CardTransferDataCall cədvəlində saxlanılır, bu da audit və debug üçün əhəmiyyətlidir.</w:t>
      </w:r>
    </w:p>
    <w:sectPr>
      <w:headerReference w:type="default" r:id="rId7"/>
      <w:footerReference w:type="default" r:id="rId8"/>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9AA6B2"/>
        <w:sz w:val="18"/>
        <w:szCs w:val="18"/>
      </w:rPr>
      <w:t xml:space="preserve">Səhifə </w:t>
    </w:r>
    <w:r>
      <w:rPr>
        <w:rFonts w:ascii="Microsoft YaHei" w:cs="Microsoft YaHei" w:eastAsia="Microsoft YaHei" w:hAnsi="Microsoft YaHei"/>
        <w:color w:val="9AA6B2"/>
        <w:sz w:val="18"/>
        <w:szCs w:val="18"/>
      </w:rPr>
      <w:fldChar w:fldCharType="begin"/>
      <w:instrText xml:space="preserve">PAGE</w:instrText>
      <w:fldChar w:fldCharType="separate"/>
      <w:fldChar w:fldCharType="end"/>
    </w:r>
    <w:r>
      <w:rPr>
        <w:rFonts w:ascii="Microsoft YaHei" w:cs="Microsoft YaHei" w:eastAsia="Microsoft YaHei" w:hAnsi="Microsoft YaHei"/>
        <w:color w:val="9AA6B2"/>
        <w:sz w:val="18"/>
        <w:szCs w:val="18"/>
      </w:rPr>
      <w:t xml:space="preserve"> / </w:t>
    </w:r>
    <w:r>
      <w:rPr>
        <w:rFonts w:ascii="Microsoft YaHei" w:cs="Microsoft YaHei" w:eastAsia="Microsoft YaHei" w:hAnsi="Microsoft YaHei"/>
        <w:color w:val="9AA6B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icrosoft YaHei" w:cs="Microsoft YaHei" w:eastAsia="Microsoft YaHei" w:hAnsi="Microsoft YaHei"/>
        <w:color w:val="9AA6B2"/>
        <w:sz w:val="18"/>
        <w:szCs w:val="18"/>
      </w:rPr>
      <w:t xml:space="preserve">Tekniki İnteqrasiya Sənədi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line="250"/>
      <w:outlineLvl w:val="0"/>
    </w:pPr>
    <w:rPr>
      <w:rFonts w:ascii="SimHei" w:cs="SimHei" w:eastAsia="SimHei" w:hAnsi="SimHei"/>
      <w:b/>
      <w:bCs/>
      <w:color w:val="0B1220"/>
      <w:sz w:val="32"/>
      <w:szCs w:val="32"/>
    </w:rPr>
  </w:style>
  <w:style w:type="paragraph" w:styleId="Heading2">
    <w:name w:val="Heading 2"/>
    <w:basedOn w:val="Normal"/>
    <w:next w:val="Normal"/>
    <w:qFormat/>
    <w:pPr>
      <w:spacing w:after="200" w:before="400" w:line="250"/>
      <w:outlineLvl w:val="1"/>
    </w:pPr>
    <w:rPr>
      <w:rFonts w:ascii="SimHei" w:cs="SimHei" w:eastAsia="SimHei" w:hAnsi="SimHei"/>
      <w:b/>
      <w:bCs/>
      <w:color w:val="2B2B2B"/>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2026-04-06T21:34:43.978Z</dcterms:created>
  <dcterms:modified xsi:type="dcterms:W3CDTF">2026-04-06T21:34:43.978Z</dcterms:modified>
</cp:coreProperties>
</file>

<file path=docProps/custom.xml><?xml version="1.0" encoding="utf-8"?>
<Properties xmlns="http://schemas.openxmlformats.org/officeDocument/2006/custom-properties" xmlns:vt="http://schemas.openxmlformats.org/officeDocument/2006/docPropsVTypes"/>
</file>