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60"/>
      </w:pPr>
      <w:r>
        <w:rPr>
          <w:rFonts w:ascii="Aptos" w:hAnsi="Aptos"/>
          <w:b/>
          <w:i w:val="0"/>
          <w:color w:val="6E4BC4"/>
          <w:sz w:val="17"/>
        </w:rPr>
        <w:t>BANK PARTNERSHIP PROPOSAL</w:t>
      </w:r>
    </w:p>
    <w:p>
      <w:pPr>
        <w:pStyle w:val="Title"/>
      </w:pPr>
      <w:r>
        <w:rPr>
          <w:rFonts w:ascii="Aptos" w:hAnsi="Aptos"/>
          <w:b/>
          <w:i w:val="0"/>
          <w:color w:val="171713"/>
          <w:sz w:val="58"/>
        </w:rPr>
        <w:t>One customer checkout.</w:t>
        <w:br/>
        <w:t>Many local merchants.</w:t>
      </w:r>
    </w:p>
    <w:p>
      <w:pPr>
        <w:pStyle w:val="Subtitle"/>
      </w:pPr>
      <w:r>
        <w:rPr>
          <w:rFonts w:ascii="Aptos" w:hAnsi="Aptos"/>
          <w:b w:val="0"/>
          <w:i w:val="0"/>
          <w:color w:val="706A62"/>
          <w:sz w:val="26"/>
        </w:rPr>
        <w:t>NeuroCity marketplace payments and split-settlement discussion pack</w:t>
      </w:r>
    </w:p>
    <w:tbl>
      <w:tblPr>
        <w:tblW w:type="dxa" w:w="9360"/>
        <w:jc w:val="center"/>
        <w:tblLayout w:type="fixed"/>
        <w:tblLook w:firstColumn="1" w:firstRow="1" w:lastColumn="0" w:lastRow="0" w:noHBand="0" w:noVBand="1" w:val="04A0"/>
      </w:tblPr>
      <w:tblGrid>
        <w:gridCol w:w="9360"/>
      </w:tblGrid>
      <w:tr>
        <w:tc>
          <w:tcPr>
            <w:tcW w:type="dxa" w:w="9360"/>
            <w:shd w:fill="F1ECFF"/>
            <w:tcMar>
              <w:top w:w="100" w:type="dxa"/>
              <w:start w:w="130" w:type="dxa"/>
              <w:bottom w:w="100" w:type="dxa"/>
              <w:end w:w="130" w:type="dxa"/>
            </w:tcMar>
            <w:vAlign w:val="center"/>
          </w:tcPr>
          <w:p>
            <w:pPr>
              <w:spacing w:after="80"/>
            </w:pPr>
            <w:r>
              <w:rPr>
                <w:rFonts w:ascii="Aptos" w:hAnsi="Aptos"/>
                <w:b/>
                <w:i w:val="0"/>
                <w:color w:val="503393"/>
                <w:sz w:val="22"/>
              </w:rPr>
              <w:t>The meeting objective</w:t>
            </w:r>
          </w:p>
          <w:p>
            <w:pPr>
              <w:spacing w:after="0"/>
            </w:pPr>
            <w:r>
              <w:rPr>
                <w:rFonts w:ascii="Aptos" w:hAnsi="Aptos"/>
                <w:b w:val="0"/>
                <w:i w:val="0"/>
                <w:color w:val="171713"/>
                <w:sz w:val="20"/>
              </w:rPr>
              <w:t>Determine whether Nedbank can enable a compliant marketplace payment model in Namibia where a customer pays once, the transaction is allocated across multiple merchants, and NeuroCity receives its platform fee without holding merchant funds in its ordinary operating account.</w:t>
            </w:r>
          </w:p>
        </w:tc>
      </w:tr>
    </w:tbl>
    <w:p>
      <w:pPr>
        <w:spacing w:after="20"/>
      </w:pPr>
    </w:p>
    <w:tbl>
      <w:tblPr>
        <w:tblStyle w:val="TableGrid"/>
        <w:tblW w:type="dxa" w:w="9360"/>
        <w:jc w:val="center"/>
        <w:tblLayout w:type="fixed"/>
        <w:tblLook w:firstColumn="1" w:firstRow="1" w:lastColumn="0" w:lastRow="0" w:noHBand="0" w:noVBand="1" w:val="04A0"/>
      </w:tblPr>
      <w:tblGrid>
        <w:gridCol w:w="2100"/>
        <w:gridCol w:w="7260"/>
      </w:tblGrid>
      <w:tr>
        <w:tc>
          <w:tcPr>
            <w:tcW w:type="dxa" w:w="21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Prepared for</w:t>
            </w:r>
          </w:p>
        </w:tc>
        <w:tc>
          <w:tcPr>
            <w:tcW w:type="dxa" w:w="726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Nedbank Namibia</w:t>
            </w:r>
          </w:p>
        </w:tc>
      </w:tr>
      <w:tr>
        <w:tc>
          <w:tcPr>
            <w:tcW w:type="dxa" w:w="2100"/>
            <w:tcMar>
              <w:top w:w="100" w:type="dxa"/>
              <w:start w:w="130" w:type="dxa"/>
              <w:bottom w:w="100" w:type="dxa"/>
              <w:end w:w="130" w:type="dxa"/>
            </w:tcMar>
            <w:vAlign w:val="center"/>
          </w:tcPr>
          <w:p>
            <w:pPr>
              <w:spacing w:after="0" w:line="252" w:lineRule="auto"/>
            </w:pPr>
            <w:r>
              <w:rPr>
                <w:rFonts w:ascii="Aptos" w:hAnsi="Aptos"/>
                <w:b w:val="0"/>
                <w:i w:val="0"/>
                <w:color w:val="171713"/>
                <w:sz w:val="18"/>
              </w:rPr>
              <w:t>Prepared by</w:t>
            </w:r>
          </w:p>
        </w:tc>
        <w:tc>
          <w:tcPr>
            <w:tcW w:type="dxa" w:w="7260"/>
            <w:tcMar>
              <w:top w:w="100" w:type="dxa"/>
              <w:start w:w="130" w:type="dxa"/>
              <w:bottom w:w="100" w:type="dxa"/>
              <w:end w:w="130" w:type="dxa"/>
            </w:tcMar>
            <w:vAlign w:val="center"/>
          </w:tcPr>
          <w:p>
            <w:pPr>
              <w:spacing w:after="0" w:line="252" w:lineRule="auto"/>
            </w:pPr>
            <w:r>
              <w:rPr>
                <w:rFonts w:ascii="Aptos" w:hAnsi="Aptos"/>
                <w:b w:val="0"/>
                <w:i w:val="0"/>
                <w:color w:val="171713"/>
                <w:sz w:val="18"/>
              </w:rPr>
              <w:t>Sergej Witbooi, NeuroCity</w:t>
            </w:r>
          </w:p>
        </w:tc>
      </w:tr>
      <w:tr>
        <w:tc>
          <w:tcPr>
            <w:tcW w:type="dxa" w:w="21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Pilot market</w:t>
            </w:r>
          </w:p>
        </w:tc>
        <w:tc>
          <w:tcPr>
            <w:tcW w:type="dxa" w:w="726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Windhoek, Namibia</w:t>
            </w:r>
          </w:p>
        </w:tc>
      </w:tr>
      <w:tr>
        <w:tc>
          <w:tcPr>
            <w:tcW w:type="dxa" w:w="2100"/>
            <w:tcMar>
              <w:top w:w="100" w:type="dxa"/>
              <w:start w:w="130" w:type="dxa"/>
              <w:bottom w:w="100" w:type="dxa"/>
              <w:end w:w="130" w:type="dxa"/>
            </w:tcMar>
            <w:vAlign w:val="center"/>
          </w:tcPr>
          <w:p>
            <w:pPr>
              <w:spacing w:after="0" w:line="252" w:lineRule="auto"/>
            </w:pPr>
            <w:r>
              <w:rPr>
                <w:rFonts w:ascii="Aptos" w:hAnsi="Aptos"/>
                <w:b w:val="0"/>
                <w:i w:val="0"/>
                <w:color w:val="171713"/>
                <w:sz w:val="18"/>
              </w:rPr>
              <w:t>Reference merchant</w:t>
            </w:r>
          </w:p>
        </w:tc>
        <w:tc>
          <w:tcPr>
            <w:tcW w:type="dxa" w:w="7260"/>
            <w:tcMar>
              <w:top w:w="100" w:type="dxa"/>
              <w:start w:w="130" w:type="dxa"/>
              <w:bottom w:w="100" w:type="dxa"/>
              <w:end w:w="130" w:type="dxa"/>
            </w:tcMar>
            <w:vAlign w:val="center"/>
          </w:tcPr>
          <w:p>
            <w:pPr>
              <w:spacing w:after="0" w:line="252" w:lineRule="auto"/>
            </w:pPr>
            <w:r>
              <w:rPr>
                <w:rFonts w:ascii="Aptos" w:hAnsi="Aptos"/>
                <w:b w:val="0"/>
                <w:i w:val="0"/>
                <w:color w:val="171713"/>
                <w:sz w:val="18"/>
              </w:rPr>
              <w:t>LightWork Clothing</w:t>
            </w:r>
          </w:p>
        </w:tc>
      </w:tr>
      <w:tr>
        <w:tc>
          <w:tcPr>
            <w:tcW w:type="dxa" w:w="21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Current platform</w:t>
            </w:r>
          </w:p>
        </w:tc>
        <w:tc>
          <w:tcPr>
            <w:tcW w:type="dxa" w:w="726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Public marketplace, merchant onboarding, catalogue, inventory, cart, checkout, orders, EFT proof and fulfilment workflows</w:t>
            </w:r>
          </w:p>
        </w:tc>
      </w:tr>
    </w:tbl>
    <w:p>
      <w:pPr>
        <w:spacing w:after="20"/>
      </w:pPr>
    </w:p>
    <w:p>
      <w:pPr>
        <w:spacing w:after="560"/>
      </w:pPr>
    </w:p>
    <w:p>
      <w:pPr>
        <w:spacing w:after="60"/>
      </w:pPr>
      <w:r>
        <w:rPr>
          <w:rFonts w:ascii="Aptos" w:hAnsi="Aptos"/>
          <w:b/>
          <w:i w:val="0"/>
          <w:color w:val="21633A"/>
          <w:sz w:val="17"/>
        </w:rPr>
        <w:t>REQUESTED OUTCOME</w:t>
      </w:r>
    </w:p>
    <w:p>
      <w:pPr>
        <w:pStyle w:val="ListBullet"/>
      </w:pPr>
      <w:r>
        <w:rPr>
          <w:rFonts w:ascii="Aptos" w:hAnsi="Aptos"/>
          <w:b w:val="0"/>
          <w:i w:val="0"/>
          <w:color w:val="171713"/>
          <w:sz w:val="20"/>
        </w:rPr>
        <w:t>A named Nedbank product or partnership route for marketplace ecommerce.</w:t>
      </w:r>
    </w:p>
    <w:p>
      <w:pPr>
        <w:pStyle w:val="ListBullet"/>
      </w:pPr>
      <w:r>
        <w:rPr>
          <w:rFonts w:ascii="Aptos" w:hAnsi="Aptos"/>
          <w:b w:val="0"/>
          <w:i w:val="0"/>
          <w:color w:val="171713"/>
          <w:sz w:val="20"/>
        </w:rPr>
        <w:t>Clarity on submerchant onboarding, split settlement, refunds and reconciliation.</w:t>
      </w:r>
    </w:p>
    <w:p>
      <w:pPr>
        <w:pStyle w:val="ListBullet"/>
      </w:pPr>
      <w:r>
        <w:rPr>
          <w:rFonts w:ascii="Aptos" w:hAnsi="Aptos"/>
          <w:b w:val="0"/>
          <w:i w:val="0"/>
          <w:color w:val="171713"/>
          <w:sz w:val="20"/>
        </w:rPr>
        <w:t>A technical contact, compliance contact, API or sandbox path, and pilot requirements.</w:t>
      </w:r>
    </w:p>
    <w:p>
      <w:pPr>
        <w:pStyle w:val="ListBullet"/>
      </w:pPr>
      <w:r>
        <w:rPr>
          <w:rFonts w:ascii="Aptos" w:hAnsi="Aptos"/>
          <w:b w:val="0"/>
          <w:i w:val="0"/>
          <w:color w:val="171713"/>
          <w:sz w:val="20"/>
        </w:rPr>
        <w:t>A joint view on Bank of Namibia authorisation and the responsibilities of each party.</w:t>
      </w:r>
    </w:p>
    <w:p>
      <w:r>
        <w:br w:type="page"/>
      </w:r>
    </w:p>
    <w:p>
      <w:pPr>
        <w:pStyle w:val="Heading1"/>
      </w:pPr>
      <w:r>
        <w:t>1. Executive summary</w:t>
      </w:r>
    </w:p>
    <w:p>
      <w:r>
        <w:rPr>
          <w:rFonts w:ascii="Aptos" w:hAnsi="Aptos"/>
          <w:b w:val="0"/>
          <w:i w:val="0"/>
          <w:color w:val="171713"/>
          <w:sz w:val="21"/>
        </w:rPr>
        <w:t>NeuroCity is a Windhoek-first digital mall that gives approved local merchants independent storefronts, catalogues, inventory controls, customer conversations and order-management software. The first reference merchant is LightWork Clothing.</w:t>
      </w:r>
    </w:p>
    <w:p>
      <w:r>
        <w:rPr>
          <w:rFonts w:ascii="Aptos" w:hAnsi="Aptos"/>
          <w:b w:val="0"/>
          <w:i w:val="0"/>
          <w:color w:val="171713"/>
          <w:sz w:val="21"/>
        </w:rPr>
        <w:t>The next commercial capability is a unified basket: a customer should add products from several NeuroCity stores and make one payment. Behind that single customer experience, each merchant must still receive a separate order, fulfil independently and be paid the correct amount.</w:t>
      </w:r>
    </w:p>
    <w:tbl>
      <w:tblPr>
        <w:tblW w:type="dxa" w:w="9360"/>
        <w:jc w:val="center"/>
        <w:tblLayout w:type="fixed"/>
        <w:tblLook w:firstColumn="1" w:firstRow="1" w:lastColumn="0" w:lastRow="0" w:noHBand="0" w:noVBand="1" w:val="04A0"/>
      </w:tblPr>
      <w:tblGrid>
        <w:gridCol w:w="9360"/>
      </w:tblGrid>
      <w:tr>
        <w:tc>
          <w:tcPr>
            <w:tcW w:type="dxa" w:w="9360"/>
            <w:shd w:fill="E7F5EC"/>
            <w:tcMar>
              <w:top w:w="100" w:type="dxa"/>
              <w:start w:w="130" w:type="dxa"/>
              <w:bottom w:w="100" w:type="dxa"/>
              <w:end w:w="130" w:type="dxa"/>
            </w:tcMar>
            <w:vAlign w:val="center"/>
          </w:tcPr>
          <w:p>
            <w:pPr>
              <w:spacing w:after="80"/>
            </w:pPr>
            <w:r>
              <w:rPr>
                <w:rFonts w:ascii="Aptos" w:hAnsi="Aptos"/>
                <w:b/>
                <w:i w:val="0"/>
                <w:color w:val="21633A"/>
                <w:sz w:val="22"/>
              </w:rPr>
              <w:t>Recommended operating principle</w:t>
            </w:r>
          </w:p>
          <w:p>
            <w:pPr>
              <w:spacing w:after="0"/>
            </w:pPr>
            <w:r>
              <w:rPr>
                <w:rFonts w:ascii="Aptos" w:hAnsi="Aptos"/>
                <w:b w:val="0"/>
                <w:i w:val="0"/>
                <w:color w:val="171713"/>
                <w:sz w:val="20"/>
              </w:rPr>
              <w:t>Nedbank or another appropriately authorised payment provider should receive, safeguard, allocate and settle the payment. NeuroCity should provide the commerce logic and allocation instructions, while avoiding direct custody of merchant funds wherever possible.</w:t>
            </w:r>
          </w:p>
        </w:tc>
      </w:tr>
    </w:tbl>
    <w:p>
      <w:pPr>
        <w:spacing w:after="20"/>
      </w:pPr>
    </w:p>
    <w:p>
      <w:pPr>
        <w:pStyle w:val="Heading1"/>
      </w:pPr>
      <w:r>
        <w:t>2. Proposed customer and merchant experience</w:t>
      </w:r>
    </w:p>
    <w:p>
      <w:pPr>
        <w:pStyle w:val="Heading2"/>
      </w:pPr>
      <w:r>
        <w:t>Customer journey</w:t>
      </w:r>
    </w:p>
    <w:p>
      <w:pPr>
        <w:pStyle w:val="ListNumber"/>
      </w:pPr>
      <w:r>
        <w:rPr>
          <w:rFonts w:ascii="Aptos" w:hAnsi="Aptos"/>
          <w:b w:val="0"/>
          <w:i w:val="0"/>
          <w:color w:val="171713"/>
          <w:sz w:val="20"/>
        </w:rPr>
        <w:t>Browse and add products from multiple approved stores.</w:t>
      </w:r>
    </w:p>
    <w:p>
      <w:pPr>
        <w:pStyle w:val="ListNumber"/>
      </w:pPr>
      <w:r>
        <w:rPr>
          <w:rFonts w:ascii="Aptos" w:hAnsi="Aptos"/>
          <w:b w:val="0"/>
          <w:i w:val="0"/>
          <w:color w:val="171713"/>
          <w:sz w:val="20"/>
        </w:rPr>
        <w:t>See one basket with merchant-level subtotals, fulfilment choices and delivery fees.</w:t>
      </w:r>
    </w:p>
    <w:p>
      <w:pPr>
        <w:pStyle w:val="ListNumber"/>
      </w:pPr>
      <w:r>
        <w:rPr>
          <w:rFonts w:ascii="Aptos" w:hAnsi="Aptos"/>
          <w:b w:val="0"/>
          <w:i w:val="0"/>
          <w:color w:val="171713"/>
          <w:sz w:val="20"/>
        </w:rPr>
        <w:t>Pay the combined amount once.</w:t>
      </w:r>
    </w:p>
    <w:p>
      <w:pPr>
        <w:pStyle w:val="ListNumber"/>
      </w:pPr>
      <w:r>
        <w:rPr>
          <w:rFonts w:ascii="Aptos" w:hAnsi="Aptos"/>
          <w:b w:val="0"/>
          <w:i w:val="0"/>
          <w:color w:val="171713"/>
          <w:sz w:val="20"/>
        </w:rPr>
        <w:t>Receive one NeuroCity confirmation plus separate merchant suborder references.</w:t>
      </w:r>
    </w:p>
    <w:p>
      <w:pPr>
        <w:pStyle w:val="ListNumber"/>
      </w:pPr>
      <w:r>
        <w:rPr>
          <w:rFonts w:ascii="Aptos" w:hAnsi="Aptos"/>
          <w:b w:val="0"/>
          <w:i w:val="0"/>
          <w:color w:val="171713"/>
          <w:sz w:val="20"/>
        </w:rPr>
        <w:t>Track each merchant's fulfilment independently.</w:t>
      </w:r>
    </w:p>
    <w:p>
      <w:pPr>
        <w:pStyle w:val="ListNumber"/>
      </w:pPr>
      <w:r>
        <w:rPr>
          <w:rFonts w:ascii="Aptos" w:hAnsi="Aptos"/>
          <w:b w:val="0"/>
          <w:i w:val="0"/>
          <w:color w:val="171713"/>
          <w:sz w:val="20"/>
        </w:rPr>
        <w:t>Receive a partial refund if only one merchant cannot fulfil.</w:t>
      </w:r>
    </w:p>
    <w:p>
      <w:pPr>
        <w:pStyle w:val="Heading2"/>
      </w:pPr>
      <w:r>
        <w:t>Merchant journey</w:t>
      </w:r>
    </w:p>
    <w:p>
      <w:pPr>
        <w:pStyle w:val="ListBullet"/>
      </w:pPr>
      <w:r>
        <w:rPr>
          <w:rFonts w:ascii="Aptos" w:hAnsi="Aptos"/>
          <w:b w:val="0"/>
          <w:i w:val="0"/>
          <w:color w:val="171713"/>
          <w:sz w:val="20"/>
        </w:rPr>
        <w:t>Receive only the items belonging to that merchant.</w:t>
      </w:r>
    </w:p>
    <w:p>
      <w:pPr>
        <w:pStyle w:val="ListBullet"/>
      </w:pPr>
      <w:r>
        <w:rPr>
          <w:rFonts w:ascii="Aptos" w:hAnsi="Aptos"/>
          <w:b w:val="0"/>
          <w:i w:val="0"/>
          <w:color w:val="171713"/>
          <w:sz w:val="20"/>
        </w:rPr>
        <w:t>See the merchant settlement amount, platform fee, payment status and payout status.</w:t>
      </w:r>
    </w:p>
    <w:p>
      <w:pPr>
        <w:pStyle w:val="ListBullet"/>
      </w:pPr>
      <w:r>
        <w:rPr>
          <w:rFonts w:ascii="Aptos" w:hAnsi="Aptos"/>
          <w:b w:val="0"/>
          <w:i w:val="0"/>
          <w:color w:val="171713"/>
          <w:sz w:val="20"/>
        </w:rPr>
        <w:t>Accept, prepare and fulfil the suborder independently.</w:t>
      </w:r>
    </w:p>
    <w:p>
      <w:pPr>
        <w:pStyle w:val="ListBullet"/>
      </w:pPr>
      <w:r>
        <w:rPr>
          <w:rFonts w:ascii="Aptos" w:hAnsi="Aptos"/>
          <w:b w:val="0"/>
          <w:i w:val="0"/>
          <w:color w:val="171713"/>
          <w:sz w:val="20"/>
        </w:rPr>
        <w:t>Request or approve a refund only for the affected merchant allocation.</w:t>
      </w:r>
    </w:p>
    <w:p>
      <w:pPr>
        <w:pStyle w:val="ListBullet"/>
      </w:pPr>
      <w:r>
        <w:rPr>
          <w:rFonts w:ascii="Aptos" w:hAnsi="Aptos"/>
          <w:b w:val="0"/>
          <w:i w:val="0"/>
          <w:color w:val="171713"/>
          <w:sz w:val="20"/>
        </w:rPr>
        <w:t>Reconcile NeuroCity orders to Nedbank settlement reports.</w:t>
      </w:r>
    </w:p>
    <w:p>
      <w:pPr>
        <w:pStyle w:val="Heading1"/>
      </w:pPr>
      <w:r>
        <w:t>3. Target funds flow</w:t>
      </w:r>
    </w:p>
    <w:tbl>
      <w:tblPr>
        <w:tblStyle w:val="TableGrid"/>
        <w:tblW w:type="dxa" w:w="9360"/>
        <w:jc w:val="center"/>
        <w:tblLayout w:type="fixed"/>
        <w:tblLook w:firstColumn="1" w:firstRow="1" w:lastColumn="0" w:lastRow="0" w:noHBand="0" w:noVBand="1" w:val="04A0"/>
      </w:tblPr>
      <w:tblGrid>
        <w:gridCol w:w="700"/>
        <w:gridCol w:w="2450"/>
        <w:gridCol w:w="6210"/>
      </w:tblGrid>
      <w:tr>
        <w:tc>
          <w:tcPr>
            <w:tcW w:type="dxa" w:w="70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Step</w:t>
            </w:r>
          </w:p>
        </w:tc>
        <w:tc>
          <w:tcPr>
            <w:tcW w:type="dxa" w:w="245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Party</w:t>
            </w:r>
          </w:p>
        </w:tc>
        <w:tc>
          <w:tcPr>
            <w:tcW w:type="dxa" w:w="621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Action / record</w:t>
            </w:r>
          </w:p>
        </w:tc>
      </w:tr>
      <w:tr>
        <w:tc>
          <w:tcPr>
            <w:tcW w:type="dxa" w:w="700"/>
            <w:tcMar>
              <w:top w:w="100" w:type="dxa"/>
              <w:start w:w="130" w:type="dxa"/>
              <w:bottom w:w="100" w:type="dxa"/>
              <w:end w:w="130" w:type="dxa"/>
            </w:tcMar>
            <w:vAlign w:val="center"/>
          </w:tcPr>
          <w:p>
            <w:pPr>
              <w:spacing w:after="0" w:line="252" w:lineRule="auto"/>
            </w:pPr>
            <w:r>
              <w:rPr>
                <w:rFonts w:ascii="Aptos" w:hAnsi="Aptos"/>
                <w:b w:val="0"/>
                <w:i w:val="0"/>
                <w:color w:val="171713"/>
                <w:sz w:val="18"/>
              </w:rPr>
              <w:t>1</w:t>
            </w:r>
          </w:p>
        </w:tc>
        <w:tc>
          <w:tcPr>
            <w:tcW w:type="dxa" w:w="2450"/>
            <w:tcMar>
              <w:top w:w="100" w:type="dxa"/>
              <w:start w:w="130" w:type="dxa"/>
              <w:bottom w:w="100" w:type="dxa"/>
              <w:end w:w="130" w:type="dxa"/>
            </w:tcMar>
            <w:vAlign w:val="center"/>
          </w:tcPr>
          <w:p>
            <w:pPr>
              <w:spacing w:after="0" w:line="252" w:lineRule="auto"/>
            </w:pPr>
            <w:r>
              <w:rPr>
                <w:rFonts w:ascii="Aptos" w:hAnsi="Aptos"/>
                <w:b w:val="0"/>
                <w:i w:val="0"/>
                <w:color w:val="171713"/>
                <w:sz w:val="18"/>
              </w:rPr>
              <w:t>Customer</w:t>
            </w:r>
          </w:p>
        </w:tc>
        <w:tc>
          <w:tcPr>
            <w:tcW w:type="dxa" w:w="6210"/>
            <w:tcMar>
              <w:top w:w="100" w:type="dxa"/>
              <w:start w:w="130" w:type="dxa"/>
              <w:bottom w:w="100" w:type="dxa"/>
              <w:end w:w="130" w:type="dxa"/>
            </w:tcMar>
            <w:vAlign w:val="center"/>
          </w:tcPr>
          <w:p>
            <w:pPr>
              <w:spacing w:after="0" w:line="252" w:lineRule="auto"/>
            </w:pPr>
            <w:r>
              <w:rPr>
                <w:rFonts w:ascii="Aptos" w:hAnsi="Aptos"/>
                <w:b w:val="0"/>
                <w:i w:val="0"/>
                <w:color w:val="171713"/>
                <w:sz w:val="18"/>
              </w:rPr>
              <w:t>Confirms a multi-store basket and pays one total.</w:t>
            </w:r>
          </w:p>
        </w:tc>
      </w:tr>
      <w:tr>
        <w:tc>
          <w:tcPr>
            <w:tcW w:type="dxa" w:w="7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2</w:t>
            </w:r>
          </w:p>
        </w:tc>
        <w:tc>
          <w:tcPr>
            <w:tcW w:type="dxa" w:w="245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Nedbank / regulated provider</w:t>
            </w:r>
          </w:p>
        </w:tc>
        <w:tc>
          <w:tcPr>
            <w:tcW w:type="dxa" w:w="621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Authorises and captures the payment using tokenised payment details.</w:t>
            </w:r>
          </w:p>
        </w:tc>
      </w:tr>
      <w:tr>
        <w:tc>
          <w:tcPr>
            <w:tcW w:type="dxa" w:w="700"/>
            <w:tcMar>
              <w:top w:w="100" w:type="dxa"/>
              <w:start w:w="130" w:type="dxa"/>
              <w:bottom w:w="100" w:type="dxa"/>
              <w:end w:w="130" w:type="dxa"/>
            </w:tcMar>
            <w:vAlign w:val="center"/>
          </w:tcPr>
          <w:p>
            <w:pPr>
              <w:spacing w:after="0" w:line="252" w:lineRule="auto"/>
            </w:pPr>
            <w:r>
              <w:rPr>
                <w:rFonts w:ascii="Aptos" w:hAnsi="Aptos"/>
                <w:b w:val="0"/>
                <w:i w:val="0"/>
                <w:color w:val="171713"/>
                <w:sz w:val="18"/>
              </w:rPr>
              <w:t>3</w:t>
            </w:r>
          </w:p>
        </w:tc>
        <w:tc>
          <w:tcPr>
            <w:tcW w:type="dxa" w:w="2450"/>
            <w:tcMar>
              <w:top w:w="100" w:type="dxa"/>
              <w:start w:w="130" w:type="dxa"/>
              <w:bottom w:w="100" w:type="dxa"/>
              <w:end w:w="130" w:type="dxa"/>
            </w:tcMar>
            <w:vAlign w:val="center"/>
          </w:tcPr>
          <w:p>
            <w:pPr>
              <w:spacing w:after="0" w:line="252" w:lineRule="auto"/>
            </w:pPr>
            <w:r>
              <w:rPr>
                <w:rFonts w:ascii="Aptos" w:hAnsi="Aptos"/>
                <w:b w:val="0"/>
                <w:i w:val="0"/>
                <w:color w:val="171713"/>
                <w:sz w:val="18"/>
              </w:rPr>
              <w:t>NeuroCity</w:t>
            </w:r>
          </w:p>
        </w:tc>
        <w:tc>
          <w:tcPr>
            <w:tcW w:type="dxa" w:w="6210"/>
            <w:tcMar>
              <w:top w:w="100" w:type="dxa"/>
              <w:start w:w="130" w:type="dxa"/>
              <w:bottom w:w="100" w:type="dxa"/>
              <w:end w:w="130" w:type="dxa"/>
            </w:tcMar>
            <w:vAlign w:val="center"/>
          </w:tcPr>
          <w:p>
            <w:pPr>
              <w:spacing w:after="0" w:line="252" w:lineRule="auto"/>
            </w:pPr>
            <w:r>
              <w:rPr>
                <w:rFonts w:ascii="Aptos" w:hAnsi="Aptos"/>
                <w:b w:val="0"/>
                <w:i w:val="0"/>
                <w:color w:val="171713"/>
                <w:sz w:val="18"/>
              </w:rPr>
              <w:t>Creates one checkout group, merchant suborders and immutable allocation records.</w:t>
            </w:r>
          </w:p>
        </w:tc>
      </w:tr>
      <w:tr>
        <w:tc>
          <w:tcPr>
            <w:tcW w:type="dxa" w:w="7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4</w:t>
            </w:r>
          </w:p>
        </w:tc>
        <w:tc>
          <w:tcPr>
            <w:tcW w:type="dxa" w:w="245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Nedbank / regulated provider</w:t>
            </w:r>
          </w:p>
        </w:tc>
        <w:tc>
          <w:tcPr>
            <w:tcW w:type="dxa" w:w="621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Settles each merchant's net amount and the NeuroCity platform fee according to agreed rules.</w:t>
            </w:r>
          </w:p>
        </w:tc>
      </w:tr>
      <w:tr>
        <w:tc>
          <w:tcPr>
            <w:tcW w:type="dxa" w:w="700"/>
            <w:tcMar>
              <w:top w:w="100" w:type="dxa"/>
              <w:start w:w="130" w:type="dxa"/>
              <w:bottom w:w="100" w:type="dxa"/>
              <w:end w:w="130" w:type="dxa"/>
            </w:tcMar>
            <w:vAlign w:val="center"/>
          </w:tcPr>
          <w:p>
            <w:pPr>
              <w:spacing w:after="0" w:line="252" w:lineRule="auto"/>
            </w:pPr>
            <w:r>
              <w:rPr>
                <w:rFonts w:ascii="Aptos" w:hAnsi="Aptos"/>
                <w:b w:val="0"/>
                <w:i w:val="0"/>
                <w:color w:val="171713"/>
                <w:sz w:val="18"/>
              </w:rPr>
              <w:t>5</w:t>
            </w:r>
          </w:p>
        </w:tc>
        <w:tc>
          <w:tcPr>
            <w:tcW w:type="dxa" w:w="2450"/>
            <w:tcMar>
              <w:top w:w="100" w:type="dxa"/>
              <w:start w:w="130" w:type="dxa"/>
              <w:bottom w:w="100" w:type="dxa"/>
              <w:end w:w="130" w:type="dxa"/>
            </w:tcMar>
            <w:vAlign w:val="center"/>
          </w:tcPr>
          <w:p>
            <w:pPr>
              <w:spacing w:after="0" w:line="252" w:lineRule="auto"/>
            </w:pPr>
            <w:r>
              <w:rPr>
                <w:rFonts w:ascii="Aptos" w:hAnsi="Aptos"/>
                <w:b w:val="0"/>
                <w:i w:val="0"/>
                <w:color w:val="171713"/>
                <w:sz w:val="18"/>
              </w:rPr>
              <w:t>Merchants</w:t>
            </w:r>
          </w:p>
        </w:tc>
        <w:tc>
          <w:tcPr>
            <w:tcW w:type="dxa" w:w="6210"/>
            <w:tcMar>
              <w:top w:w="100" w:type="dxa"/>
              <w:start w:w="130" w:type="dxa"/>
              <w:bottom w:w="100" w:type="dxa"/>
              <w:end w:w="130" w:type="dxa"/>
            </w:tcMar>
            <w:vAlign w:val="center"/>
          </w:tcPr>
          <w:p>
            <w:pPr>
              <w:spacing w:after="0" w:line="252" w:lineRule="auto"/>
            </w:pPr>
            <w:r>
              <w:rPr>
                <w:rFonts w:ascii="Aptos" w:hAnsi="Aptos"/>
                <w:b w:val="0"/>
                <w:i w:val="0"/>
                <w:color w:val="171713"/>
                <w:sz w:val="18"/>
              </w:rPr>
              <w:t>Fulfil their suborders and reconcile payouts against references.</w:t>
            </w:r>
          </w:p>
        </w:tc>
      </w:tr>
      <w:tr>
        <w:tc>
          <w:tcPr>
            <w:tcW w:type="dxa" w:w="7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6</w:t>
            </w:r>
          </w:p>
        </w:tc>
        <w:tc>
          <w:tcPr>
            <w:tcW w:type="dxa" w:w="245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Nedbank + NeuroCity</w:t>
            </w:r>
          </w:p>
        </w:tc>
        <w:tc>
          <w:tcPr>
            <w:tcW w:type="dxa" w:w="621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Process full or partial refunds and preserve a complete audit trail.</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FFF0C9"/>
            <w:tcMar>
              <w:top w:w="100" w:type="dxa"/>
              <w:start w:w="130" w:type="dxa"/>
              <w:bottom w:w="100" w:type="dxa"/>
              <w:end w:w="130" w:type="dxa"/>
            </w:tcMar>
            <w:vAlign w:val="center"/>
          </w:tcPr>
          <w:p>
            <w:pPr>
              <w:spacing w:after="80"/>
            </w:pPr>
            <w:r>
              <w:rPr>
                <w:rFonts w:ascii="Aptos" w:hAnsi="Aptos"/>
                <w:b/>
                <w:i w:val="0"/>
                <w:color w:val="725113"/>
                <w:sz w:val="22"/>
              </w:rPr>
              <w:t>Key control</w:t>
            </w:r>
          </w:p>
          <w:p>
            <w:pPr>
              <w:spacing w:after="0"/>
            </w:pPr>
            <w:r>
              <w:rPr>
                <w:rFonts w:ascii="Aptos" w:hAnsi="Aptos"/>
                <w:b w:val="0"/>
                <w:i w:val="0"/>
                <w:color w:val="171713"/>
                <w:sz w:val="20"/>
              </w:rPr>
              <w:t>NeuroCity should never mark an allocation as settled merely because checkout succeeded. Payment authorisation, capture, settlement and refund must each be represented by separate provider-confirmed events.</w:t>
            </w:r>
          </w:p>
        </w:tc>
      </w:tr>
    </w:tbl>
    <w:p>
      <w:pPr>
        <w:spacing w:after="20"/>
      </w:pPr>
    </w:p>
    <w:p>
      <w:pPr>
        <w:pStyle w:val="Heading1"/>
      </w:pPr>
      <w:r>
        <w:t>4. Worked transaction example</w:t>
      </w:r>
    </w:p>
    <w:tbl>
      <w:tblPr>
        <w:tblStyle w:val="TableGrid"/>
        <w:tblW w:type="dxa" w:w="9360"/>
        <w:jc w:val="center"/>
        <w:tblLayout w:type="fixed"/>
        <w:tblLook w:firstColumn="1" w:firstRow="1" w:lastColumn="0" w:lastRow="0" w:noHBand="0" w:noVBand="1" w:val="04A0"/>
      </w:tblPr>
      <w:tblGrid>
        <w:gridCol w:w="3600"/>
        <w:gridCol w:w="1900"/>
        <w:gridCol w:w="1900"/>
        <w:gridCol w:w="1960"/>
      </w:tblGrid>
      <w:tr>
        <w:tc>
          <w:tcPr>
            <w:tcW w:type="dxa" w:w="360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Component</w:t>
            </w:r>
          </w:p>
        </w:tc>
        <w:tc>
          <w:tcPr>
            <w:tcW w:type="dxa" w:w="190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Gross</w:t>
            </w:r>
          </w:p>
        </w:tc>
        <w:tc>
          <w:tcPr>
            <w:tcW w:type="dxa" w:w="190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Platform fee</w:t>
            </w:r>
          </w:p>
        </w:tc>
        <w:tc>
          <w:tcPr>
            <w:tcW w:type="dxa" w:w="196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Merchant settlement</w:t>
            </w:r>
          </w:p>
        </w:tc>
      </w:tr>
      <w:tr>
        <w:tc>
          <w:tcPr>
            <w:tcW w:type="dxa" w:w="3600"/>
            <w:tcMar>
              <w:top w:w="100" w:type="dxa"/>
              <w:start w:w="130" w:type="dxa"/>
              <w:bottom w:w="100" w:type="dxa"/>
              <w:end w:w="130" w:type="dxa"/>
            </w:tcMar>
            <w:vAlign w:val="center"/>
          </w:tcPr>
          <w:p>
            <w:pPr>
              <w:spacing w:after="0" w:line="252" w:lineRule="auto"/>
            </w:pPr>
            <w:r>
              <w:rPr>
                <w:rFonts w:ascii="Aptos" w:hAnsi="Aptos"/>
                <w:b w:val="0"/>
                <w:i w:val="0"/>
                <w:color w:val="171713"/>
                <w:sz w:val="18"/>
              </w:rPr>
              <w:t>LightWork product</w:t>
            </w:r>
          </w:p>
        </w:tc>
        <w:tc>
          <w:tcPr>
            <w:tcW w:type="dxa" w:w="1900"/>
            <w:tcMar>
              <w:top w:w="100" w:type="dxa"/>
              <w:start w:w="130" w:type="dxa"/>
              <w:bottom w:w="100" w:type="dxa"/>
              <w:end w:w="130" w:type="dxa"/>
            </w:tcMar>
            <w:vAlign w:val="center"/>
          </w:tcPr>
          <w:p>
            <w:pPr>
              <w:spacing w:after="0" w:line="252" w:lineRule="auto"/>
            </w:pPr>
            <w:r>
              <w:rPr>
                <w:rFonts w:ascii="Aptos" w:hAnsi="Aptos"/>
                <w:b w:val="0"/>
                <w:i w:val="0"/>
                <w:color w:val="171713"/>
                <w:sz w:val="18"/>
              </w:rPr>
              <w:t>N$1,250.00</w:t>
            </w:r>
          </w:p>
        </w:tc>
        <w:tc>
          <w:tcPr>
            <w:tcW w:type="dxa" w:w="1900"/>
            <w:tcMar>
              <w:top w:w="100" w:type="dxa"/>
              <w:start w:w="130" w:type="dxa"/>
              <w:bottom w:w="100" w:type="dxa"/>
              <w:end w:w="130" w:type="dxa"/>
            </w:tcMar>
            <w:vAlign w:val="center"/>
          </w:tcPr>
          <w:p>
            <w:pPr>
              <w:spacing w:after="0" w:line="252" w:lineRule="auto"/>
            </w:pPr>
            <w:r>
              <w:rPr>
                <w:rFonts w:ascii="Aptos" w:hAnsi="Aptos"/>
                <w:b w:val="0"/>
                <w:i w:val="0"/>
                <w:color w:val="171713"/>
                <w:sz w:val="18"/>
              </w:rPr>
              <w:t>N$62.50</w:t>
            </w:r>
          </w:p>
        </w:tc>
        <w:tc>
          <w:tcPr>
            <w:tcW w:type="dxa" w:w="1960"/>
            <w:tcMar>
              <w:top w:w="100" w:type="dxa"/>
              <w:start w:w="130" w:type="dxa"/>
              <w:bottom w:w="100" w:type="dxa"/>
              <w:end w:w="130" w:type="dxa"/>
            </w:tcMar>
            <w:vAlign w:val="center"/>
          </w:tcPr>
          <w:p>
            <w:pPr>
              <w:spacing w:after="0" w:line="252" w:lineRule="auto"/>
            </w:pPr>
            <w:r>
              <w:rPr>
                <w:rFonts w:ascii="Aptos" w:hAnsi="Aptos"/>
                <w:b w:val="0"/>
                <w:i w:val="0"/>
                <w:color w:val="171713"/>
                <w:sz w:val="18"/>
              </w:rPr>
              <w:t>N$1,187.50</w:t>
            </w:r>
          </w:p>
        </w:tc>
      </w:tr>
      <w:tr>
        <w:tc>
          <w:tcPr>
            <w:tcW w:type="dxa" w:w="36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LightWork delivery</w:t>
            </w:r>
          </w:p>
        </w:tc>
        <w:tc>
          <w:tcPr>
            <w:tcW w:type="dxa" w:w="19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N$50.00</w:t>
            </w:r>
          </w:p>
        </w:tc>
        <w:tc>
          <w:tcPr>
            <w:tcW w:type="dxa" w:w="19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N$0.00</w:t>
            </w:r>
          </w:p>
        </w:tc>
        <w:tc>
          <w:tcPr>
            <w:tcW w:type="dxa" w:w="196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N$50.00</w:t>
            </w:r>
          </w:p>
        </w:tc>
      </w:tr>
      <w:tr>
        <w:tc>
          <w:tcPr>
            <w:tcW w:type="dxa" w:w="3600"/>
            <w:tcMar>
              <w:top w:w="100" w:type="dxa"/>
              <w:start w:w="130" w:type="dxa"/>
              <w:bottom w:w="100" w:type="dxa"/>
              <w:end w:w="130" w:type="dxa"/>
            </w:tcMar>
            <w:vAlign w:val="center"/>
          </w:tcPr>
          <w:p>
            <w:pPr>
              <w:spacing w:after="0" w:line="252" w:lineRule="auto"/>
            </w:pPr>
            <w:r>
              <w:rPr>
                <w:rFonts w:ascii="Aptos" w:hAnsi="Aptos"/>
                <w:b w:val="0"/>
                <w:i w:val="0"/>
                <w:color w:val="171713"/>
                <w:sz w:val="18"/>
              </w:rPr>
              <w:t>Merchant B product</w:t>
            </w:r>
          </w:p>
        </w:tc>
        <w:tc>
          <w:tcPr>
            <w:tcW w:type="dxa" w:w="1900"/>
            <w:tcMar>
              <w:top w:w="100" w:type="dxa"/>
              <w:start w:w="130" w:type="dxa"/>
              <w:bottom w:w="100" w:type="dxa"/>
              <w:end w:w="130" w:type="dxa"/>
            </w:tcMar>
            <w:vAlign w:val="center"/>
          </w:tcPr>
          <w:p>
            <w:pPr>
              <w:spacing w:after="0" w:line="252" w:lineRule="auto"/>
            </w:pPr>
            <w:r>
              <w:rPr>
                <w:rFonts w:ascii="Aptos" w:hAnsi="Aptos"/>
                <w:b w:val="0"/>
                <w:i w:val="0"/>
                <w:color w:val="171713"/>
                <w:sz w:val="18"/>
              </w:rPr>
              <w:t>N$600.00</w:t>
            </w:r>
          </w:p>
        </w:tc>
        <w:tc>
          <w:tcPr>
            <w:tcW w:type="dxa" w:w="1900"/>
            <w:tcMar>
              <w:top w:w="100" w:type="dxa"/>
              <w:start w:w="130" w:type="dxa"/>
              <w:bottom w:w="100" w:type="dxa"/>
              <w:end w:w="130" w:type="dxa"/>
            </w:tcMar>
            <w:vAlign w:val="center"/>
          </w:tcPr>
          <w:p>
            <w:pPr>
              <w:spacing w:after="0" w:line="252" w:lineRule="auto"/>
            </w:pPr>
            <w:r>
              <w:rPr>
                <w:rFonts w:ascii="Aptos" w:hAnsi="Aptos"/>
                <w:b w:val="0"/>
                <w:i w:val="0"/>
                <w:color w:val="171713"/>
                <w:sz w:val="18"/>
              </w:rPr>
              <w:t>N$30.00</w:t>
            </w:r>
          </w:p>
        </w:tc>
        <w:tc>
          <w:tcPr>
            <w:tcW w:type="dxa" w:w="1960"/>
            <w:tcMar>
              <w:top w:w="100" w:type="dxa"/>
              <w:start w:w="130" w:type="dxa"/>
              <w:bottom w:w="100" w:type="dxa"/>
              <w:end w:w="130" w:type="dxa"/>
            </w:tcMar>
            <w:vAlign w:val="center"/>
          </w:tcPr>
          <w:p>
            <w:pPr>
              <w:spacing w:after="0" w:line="252" w:lineRule="auto"/>
            </w:pPr>
            <w:r>
              <w:rPr>
                <w:rFonts w:ascii="Aptos" w:hAnsi="Aptos"/>
                <w:b w:val="0"/>
                <w:i w:val="0"/>
                <w:color w:val="171713"/>
                <w:sz w:val="18"/>
              </w:rPr>
              <w:t>N$570.00</w:t>
            </w:r>
          </w:p>
        </w:tc>
      </w:tr>
      <w:tr>
        <w:tc>
          <w:tcPr>
            <w:tcW w:type="dxa" w:w="36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Total</w:t>
            </w:r>
          </w:p>
        </w:tc>
        <w:tc>
          <w:tcPr>
            <w:tcW w:type="dxa" w:w="19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N$1,900.00</w:t>
            </w:r>
          </w:p>
        </w:tc>
        <w:tc>
          <w:tcPr>
            <w:tcW w:type="dxa" w:w="19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N$92.50</w:t>
            </w:r>
          </w:p>
        </w:tc>
        <w:tc>
          <w:tcPr>
            <w:tcW w:type="dxa" w:w="196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N$1,807.50</w:t>
            </w:r>
          </w:p>
        </w:tc>
      </w:tr>
    </w:tbl>
    <w:p>
      <w:pPr>
        <w:spacing w:after="20"/>
      </w:pPr>
    </w:p>
    <w:p>
      <w:r>
        <w:rPr>
          <w:rFonts w:ascii="Aptos" w:hAnsi="Aptos"/>
          <w:b w:val="0"/>
          <w:i w:val="0"/>
          <w:color w:val="171713"/>
          <w:sz w:val="21"/>
        </w:rPr>
        <w:t>Illustrative only: the example assumes a 5% platform fee on merchandise and no commission on delivery. Acquiring charges, reserves and taxes are deliberately excluded until Nedbank confirms the commercial and regulatory structure.</w:t>
      </w:r>
    </w:p>
    <w:p>
      <w:pPr>
        <w:pStyle w:val="Heading2"/>
      </w:pPr>
      <w:r>
        <w:t>Partial-refund example</w:t>
      </w:r>
    </w:p>
    <w:p>
      <w:r>
        <w:rPr>
          <w:rFonts w:ascii="Aptos" w:hAnsi="Aptos"/>
          <w:b w:val="0"/>
          <w:i w:val="0"/>
          <w:color w:val="171713"/>
          <w:sz w:val="21"/>
        </w:rPr>
        <w:t>If Merchant B cannot fulfil, the customer should receive N$600.00 back. LightWork's N$1,300.00 suborder should remain active, and only Merchant B's allocation and associated NeuroCity fee should be reversed. This requires allocation-level refund support rather than only whole-payment refunds.</w:t>
      </w:r>
    </w:p>
    <w:p>
      <w:r>
        <w:br w:type="page"/>
      </w:r>
    </w:p>
    <w:p>
      <w:pPr>
        <w:pStyle w:val="Heading1"/>
      </w:pPr>
      <w:r>
        <w:t>5. Preferred model and alternatives</w:t>
      </w:r>
    </w:p>
    <w:tbl>
      <w:tblPr>
        <w:tblStyle w:val="TableGrid"/>
        <w:tblW w:type="dxa" w:w="9360"/>
        <w:jc w:val="center"/>
        <w:tblLayout w:type="fixed"/>
        <w:tblLook w:firstColumn="1" w:firstRow="1" w:lastColumn="0" w:lastRow="0" w:noHBand="0" w:noVBand="1" w:val="04A0"/>
      </w:tblPr>
      <w:tblGrid>
        <w:gridCol w:w="2050"/>
        <w:gridCol w:w="2850"/>
        <w:gridCol w:w="2850"/>
        <w:gridCol w:w="1610"/>
      </w:tblGrid>
      <w:tr>
        <w:tc>
          <w:tcPr>
            <w:tcW w:type="dxa" w:w="205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Model</w:t>
            </w:r>
          </w:p>
        </w:tc>
        <w:tc>
          <w:tcPr>
            <w:tcW w:type="dxa" w:w="285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Advantages</w:t>
            </w:r>
          </w:p>
        </w:tc>
        <w:tc>
          <w:tcPr>
            <w:tcW w:type="dxa" w:w="285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Primary concern</w:t>
            </w:r>
          </w:p>
        </w:tc>
        <w:tc>
          <w:tcPr>
            <w:tcW w:type="dxa" w:w="161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Position</w:t>
            </w:r>
          </w:p>
        </w:tc>
      </w:tr>
      <w:tr>
        <w:tc>
          <w:tcPr>
            <w:tcW w:type="dxa" w:w="2050"/>
            <w:tcMar>
              <w:top w:w="100" w:type="dxa"/>
              <w:start w:w="130" w:type="dxa"/>
              <w:bottom w:w="100" w:type="dxa"/>
              <w:end w:w="130" w:type="dxa"/>
            </w:tcMar>
            <w:vAlign w:val="center"/>
          </w:tcPr>
          <w:p>
            <w:pPr>
              <w:spacing w:after="0" w:line="252" w:lineRule="auto"/>
            </w:pPr>
            <w:r>
              <w:rPr>
                <w:rFonts w:ascii="Aptos" w:hAnsi="Aptos"/>
                <w:b w:val="0"/>
                <w:i w:val="0"/>
                <w:color w:val="171713"/>
                <w:sz w:val="18"/>
              </w:rPr>
              <w:t>Provider-managed split settlement</w:t>
            </w:r>
          </w:p>
        </w:tc>
        <w:tc>
          <w:tcPr>
            <w:tcW w:type="dxa" w:w="2850"/>
            <w:tcMar>
              <w:top w:w="100" w:type="dxa"/>
              <w:start w:w="130" w:type="dxa"/>
              <w:bottom w:w="100" w:type="dxa"/>
              <w:end w:w="130" w:type="dxa"/>
            </w:tcMar>
            <w:vAlign w:val="center"/>
          </w:tcPr>
          <w:p>
            <w:pPr>
              <w:spacing w:after="0" w:line="252" w:lineRule="auto"/>
            </w:pPr>
            <w:r>
              <w:rPr>
                <w:rFonts w:ascii="Aptos" w:hAnsi="Aptos"/>
                <w:b w:val="0"/>
                <w:i w:val="0"/>
                <w:color w:val="171713"/>
                <w:sz w:val="18"/>
              </w:rPr>
              <w:t>One payment; submerchant allocations; lower custody risk; clearer reconciliation.</w:t>
            </w:r>
          </w:p>
        </w:tc>
        <w:tc>
          <w:tcPr>
            <w:tcW w:type="dxa" w:w="2850"/>
            <w:tcMar>
              <w:top w:w="100" w:type="dxa"/>
              <w:start w:w="130" w:type="dxa"/>
              <w:bottom w:w="100" w:type="dxa"/>
              <w:end w:w="130" w:type="dxa"/>
            </w:tcMar>
            <w:vAlign w:val="center"/>
          </w:tcPr>
          <w:p>
            <w:pPr>
              <w:spacing w:after="0" w:line="252" w:lineRule="auto"/>
            </w:pPr>
            <w:r>
              <w:rPr>
                <w:rFonts w:ascii="Aptos" w:hAnsi="Aptos"/>
                <w:b w:val="0"/>
                <w:i w:val="0"/>
                <w:color w:val="171713"/>
                <w:sz w:val="18"/>
              </w:rPr>
              <w:t>Depends on local product capability and submerchant rules.</w:t>
            </w:r>
          </w:p>
        </w:tc>
        <w:tc>
          <w:tcPr>
            <w:tcW w:type="dxa" w:w="1610"/>
            <w:tcMar>
              <w:top w:w="100" w:type="dxa"/>
              <w:start w:w="130" w:type="dxa"/>
              <w:bottom w:w="100" w:type="dxa"/>
              <w:end w:w="130" w:type="dxa"/>
            </w:tcMar>
            <w:vAlign w:val="center"/>
          </w:tcPr>
          <w:p>
            <w:pPr>
              <w:spacing w:after="0" w:line="252" w:lineRule="auto"/>
            </w:pPr>
            <w:r>
              <w:rPr>
                <w:rFonts w:ascii="Aptos" w:hAnsi="Aptos"/>
                <w:b w:val="0"/>
                <w:i w:val="0"/>
                <w:color w:val="171713"/>
                <w:sz w:val="18"/>
              </w:rPr>
              <w:t>Preferred</w:t>
            </w:r>
          </w:p>
        </w:tc>
      </w:tr>
      <w:tr>
        <w:tc>
          <w:tcPr>
            <w:tcW w:type="dxa" w:w="205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NeuroCity collection plus batch payouts</w:t>
            </w:r>
          </w:p>
        </w:tc>
        <w:tc>
          <w:tcPr>
            <w:tcW w:type="dxa" w:w="285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Flexible payout logic and timing.</w:t>
            </w:r>
          </w:p>
        </w:tc>
        <w:tc>
          <w:tcPr>
            <w:tcW w:type="dxa" w:w="285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May create payment-service, safeguarding, audit, liquidity and licensing obligations.</w:t>
            </w:r>
          </w:p>
        </w:tc>
        <w:tc>
          <w:tcPr>
            <w:tcW w:type="dxa" w:w="161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Fallback only after legal and regulatory confirmation</w:t>
            </w:r>
          </w:p>
        </w:tc>
      </w:tr>
      <w:tr>
        <w:tc>
          <w:tcPr>
            <w:tcW w:type="dxa" w:w="2050"/>
            <w:tcMar>
              <w:top w:w="100" w:type="dxa"/>
              <w:start w:w="130" w:type="dxa"/>
              <w:bottom w:w="100" w:type="dxa"/>
              <w:end w:w="130" w:type="dxa"/>
            </w:tcMar>
            <w:vAlign w:val="center"/>
          </w:tcPr>
          <w:p>
            <w:pPr>
              <w:spacing w:after="0" w:line="252" w:lineRule="auto"/>
            </w:pPr>
            <w:r>
              <w:rPr>
                <w:rFonts w:ascii="Aptos" w:hAnsi="Aptos"/>
                <w:b w:val="0"/>
                <w:i w:val="0"/>
                <w:color w:val="171713"/>
                <w:sz w:val="18"/>
              </w:rPr>
              <w:t>NeuroCity as merchant of record</w:t>
            </w:r>
          </w:p>
        </w:tc>
        <w:tc>
          <w:tcPr>
            <w:tcW w:type="dxa" w:w="2850"/>
            <w:tcMar>
              <w:top w:w="100" w:type="dxa"/>
              <w:start w:w="130" w:type="dxa"/>
              <w:bottom w:w="100" w:type="dxa"/>
              <w:end w:w="130" w:type="dxa"/>
            </w:tcMar>
            <w:vAlign w:val="center"/>
          </w:tcPr>
          <w:p>
            <w:pPr>
              <w:spacing w:after="0" w:line="252" w:lineRule="auto"/>
            </w:pPr>
            <w:r>
              <w:rPr>
                <w:rFonts w:ascii="Aptos" w:hAnsi="Aptos"/>
                <w:b w:val="0"/>
                <w:i w:val="0"/>
                <w:color w:val="171713"/>
                <w:sz w:val="18"/>
              </w:rPr>
              <w:t>Maximum control over customer transaction.</w:t>
            </w:r>
          </w:p>
        </w:tc>
        <w:tc>
          <w:tcPr>
            <w:tcW w:type="dxa" w:w="2850"/>
            <w:tcMar>
              <w:top w:w="100" w:type="dxa"/>
              <w:start w:w="130" w:type="dxa"/>
              <w:bottom w:w="100" w:type="dxa"/>
              <w:end w:w="130" w:type="dxa"/>
            </w:tcMar>
            <w:vAlign w:val="center"/>
          </w:tcPr>
          <w:p>
            <w:pPr>
              <w:spacing w:after="0" w:line="252" w:lineRule="auto"/>
            </w:pPr>
            <w:r>
              <w:rPr>
                <w:rFonts w:ascii="Aptos" w:hAnsi="Aptos"/>
                <w:b w:val="0"/>
                <w:i w:val="0"/>
                <w:color w:val="171713"/>
                <w:sz w:val="18"/>
              </w:rPr>
              <w:t>NeuroCity assumes seller, refund, chargeback, tax and consumer obligations.</w:t>
            </w:r>
          </w:p>
        </w:tc>
        <w:tc>
          <w:tcPr>
            <w:tcW w:type="dxa" w:w="1610"/>
            <w:tcMar>
              <w:top w:w="100" w:type="dxa"/>
              <w:start w:w="130" w:type="dxa"/>
              <w:bottom w:w="100" w:type="dxa"/>
              <w:end w:w="130" w:type="dxa"/>
            </w:tcMar>
            <w:vAlign w:val="center"/>
          </w:tcPr>
          <w:p>
            <w:pPr>
              <w:spacing w:after="0" w:line="252" w:lineRule="auto"/>
            </w:pPr>
            <w:r>
              <w:rPr>
                <w:rFonts w:ascii="Aptos" w:hAnsi="Aptos"/>
                <w:b w:val="0"/>
                <w:i w:val="0"/>
                <w:color w:val="171713"/>
                <w:sz w:val="18"/>
              </w:rPr>
              <w:t>Not recommended for pilot</w:t>
            </w:r>
          </w:p>
        </w:tc>
      </w:tr>
    </w:tbl>
    <w:p>
      <w:pPr>
        <w:spacing w:after="20"/>
      </w:pPr>
    </w:p>
    <w:p>
      <w:pPr>
        <w:pStyle w:val="Heading1"/>
      </w:pPr>
      <w:r>
        <w:t>6. Questions for Nedbank</w:t>
      </w:r>
    </w:p>
    <w:p>
      <w:pPr>
        <w:pStyle w:val="Heading2"/>
      </w:pPr>
      <w:r>
        <w:t>Product capability</w:t>
      </w:r>
    </w:p>
    <w:p>
      <w:pPr>
        <w:pStyle w:val="ListBullet"/>
      </w:pPr>
      <w:r>
        <w:rPr>
          <w:rFonts w:ascii="Aptos" w:hAnsi="Aptos"/>
          <w:b w:val="0"/>
          <w:i w:val="0"/>
          <w:color w:val="171713"/>
          <w:sz w:val="20"/>
        </w:rPr>
        <w:t>Can Nedbank support a single ecommerce payment allocated to multiple Namibian merchants?</w:t>
      </w:r>
    </w:p>
    <w:p>
      <w:pPr>
        <w:pStyle w:val="ListBullet"/>
      </w:pPr>
      <w:r>
        <w:rPr>
          <w:rFonts w:ascii="Aptos" w:hAnsi="Aptos"/>
          <w:b w:val="0"/>
          <w:i w:val="0"/>
          <w:color w:val="171713"/>
          <w:sz w:val="20"/>
        </w:rPr>
        <w:t>Is this offered as split settlement, marketplace acquiring, payment facilitation, submerchant acquiring or another structure?</w:t>
      </w:r>
    </w:p>
    <w:p>
      <w:pPr>
        <w:pStyle w:val="ListBullet"/>
      </w:pPr>
      <w:r>
        <w:rPr>
          <w:rFonts w:ascii="Aptos" w:hAnsi="Aptos"/>
          <w:b w:val="0"/>
          <w:i w:val="0"/>
          <w:color w:val="171713"/>
          <w:sz w:val="20"/>
        </w:rPr>
        <w:t>Can settlement be instant, next-day or scheduled by merchant?</w:t>
      </w:r>
    </w:p>
    <w:p>
      <w:pPr>
        <w:pStyle w:val="Heading2"/>
      </w:pPr>
      <w:r>
        <w:t>Merchant onboarding</w:t>
      </w:r>
    </w:p>
    <w:p>
      <w:pPr>
        <w:pStyle w:val="ListBullet"/>
      </w:pPr>
      <w:r>
        <w:rPr>
          <w:rFonts w:ascii="Aptos" w:hAnsi="Aptos"/>
          <w:b w:val="0"/>
          <w:i w:val="0"/>
          <w:color w:val="171713"/>
          <w:sz w:val="20"/>
        </w:rPr>
        <w:t>Must every merchant hold a Nedbank account?</w:t>
      </w:r>
    </w:p>
    <w:p>
      <w:pPr>
        <w:pStyle w:val="ListBullet"/>
      </w:pPr>
      <w:r>
        <w:rPr>
          <w:rFonts w:ascii="Aptos" w:hAnsi="Aptos"/>
          <w:b w:val="0"/>
          <w:i w:val="0"/>
          <w:color w:val="171713"/>
          <w:sz w:val="20"/>
        </w:rPr>
        <w:t>Can Nedbank perform or rely on NeuroCity submerchant KYC?</w:t>
      </w:r>
    </w:p>
    <w:p>
      <w:pPr>
        <w:pStyle w:val="ListBullet"/>
      </w:pPr>
      <w:r>
        <w:rPr>
          <w:rFonts w:ascii="Aptos" w:hAnsi="Aptos"/>
          <w:b w:val="0"/>
          <w:i w:val="0"/>
          <w:color w:val="171713"/>
          <w:sz w:val="20"/>
        </w:rPr>
        <w:t>Which business documents, risk checks and underwriting thresholds apply?</w:t>
      </w:r>
    </w:p>
    <w:p>
      <w:pPr>
        <w:pStyle w:val="Heading2"/>
      </w:pPr>
      <w:r>
        <w:t>Integration</w:t>
      </w:r>
    </w:p>
    <w:p>
      <w:pPr>
        <w:pStyle w:val="ListBullet"/>
      </w:pPr>
      <w:r>
        <w:rPr>
          <w:rFonts w:ascii="Aptos" w:hAnsi="Aptos"/>
          <w:b w:val="0"/>
          <w:i w:val="0"/>
          <w:color w:val="171713"/>
          <w:sz w:val="20"/>
        </w:rPr>
        <w:t>Are APIs, hosted checkout, SDKs, webhooks and sandbox credentials available?</w:t>
      </w:r>
    </w:p>
    <w:p>
      <w:pPr>
        <w:pStyle w:val="ListBullet"/>
      </w:pPr>
      <w:r>
        <w:rPr>
          <w:rFonts w:ascii="Aptos" w:hAnsi="Aptos"/>
          <w:b w:val="0"/>
          <w:i w:val="0"/>
          <w:color w:val="171713"/>
          <w:sz w:val="20"/>
        </w:rPr>
        <w:t>Can NeuroCity supply allocation instructions at authorisation or capture?</w:t>
      </w:r>
    </w:p>
    <w:p>
      <w:pPr>
        <w:pStyle w:val="ListBullet"/>
      </w:pPr>
      <w:r>
        <w:rPr>
          <w:rFonts w:ascii="Aptos" w:hAnsi="Aptos"/>
          <w:b w:val="0"/>
          <w:i w:val="0"/>
          <w:color w:val="171713"/>
          <w:sz w:val="20"/>
        </w:rPr>
        <w:t>How are idempotency, retries, reversals and webhook signatures handled?</w:t>
      </w:r>
    </w:p>
    <w:p>
      <w:pPr>
        <w:pStyle w:val="Heading2"/>
      </w:pPr>
      <w:r>
        <w:t>Refunds and disputes</w:t>
      </w:r>
    </w:p>
    <w:p>
      <w:pPr>
        <w:pStyle w:val="ListBullet"/>
      </w:pPr>
      <w:r>
        <w:rPr>
          <w:rFonts w:ascii="Aptos" w:hAnsi="Aptos"/>
          <w:b w:val="0"/>
          <w:i w:val="0"/>
          <w:color w:val="171713"/>
          <w:sz w:val="20"/>
        </w:rPr>
        <w:t>Are allocation-level partial refunds supported?</w:t>
      </w:r>
    </w:p>
    <w:p>
      <w:pPr>
        <w:pStyle w:val="ListBullet"/>
      </w:pPr>
      <w:r>
        <w:rPr>
          <w:rFonts w:ascii="Aptos" w:hAnsi="Aptos"/>
          <w:b w:val="0"/>
          <w:i w:val="0"/>
          <w:color w:val="171713"/>
          <w:sz w:val="20"/>
        </w:rPr>
        <w:t>How are chargebacks assigned when a basket contains several merchants?</w:t>
      </w:r>
    </w:p>
    <w:p>
      <w:pPr>
        <w:pStyle w:val="ListBullet"/>
      </w:pPr>
      <w:r>
        <w:rPr>
          <w:rFonts w:ascii="Aptos" w:hAnsi="Aptos"/>
          <w:b w:val="0"/>
          <w:i w:val="0"/>
          <w:color w:val="171713"/>
          <w:sz w:val="20"/>
        </w:rPr>
        <w:t>Can a reserve or negative merchant balance be managed without affecting unrelated merchants?</w:t>
      </w:r>
    </w:p>
    <w:p>
      <w:pPr>
        <w:pStyle w:val="Heading2"/>
      </w:pPr>
      <w:r>
        <w:t>Settlement and reconciliation</w:t>
      </w:r>
    </w:p>
    <w:p>
      <w:pPr>
        <w:pStyle w:val="ListBullet"/>
      </w:pPr>
      <w:r>
        <w:rPr>
          <w:rFonts w:ascii="Aptos" w:hAnsi="Aptos"/>
          <w:b w:val="0"/>
          <w:i w:val="0"/>
          <w:color w:val="171713"/>
          <w:sz w:val="20"/>
        </w:rPr>
        <w:t>What references appear on customer, merchant and NeuroCity statements?</w:t>
      </w:r>
    </w:p>
    <w:p>
      <w:pPr>
        <w:pStyle w:val="ListBullet"/>
      </w:pPr>
      <w:r>
        <w:rPr>
          <w:rFonts w:ascii="Aptos" w:hAnsi="Aptos"/>
          <w:b w:val="0"/>
          <w:i w:val="0"/>
          <w:color w:val="171713"/>
          <w:sz w:val="20"/>
        </w:rPr>
        <w:t>Are transaction and settlement reports available by API and downloadable file?</w:t>
      </w:r>
    </w:p>
    <w:p>
      <w:pPr>
        <w:pStyle w:val="ListBullet"/>
      </w:pPr>
      <w:r>
        <w:rPr>
          <w:rFonts w:ascii="Aptos" w:hAnsi="Aptos"/>
          <w:b w:val="0"/>
          <w:i w:val="0"/>
          <w:color w:val="171713"/>
          <w:sz w:val="20"/>
        </w:rPr>
        <w:t>How are fees, VAT, reversals and failed payouts represented?</w:t>
      </w:r>
    </w:p>
    <w:p>
      <w:pPr>
        <w:pStyle w:val="Heading2"/>
      </w:pPr>
      <w:r>
        <w:t>Regulatory structure</w:t>
      </w:r>
    </w:p>
    <w:p>
      <w:pPr>
        <w:pStyle w:val="ListBullet"/>
      </w:pPr>
      <w:r>
        <w:rPr>
          <w:rFonts w:ascii="Aptos" w:hAnsi="Aptos"/>
          <w:b w:val="0"/>
          <w:i w:val="0"/>
          <w:color w:val="171713"/>
          <w:sz w:val="20"/>
        </w:rPr>
        <w:t>In Nedbank's view, which party is the payment service provider, payment facilitator or merchant acquirer?</w:t>
      </w:r>
    </w:p>
    <w:p>
      <w:pPr>
        <w:pStyle w:val="ListBullet"/>
      </w:pPr>
      <w:r>
        <w:rPr>
          <w:rFonts w:ascii="Aptos" w:hAnsi="Aptos"/>
          <w:b w:val="0"/>
          <w:i w:val="0"/>
          <w:color w:val="171713"/>
          <w:sz w:val="20"/>
        </w:rPr>
        <w:t>Would NeuroCity require Bank of Namibia licensing or authorisation under the proposed model?</w:t>
      </w:r>
    </w:p>
    <w:p>
      <w:pPr>
        <w:pStyle w:val="ListBullet"/>
      </w:pPr>
      <w:r>
        <w:rPr>
          <w:rFonts w:ascii="Aptos" w:hAnsi="Aptos"/>
          <w:b w:val="0"/>
          <w:i w:val="0"/>
          <w:color w:val="171713"/>
          <w:sz w:val="20"/>
        </w:rPr>
        <w:t>Which contractual, AML/CFT, PCI DSS, data-protection, audit and incident-reporting duties would fall on NeuroCity?</w:t>
      </w:r>
    </w:p>
    <w:p>
      <w:pPr>
        <w:pStyle w:val="Heading1"/>
      </w:pPr>
      <w:r>
        <w:t>7. Technical requirements</w:t>
      </w:r>
    </w:p>
    <w:tbl>
      <w:tblPr>
        <w:tblStyle w:val="TableGrid"/>
        <w:tblW w:type="dxa" w:w="9360"/>
        <w:jc w:val="center"/>
        <w:tblLayout w:type="fixed"/>
        <w:tblLook w:firstColumn="1" w:firstRow="1" w:lastColumn="0" w:lastRow="0" w:noHBand="0" w:noVBand="1" w:val="04A0"/>
      </w:tblPr>
      <w:tblGrid>
        <w:gridCol w:w="1700"/>
        <w:gridCol w:w="3830"/>
        <w:gridCol w:w="3830"/>
      </w:tblGrid>
      <w:tr>
        <w:tc>
          <w:tcPr>
            <w:tcW w:type="dxa" w:w="170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Capability</w:t>
            </w:r>
          </w:p>
        </w:tc>
        <w:tc>
          <w:tcPr>
            <w:tcW w:type="dxa" w:w="383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Minimum requirement for the pilot</w:t>
            </w:r>
          </w:p>
        </w:tc>
        <w:tc>
          <w:tcPr>
            <w:tcW w:type="dxa" w:w="383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Later scale requirement</w:t>
            </w:r>
          </w:p>
        </w:tc>
      </w:tr>
      <w:tr>
        <w:tc>
          <w:tcPr>
            <w:tcW w:type="dxa" w:w="1700"/>
            <w:tcMar>
              <w:top w:w="100" w:type="dxa"/>
              <w:start w:w="130" w:type="dxa"/>
              <w:bottom w:w="100" w:type="dxa"/>
              <w:end w:w="130" w:type="dxa"/>
            </w:tcMar>
            <w:vAlign w:val="center"/>
          </w:tcPr>
          <w:p>
            <w:pPr>
              <w:spacing w:after="0" w:line="252" w:lineRule="auto"/>
            </w:pPr>
            <w:r>
              <w:rPr>
                <w:rFonts w:ascii="Aptos" w:hAnsi="Aptos"/>
                <w:b w:val="0"/>
                <w:i w:val="0"/>
                <w:color w:val="171713"/>
                <w:sz w:val="18"/>
              </w:rPr>
              <w:t>Checkout</w:t>
            </w:r>
          </w:p>
        </w:tc>
        <w:tc>
          <w:tcPr>
            <w:tcW w:type="dxa" w:w="3830"/>
            <w:tcMar>
              <w:top w:w="100" w:type="dxa"/>
              <w:start w:w="130" w:type="dxa"/>
              <w:bottom w:w="100" w:type="dxa"/>
              <w:end w:w="130" w:type="dxa"/>
            </w:tcMar>
            <w:vAlign w:val="center"/>
          </w:tcPr>
          <w:p>
            <w:pPr>
              <w:spacing w:after="0" w:line="252" w:lineRule="auto"/>
            </w:pPr>
            <w:r>
              <w:rPr>
                <w:rFonts w:ascii="Aptos" w:hAnsi="Aptos"/>
                <w:b w:val="0"/>
                <w:i w:val="0"/>
                <w:color w:val="171713"/>
                <w:sz w:val="18"/>
              </w:rPr>
              <w:t>Hosted or tokenised ecommerce payment; no raw card data stored by NeuroCity.</w:t>
            </w:r>
          </w:p>
        </w:tc>
        <w:tc>
          <w:tcPr>
            <w:tcW w:type="dxa" w:w="3830"/>
            <w:tcMar>
              <w:top w:w="100" w:type="dxa"/>
              <w:start w:w="130" w:type="dxa"/>
              <w:bottom w:w="100" w:type="dxa"/>
              <w:end w:w="130" w:type="dxa"/>
            </w:tcMar>
            <w:vAlign w:val="center"/>
          </w:tcPr>
          <w:p>
            <w:pPr>
              <w:spacing w:after="0" w:line="252" w:lineRule="auto"/>
            </w:pPr>
            <w:r>
              <w:rPr>
                <w:rFonts w:ascii="Aptos" w:hAnsi="Aptos"/>
                <w:b w:val="0"/>
                <w:i w:val="0"/>
                <w:color w:val="171713"/>
                <w:sz w:val="18"/>
              </w:rPr>
              <w:t>Saved payment tokens and additional payment methods.</w:t>
            </w:r>
          </w:p>
        </w:tc>
      </w:tr>
      <w:tr>
        <w:tc>
          <w:tcPr>
            <w:tcW w:type="dxa" w:w="17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Allocations</w:t>
            </w:r>
          </w:p>
        </w:tc>
        <w:tc>
          <w:tcPr>
            <w:tcW w:type="dxa" w:w="383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Two merchant allocations plus one NeuroCity fee allocation.</w:t>
            </w:r>
          </w:p>
        </w:tc>
        <w:tc>
          <w:tcPr>
            <w:tcW w:type="dxa" w:w="383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Dynamic allocation count and configurable fee rules.</w:t>
            </w:r>
          </w:p>
        </w:tc>
      </w:tr>
      <w:tr>
        <w:tc>
          <w:tcPr>
            <w:tcW w:type="dxa" w:w="1700"/>
            <w:tcMar>
              <w:top w:w="100" w:type="dxa"/>
              <w:start w:w="130" w:type="dxa"/>
              <w:bottom w:w="100" w:type="dxa"/>
              <w:end w:w="130" w:type="dxa"/>
            </w:tcMar>
            <w:vAlign w:val="center"/>
          </w:tcPr>
          <w:p>
            <w:pPr>
              <w:spacing w:after="0" w:line="252" w:lineRule="auto"/>
            </w:pPr>
            <w:r>
              <w:rPr>
                <w:rFonts w:ascii="Aptos" w:hAnsi="Aptos"/>
                <w:b w:val="0"/>
                <w:i w:val="0"/>
                <w:color w:val="171713"/>
                <w:sz w:val="18"/>
              </w:rPr>
              <w:t>Events</w:t>
            </w:r>
          </w:p>
        </w:tc>
        <w:tc>
          <w:tcPr>
            <w:tcW w:type="dxa" w:w="3830"/>
            <w:tcMar>
              <w:top w:w="100" w:type="dxa"/>
              <w:start w:w="130" w:type="dxa"/>
              <w:bottom w:w="100" w:type="dxa"/>
              <w:end w:w="130" w:type="dxa"/>
            </w:tcMar>
            <w:vAlign w:val="center"/>
          </w:tcPr>
          <w:p>
            <w:pPr>
              <w:spacing w:after="0" w:line="252" w:lineRule="auto"/>
            </w:pPr>
            <w:r>
              <w:rPr>
                <w:rFonts w:ascii="Aptos" w:hAnsi="Aptos"/>
                <w:b w:val="0"/>
                <w:i w:val="0"/>
                <w:color w:val="171713"/>
                <w:sz w:val="18"/>
              </w:rPr>
              <w:t>Authorised, failed, captured, settled, refunded and disputed webhooks.</w:t>
            </w:r>
          </w:p>
        </w:tc>
        <w:tc>
          <w:tcPr>
            <w:tcW w:type="dxa" w:w="3830"/>
            <w:tcMar>
              <w:top w:w="100" w:type="dxa"/>
              <w:start w:w="130" w:type="dxa"/>
              <w:bottom w:w="100" w:type="dxa"/>
              <w:end w:w="130" w:type="dxa"/>
            </w:tcMar>
            <w:vAlign w:val="center"/>
          </w:tcPr>
          <w:p>
            <w:pPr>
              <w:spacing w:after="0" w:line="252" w:lineRule="auto"/>
            </w:pPr>
            <w:r>
              <w:rPr>
                <w:rFonts w:ascii="Aptos" w:hAnsi="Aptos"/>
                <w:b w:val="0"/>
                <w:i w:val="0"/>
                <w:color w:val="171713"/>
                <w:sz w:val="18"/>
              </w:rPr>
              <w:t>Payout failure, reserve and chargeback lifecycle events.</w:t>
            </w:r>
          </w:p>
        </w:tc>
      </w:tr>
      <w:tr>
        <w:tc>
          <w:tcPr>
            <w:tcW w:type="dxa" w:w="17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Refunds</w:t>
            </w:r>
          </w:p>
        </w:tc>
        <w:tc>
          <w:tcPr>
            <w:tcW w:type="dxa" w:w="383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Full and merchant-specific partial refunds.</w:t>
            </w:r>
          </w:p>
        </w:tc>
        <w:tc>
          <w:tcPr>
            <w:tcW w:type="dxa" w:w="383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Item-level and delivery-fee refund policies.</w:t>
            </w:r>
          </w:p>
        </w:tc>
      </w:tr>
      <w:tr>
        <w:tc>
          <w:tcPr>
            <w:tcW w:type="dxa" w:w="1700"/>
            <w:tcMar>
              <w:top w:w="100" w:type="dxa"/>
              <w:start w:w="130" w:type="dxa"/>
              <w:bottom w:w="100" w:type="dxa"/>
              <w:end w:w="130" w:type="dxa"/>
            </w:tcMar>
            <w:vAlign w:val="center"/>
          </w:tcPr>
          <w:p>
            <w:pPr>
              <w:spacing w:after="0" w:line="252" w:lineRule="auto"/>
            </w:pPr>
            <w:r>
              <w:rPr>
                <w:rFonts w:ascii="Aptos" w:hAnsi="Aptos"/>
                <w:b w:val="0"/>
                <w:i w:val="0"/>
                <w:color w:val="171713"/>
                <w:sz w:val="18"/>
              </w:rPr>
              <w:t>Reconciliation</w:t>
            </w:r>
          </w:p>
        </w:tc>
        <w:tc>
          <w:tcPr>
            <w:tcW w:type="dxa" w:w="3830"/>
            <w:tcMar>
              <w:top w:w="100" w:type="dxa"/>
              <w:start w:w="130" w:type="dxa"/>
              <w:bottom w:w="100" w:type="dxa"/>
              <w:end w:w="130" w:type="dxa"/>
            </w:tcMar>
            <w:vAlign w:val="center"/>
          </w:tcPr>
          <w:p>
            <w:pPr>
              <w:spacing w:after="0" w:line="252" w:lineRule="auto"/>
            </w:pPr>
            <w:r>
              <w:rPr>
                <w:rFonts w:ascii="Aptos" w:hAnsi="Aptos"/>
                <w:b w:val="0"/>
                <w:i w:val="0"/>
                <w:color w:val="171713"/>
                <w:sz w:val="18"/>
              </w:rPr>
              <w:t>Daily transaction-to-settlement report with stable references.</w:t>
            </w:r>
          </w:p>
        </w:tc>
        <w:tc>
          <w:tcPr>
            <w:tcW w:type="dxa" w:w="3830"/>
            <w:tcMar>
              <w:top w:w="100" w:type="dxa"/>
              <w:start w:w="130" w:type="dxa"/>
              <w:bottom w:w="100" w:type="dxa"/>
              <w:end w:w="130" w:type="dxa"/>
            </w:tcMar>
            <w:vAlign w:val="center"/>
          </w:tcPr>
          <w:p>
            <w:pPr>
              <w:spacing w:after="0" w:line="252" w:lineRule="auto"/>
            </w:pPr>
            <w:r>
              <w:rPr>
                <w:rFonts w:ascii="Aptos" w:hAnsi="Aptos"/>
                <w:b w:val="0"/>
                <w:i w:val="0"/>
                <w:color w:val="171713"/>
                <w:sz w:val="18"/>
              </w:rPr>
              <w:t>Automated exception matching and finance exports.</w:t>
            </w:r>
          </w:p>
        </w:tc>
      </w:tr>
      <w:tr>
        <w:tc>
          <w:tcPr>
            <w:tcW w:type="dxa" w:w="17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Security</w:t>
            </w:r>
          </w:p>
        </w:tc>
        <w:tc>
          <w:tcPr>
            <w:tcW w:type="dxa" w:w="383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Signed webhooks, idempotency keys, restricted API credentials and audit logs.</w:t>
            </w:r>
          </w:p>
        </w:tc>
        <w:tc>
          <w:tcPr>
            <w:tcW w:type="dxa" w:w="383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Key rotation, enhanced fraud tooling and operational monitoring.</w:t>
            </w:r>
          </w:p>
        </w:tc>
      </w:tr>
    </w:tbl>
    <w:p>
      <w:pPr>
        <w:spacing w:after="20"/>
      </w:pPr>
    </w:p>
    <w:p>
      <w:r>
        <w:br w:type="page"/>
      </w:r>
    </w:p>
    <w:p>
      <w:pPr>
        <w:pStyle w:val="Heading1"/>
      </w:pPr>
      <w:r>
        <w:t>8. Proposed pilot</w:t>
      </w:r>
    </w:p>
    <w:tbl>
      <w:tblPr>
        <w:tblW w:type="dxa" w:w="9360"/>
        <w:jc w:val="center"/>
        <w:tblLayout w:type="fixed"/>
        <w:tblLook w:firstColumn="1" w:firstRow="1" w:lastColumn="0" w:lastRow="0" w:noHBand="0" w:noVBand="1" w:val="04A0"/>
      </w:tblPr>
      <w:tblGrid>
        <w:gridCol w:w="9360"/>
      </w:tblGrid>
      <w:tr>
        <w:tc>
          <w:tcPr>
            <w:tcW w:type="dxa" w:w="9360"/>
            <w:shd w:fill="F1ECFF"/>
            <w:tcMar>
              <w:top w:w="100" w:type="dxa"/>
              <w:start w:w="130" w:type="dxa"/>
              <w:bottom w:w="100" w:type="dxa"/>
              <w:end w:w="130" w:type="dxa"/>
            </w:tcMar>
            <w:vAlign w:val="center"/>
          </w:tcPr>
          <w:p>
            <w:pPr>
              <w:spacing w:after="80"/>
            </w:pPr>
            <w:r>
              <w:rPr>
                <w:rFonts w:ascii="Aptos" w:hAnsi="Aptos"/>
                <w:b/>
                <w:i w:val="0"/>
                <w:color w:val="503393"/>
                <w:sz w:val="22"/>
              </w:rPr>
              <w:t>Pilot scope</w:t>
            </w:r>
          </w:p>
          <w:p>
            <w:pPr>
              <w:spacing w:after="0"/>
            </w:pPr>
            <w:r>
              <w:rPr>
                <w:rFonts w:ascii="Aptos" w:hAnsi="Aptos"/>
                <w:b w:val="0"/>
                <w:i w:val="0"/>
                <w:color w:val="171713"/>
                <w:sz w:val="20"/>
              </w:rPr>
              <w:t>A controlled Windhoek pilot with LightWork Clothing and one additional merchant, limited transaction values, a small customer group and manual operational oversight. The pilot should prove payment allocation, settlement, refunds, reconciliation and merchant support before public scale.</w:t>
            </w:r>
          </w:p>
        </w:tc>
      </w:tr>
    </w:tbl>
    <w:p>
      <w:pPr>
        <w:spacing w:after="20"/>
      </w:pPr>
    </w:p>
    <w:tbl>
      <w:tblPr>
        <w:tblStyle w:val="TableGrid"/>
        <w:tblW w:type="dxa" w:w="9360"/>
        <w:jc w:val="center"/>
        <w:tblLayout w:type="fixed"/>
        <w:tblLook w:firstColumn="1" w:firstRow="1" w:lastColumn="0" w:lastRow="0" w:noHBand="0" w:noVBand="1" w:val="04A0"/>
      </w:tblPr>
      <w:tblGrid>
        <w:gridCol w:w="1500"/>
        <w:gridCol w:w="4250"/>
        <w:gridCol w:w="3610"/>
      </w:tblGrid>
      <w:tr>
        <w:tc>
          <w:tcPr>
            <w:tcW w:type="dxa" w:w="150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Phase</w:t>
            </w:r>
          </w:p>
        </w:tc>
        <w:tc>
          <w:tcPr>
            <w:tcW w:type="dxa" w:w="425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Scope</w:t>
            </w:r>
          </w:p>
        </w:tc>
        <w:tc>
          <w:tcPr>
            <w:tcW w:type="dxa" w:w="361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Exit criterion</w:t>
            </w:r>
          </w:p>
        </w:tc>
      </w:tr>
      <w:tr>
        <w:tc>
          <w:tcPr>
            <w:tcW w:type="dxa" w:w="1500"/>
            <w:tcMar>
              <w:top w:w="100" w:type="dxa"/>
              <w:start w:w="130" w:type="dxa"/>
              <w:bottom w:w="100" w:type="dxa"/>
              <w:end w:w="130" w:type="dxa"/>
            </w:tcMar>
            <w:vAlign w:val="center"/>
          </w:tcPr>
          <w:p>
            <w:pPr>
              <w:spacing w:after="0" w:line="252" w:lineRule="auto"/>
            </w:pPr>
            <w:r>
              <w:rPr>
                <w:rFonts w:ascii="Aptos" w:hAnsi="Aptos"/>
                <w:b w:val="0"/>
                <w:i w:val="0"/>
                <w:color w:val="171713"/>
                <w:sz w:val="18"/>
              </w:rPr>
              <w:t>1. Design</w:t>
            </w:r>
          </w:p>
        </w:tc>
        <w:tc>
          <w:tcPr>
            <w:tcW w:type="dxa" w:w="4250"/>
            <w:tcMar>
              <w:top w:w="100" w:type="dxa"/>
              <w:start w:w="130" w:type="dxa"/>
              <w:bottom w:w="100" w:type="dxa"/>
              <w:end w:w="130" w:type="dxa"/>
            </w:tcMar>
            <w:vAlign w:val="center"/>
          </w:tcPr>
          <w:p>
            <w:pPr>
              <w:spacing w:after="0" w:line="252" w:lineRule="auto"/>
            </w:pPr>
            <w:r>
              <w:rPr>
                <w:rFonts w:ascii="Aptos" w:hAnsi="Aptos"/>
                <w:b w:val="0"/>
                <w:i w:val="0"/>
                <w:color w:val="171713"/>
                <w:sz w:val="18"/>
              </w:rPr>
              <w:t>Confirm legal roles, funds flow, contracts, API and commercial terms.</w:t>
            </w:r>
          </w:p>
        </w:tc>
        <w:tc>
          <w:tcPr>
            <w:tcW w:type="dxa" w:w="3610"/>
            <w:tcMar>
              <w:top w:w="100" w:type="dxa"/>
              <w:start w:w="130" w:type="dxa"/>
              <w:bottom w:w="100" w:type="dxa"/>
              <w:end w:w="130" w:type="dxa"/>
            </w:tcMar>
            <w:vAlign w:val="center"/>
          </w:tcPr>
          <w:p>
            <w:pPr>
              <w:spacing w:after="0" w:line="252" w:lineRule="auto"/>
            </w:pPr>
            <w:r>
              <w:rPr>
                <w:rFonts w:ascii="Aptos" w:hAnsi="Aptos"/>
                <w:b w:val="0"/>
                <w:i w:val="0"/>
                <w:color w:val="171713"/>
                <w:sz w:val="18"/>
              </w:rPr>
              <w:t>Written solution outline and responsibilities matrix.</w:t>
            </w:r>
          </w:p>
        </w:tc>
      </w:tr>
      <w:tr>
        <w:tc>
          <w:tcPr>
            <w:tcW w:type="dxa" w:w="15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2. Sandbox</w:t>
            </w:r>
          </w:p>
        </w:tc>
        <w:tc>
          <w:tcPr>
            <w:tcW w:type="dxa" w:w="425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Create submerchants, test one multi-store payment and all negative paths.</w:t>
            </w:r>
          </w:p>
        </w:tc>
        <w:tc>
          <w:tcPr>
            <w:tcW w:type="dxa" w:w="361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Successful automated reconciliation and partial refund.</w:t>
            </w:r>
          </w:p>
        </w:tc>
      </w:tr>
      <w:tr>
        <w:tc>
          <w:tcPr>
            <w:tcW w:type="dxa" w:w="1500"/>
            <w:tcMar>
              <w:top w:w="100" w:type="dxa"/>
              <w:start w:w="130" w:type="dxa"/>
              <w:bottom w:w="100" w:type="dxa"/>
              <w:end w:w="130" w:type="dxa"/>
            </w:tcMar>
            <w:vAlign w:val="center"/>
          </w:tcPr>
          <w:p>
            <w:pPr>
              <w:spacing w:after="0" w:line="252" w:lineRule="auto"/>
            </w:pPr>
            <w:r>
              <w:rPr>
                <w:rFonts w:ascii="Aptos" w:hAnsi="Aptos"/>
                <w:b w:val="0"/>
                <w:i w:val="0"/>
                <w:color w:val="171713"/>
                <w:sz w:val="18"/>
              </w:rPr>
              <w:t>3. Controlled live pilot</w:t>
            </w:r>
          </w:p>
        </w:tc>
        <w:tc>
          <w:tcPr>
            <w:tcW w:type="dxa" w:w="4250"/>
            <w:tcMar>
              <w:top w:w="100" w:type="dxa"/>
              <w:start w:w="130" w:type="dxa"/>
              <w:bottom w:w="100" w:type="dxa"/>
              <w:end w:w="130" w:type="dxa"/>
            </w:tcMar>
            <w:vAlign w:val="center"/>
          </w:tcPr>
          <w:p>
            <w:pPr>
              <w:spacing w:after="0" w:line="252" w:lineRule="auto"/>
            </w:pPr>
            <w:r>
              <w:rPr>
                <w:rFonts w:ascii="Aptos" w:hAnsi="Aptos"/>
                <w:b w:val="0"/>
                <w:i w:val="0"/>
                <w:color w:val="171713"/>
                <w:sz w:val="18"/>
              </w:rPr>
              <w:t>Small invited customer cohort and capped values.</w:t>
            </w:r>
          </w:p>
        </w:tc>
        <w:tc>
          <w:tcPr>
            <w:tcW w:type="dxa" w:w="3610"/>
            <w:tcMar>
              <w:top w:w="100" w:type="dxa"/>
              <w:start w:w="130" w:type="dxa"/>
              <w:bottom w:w="100" w:type="dxa"/>
              <w:end w:w="130" w:type="dxa"/>
            </w:tcMar>
            <w:vAlign w:val="center"/>
          </w:tcPr>
          <w:p>
            <w:pPr>
              <w:spacing w:after="0" w:line="252" w:lineRule="auto"/>
            </w:pPr>
            <w:r>
              <w:rPr>
                <w:rFonts w:ascii="Aptos" w:hAnsi="Aptos"/>
                <w:b w:val="0"/>
                <w:i w:val="0"/>
                <w:color w:val="171713"/>
                <w:sz w:val="18"/>
              </w:rPr>
              <w:t>No unresolved settlement differences or critical incidents.</w:t>
            </w:r>
          </w:p>
        </w:tc>
      </w:tr>
      <w:tr>
        <w:tc>
          <w:tcPr>
            <w:tcW w:type="dxa" w:w="150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4. Public Windhoek pilot</w:t>
            </w:r>
          </w:p>
        </w:tc>
        <w:tc>
          <w:tcPr>
            <w:tcW w:type="dxa" w:w="425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Approved merchants and monitored onboarding.</w:t>
            </w:r>
          </w:p>
        </w:tc>
        <w:tc>
          <w:tcPr>
            <w:tcW w:type="dxa" w:w="361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Agreed volume, conversion and service-quality thresholds.</w:t>
            </w:r>
          </w:p>
        </w:tc>
      </w:tr>
    </w:tbl>
    <w:p>
      <w:pPr>
        <w:spacing w:after="20"/>
      </w:pPr>
    </w:p>
    <w:p>
      <w:pPr>
        <w:pStyle w:val="Heading2"/>
      </w:pPr>
      <w:r>
        <w:t>Pilot success measures</w:t>
      </w:r>
    </w:p>
    <w:p>
      <w:pPr>
        <w:pStyle w:val="ListBullet"/>
      </w:pPr>
      <w:r>
        <w:rPr>
          <w:rFonts w:ascii="Aptos" w:hAnsi="Aptos"/>
          <w:b w:val="0"/>
          <w:i w:val="0"/>
          <w:color w:val="171713"/>
          <w:sz w:val="20"/>
        </w:rPr>
        <w:t>Payment authorisation and settlement success rates.</w:t>
      </w:r>
    </w:p>
    <w:p>
      <w:pPr>
        <w:pStyle w:val="ListBullet"/>
      </w:pPr>
      <w:r>
        <w:rPr>
          <w:rFonts w:ascii="Aptos" w:hAnsi="Aptos"/>
          <w:b w:val="0"/>
          <w:i w:val="0"/>
          <w:color w:val="171713"/>
          <w:sz w:val="20"/>
        </w:rPr>
        <w:t>Exact match between NeuroCity allocation records and bank settlement reports.</w:t>
      </w:r>
    </w:p>
    <w:p>
      <w:pPr>
        <w:pStyle w:val="ListBullet"/>
      </w:pPr>
      <w:r>
        <w:rPr>
          <w:rFonts w:ascii="Aptos" w:hAnsi="Aptos"/>
          <w:b w:val="0"/>
          <w:i w:val="0"/>
          <w:color w:val="171713"/>
          <w:sz w:val="20"/>
        </w:rPr>
        <w:t>Time from successful payment to merchant settlement.</w:t>
      </w:r>
    </w:p>
    <w:p>
      <w:pPr>
        <w:pStyle w:val="ListBullet"/>
      </w:pPr>
      <w:r>
        <w:rPr>
          <w:rFonts w:ascii="Aptos" w:hAnsi="Aptos"/>
          <w:b w:val="0"/>
          <w:i w:val="0"/>
          <w:color w:val="171713"/>
          <w:sz w:val="20"/>
        </w:rPr>
        <w:t>Refund completion time and allocation accuracy.</w:t>
      </w:r>
    </w:p>
    <w:p>
      <w:pPr>
        <w:pStyle w:val="ListBullet"/>
      </w:pPr>
      <w:r>
        <w:rPr>
          <w:rFonts w:ascii="Aptos" w:hAnsi="Aptos"/>
          <w:b w:val="0"/>
          <w:i w:val="0"/>
          <w:color w:val="171713"/>
          <w:sz w:val="20"/>
        </w:rPr>
        <w:t>Chargeback and fraud incidence.</w:t>
      </w:r>
    </w:p>
    <w:p>
      <w:pPr>
        <w:pStyle w:val="ListBullet"/>
      </w:pPr>
      <w:r>
        <w:rPr>
          <w:rFonts w:ascii="Aptos" w:hAnsi="Aptos"/>
          <w:b w:val="0"/>
          <w:i w:val="0"/>
          <w:color w:val="171713"/>
          <w:sz w:val="20"/>
        </w:rPr>
        <w:t>Merchant onboarding time and support burden.</w:t>
      </w:r>
    </w:p>
    <w:p>
      <w:pPr>
        <w:pStyle w:val="ListBullet"/>
      </w:pPr>
      <w:r>
        <w:rPr>
          <w:rFonts w:ascii="Aptos" w:hAnsi="Aptos"/>
          <w:b w:val="0"/>
          <w:i w:val="0"/>
          <w:color w:val="171713"/>
          <w:sz w:val="20"/>
        </w:rPr>
        <w:t>Customer checkout completion rate.</w:t>
      </w:r>
    </w:p>
    <w:p>
      <w:r>
        <w:br w:type="page"/>
      </w:r>
    </w:p>
    <w:p>
      <w:pPr>
        <w:pStyle w:val="Heading1"/>
      </w:pPr>
      <w:r>
        <w:t>9. Decisions requested from the meeting</w:t>
      </w:r>
    </w:p>
    <w:p>
      <w:pPr>
        <w:pStyle w:val="ListNumber"/>
      </w:pPr>
      <w:r>
        <w:rPr>
          <w:rFonts w:ascii="Aptos" w:hAnsi="Aptos"/>
          <w:b w:val="0"/>
          <w:i w:val="0"/>
          <w:color w:val="171713"/>
          <w:sz w:val="20"/>
        </w:rPr>
        <w:t>Confirm whether Nedbank can sponsor or provide the preferred marketplace split-settlement model.</w:t>
      </w:r>
    </w:p>
    <w:p>
      <w:pPr>
        <w:pStyle w:val="ListNumber"/>
      </w:pPr>
      <w:r>
        <w:rPr>
          <w:rFonts w:ascii="Aptos" w:hAnsi="Aptos"/>
          <w:b w:val="0"/>
          <w:i w:val="0"/>
          <w:color w:val="171713"/>
          <w:sz w:val="20"/>
        </w:rPr>
        <w:t>Name the proposed product, regulated role and account structure.</w:t>
      </w:r>
    </w:p>
    <w:p>
      <w:pPr>
        <w:pStyle w:val="ListNumber"/>
      </w:pPr>
      <w:r>
        <w:rPr>
          <w:rFonts w:ascii="Aptos" w:hAnsi="Aptos"/>
          <w:b w:val="0"/>
          <w:i w:val="0"/>
          <w:color w:val="171713"/>
          <w:sz w:val="20"/>
        </w:rPr>
        <w:t>Identify all parties that must be contracted and onboarded.</w:t>
      </w:r>
    </w:p>
    <w:p>
      <w:pPr>
        <w:pStyle w:val="ListNumber"/>
      </w:pPr>
      <w:r>
        <w:rPr>
          <w:rFonts w:ascii="Aptos" w:hAnsi="Aptos"/>
          <w:b w:val="0"/>
          <w:i w:val="0"/>
          <w:color w:val="171713"/>
          <w:sz w:val="20"/>
        </w:rPr>
        <w:t>Confirm the compliance and Bank of Namibia engagement route.</w:t>
      </w:r>
    </w:p>
    <w:p>
      <w:pPr>
        <w:pStyle w:val="ListNumber"/>
      </w:pPr>
      <w:r>
        <w:rPr>
          <w:rFonts w:ascii="Aptos" w:hAnsi="Aptos"/>
          <w:b w:val="0"/>
          <w:i w:val="0"/>
          <w:color w:val="171713"/>
          <w:sz w:val="20"/>
        </w:rPr>
        <w:t>Provide sandbox/API documentation or a technical discovery session.</w:t>
      </w:r>
    </w:p>
    <w:p>
      <w:pPr>
        <w:pStyle w:val="ListNumber"/>
      </w:pPr>
      <w:r>
        <w:rPr>
          <w:rFonts w:ascii="Aptos" w:hAnsi="Aptos"/>
          <w:b w:val="0"/>
          <w:i w:val="0"/>
          <w:color w:val="171713"/>
          <w:sz w:val="20"/>
        </w:rPr>
        <w:t>Provide indicative pricing, settlement timing, reserves and implementation lead time.</w:t>
      </w:r>
    </w:p>
    <w:p>
      <w:pPr>
        <w:pStyle w:val="ListNumber"/>
      </w:pPr>
      <w:r>
        <w:rPr>
          <w:rFonts w:ascii="Aptos" w:hAnsi="Aptos"/>
          <w:b w:val="0"/>
          <w:i w:val="0"/>
          <w:color w:val="171713"/>
          <w:sz w:val="20"/>
        </w:rPr>
        <w:t>Agree owners and dates for the next solution-design session.</w:t>
      </w:r>
    </w:p>
    <w:p>
      <w:pPr>
        <w:pStyle w:val="Heading1"/>
      </w:pPr>
      <w:r>
        <w:t>10. NeuroCity readiness</w:t>
      </w:r>
    </w:p>
    <w:tbl>
      <w:tblPr>
        <w:tblStyle w:val="TableGrid"/>
        <w:tblW w:type="dxa" w:w="9360"/>
        <w:jc w:val="center"/>
        <w:tblLayout w:type="fixed"/>
        <w:tblLook w:firstColumn="1" w:firstRow="1" w:lastColumn="0" w:lastRow="0" w:noHBand="0" w:noVBand="1" w:val="04A0"/>
      </w:tblPr>
      <w:tblGrid>
        <w:gridCol w:w="4680"/>
        <w:gridCol w:w="4680"/>
      </w:tblGrid>
      <w:tr>
        <w:tc>
          <w:tcPr>
            <w:tcW w:type="dxa" w:w="468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Already implemented</w:t>
            </w:r>
          </w:p>
        </w:tc>
        <w:tc>
          <w:tcPr>
            <w:tcW w:type="dxa" w:w="4680"/>
            <w:shd w:fill="503393"/>
            <w:tcMar>
              <w:top w:w="100" w:type="dxa"/>
              <w:start w:w="130" w:type="dxa"/>
              <w:bottom w:w="100" w:type="dxa"/>
              <w:end w:w="130" w:type="dxa"/>
            </w:tcMar>
            <w:vAlign w:val="center"/>
          </w:tcPr>
          <w:p>
            <w:pPr>
              <w:spacing w:after="0" w:line="252" w:lineRule="auto"/>
            </w:pPr>
            <w:r>
              <w:rPr>
                <w:rFonts w:ascii="Aptos" w:hAnsi="Aptos"/>
                <w:b/>
                <w:i w:val="0"/>
                <w:color w:val="FFFFFF"/>
                <w:sz w:val="18"/>
              </w:rPr>
              <w:t>Next architecture after bank confirmation</w:t>
            </w:r>
          </w:p>
        </w:tc>
      </w:tr>
      <w:tr>
        <w:tc>
          <w:tcPr>
            <w:tcW w:type="dxa" w:w="4680"/>
            <w:tcMar>
              <w:top w:w="100" w:type="dxa"/>
              <w:start w:w="130" w:type="dxa"/>
              <w:bottom w:w="100" w:type="dxa"/>
              <w:end w:w="130" w:type="dxa"/>
            </w:tcMar>
            <w:vAlign w:val="center"/>
          </w:tcPr>
          <w:p>
            <w:pPr>
              <w:spacing w:after="0" w:line="252" w:lineRule="auto"/>
            </w:pPr>
            <w:r>
              <w:rPr>
                <w:rFonts w:ascii="Aptos" w:hAnsi="Aptos"/>
                <w:b w:val="0"/>
                <w:i w:val="0"/>
                <w:color w:val="171713"/>
                <w:sz w:val="18"/>
              </w:rPr>
              <w:t>Merchant application, document upload and approval</w:t>
            </w:r>
          </w:p>
        </w:tc>
        <w:tc>
          <w:tcPr>
            <w:tcW w:type="dxa" w:w="4680"/>
            <w:tcMar>
              <w:top w:w="100" w:type="dxa"/>
              <w:start w:w="130" w:type="dxa"/>
              <w:bottom w:w="100" w:type="dxa"/>
              <w:end w:w="130" w:type="dxa"/>
            </w:tcMar>
            <w:vAlign w:val="center"/>
          </w:tcPr>
          <w:p>
            <w:pPr>
              <w:spacing w:after="0" w:line="252" w:lineRule="auto"/>
            </w:pPr>
            <w:r>
              <w:rPr>
                <w:rFonts w:ascii="Aptos" w:hAnsi="Aptos"/>
                <w:b w:val="0"/>
                <w:i w:val="0"/>
                <w:color w:val="171713"/>
                <w:sz w:val="18"/>
              </w:rPr>
              <w:t>Provider/submerchant identity mapping</w:t>
            </w:r>
          </w:p>
        </w:tc>
      </w:tr>
      <w:tr>
        <w:tc>
          <w:tcPr>
            <w:tcW w:type="dxa" w:w="468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Secure merchant and customer accounts</w:t>
            </w:r>
          </w:p>
        </w:tc>
        <w:tc>
          <w:tcPr>
            <w:tcW w:type="dxa" w:w="468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Marketplace checkout session</w:t>
            </w:r>
          </w:p>
        </w:tc>
      </w:tr>
      <w:tr>
        <w:tc>
          <w:tcPr>
            <w:tcW w:type="dxa" w:w="4680"/>
            <w:tcMar>
              <w:top w:w="100" w:type="dxa"/>
              <w:start w:w="130" w:type="dxa"/>
              <w:bottom w:w="100" w:type="dxa"/>
              <w:end w:w="130" w:type="dxa"/>
            </w:tcMar>
            <w:vAlign w:val="center"/>
          </w:tcPr>
          <w:p>
            <w:pPr>
              <w:spacing w:after="0" w:line="252" w:lineRule="auto"/>
            </w:pPr>
            <w:r>
              <w:rPr>
                <w:rFonts w:ascii="Aptos" w:hAnsi="Aptos"/>
                <w:b w:val="0"/>
                <w:i w:val="0"/>
                <w:color w:val="171713"/>
                <w:sz w:val="18"/>
              </w:rPr>
              <w:t>Independent storefronts and live catalogues</w:t>
            </w:r>
          </w:p>
        </w:tc>
        <w:tc>
          <w:tcPr>
            <w:tcW w:type="dxa" w:w="4680"/>
            <w:tcMar>
              <w:top w:w="100" w:type="dxa"/>
              <w:start w:w="130" w:type="dxa"/>
              <w:bottom w:w="100" w:type="dxa"/>
              <w:end w:w="130" w:type="dxa"/>
            </w:tcMar>
            <w:vAlign w:val="center"/>
          </w:tcPr>
          <w:p>
            <w:pPr>
              <w:spacing w:after="0" w:line="252" w:lineRule="auto"/>
            </w:pPr>
            <w:r>
              <w:rPr>
                <w:rFonts w:ascii="Aptos" w:hAnsi="Aptos"/>
                <w:b w:val="0"/>
                <w:i w:val="0"/>
                <w:color w:val="171713"/>
                <w:sz w:val="18"/>
              </w:rPr>
              <w:t>Grouped order with merchant suborders</w:t>
            </w:r>
          </w:p>
        </w:tc>
      </w:tr>
      <w:tr>
        <w:tc>
          <w:tcPr>
            <w:tcW w:type="dxa" w:w="468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Variant inventory and reservations</w:t>
            </w:r>
          </w:p>
        </w:tc>
        <w:tc>
          <w:tcPr>
            <w:tcW w:type="dxa" w:w="468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Payment allocations and settlement ledger</w:t>
            </w:r>
          </w:p>
        </w:tc>
      </w:tr>
      <w:tr>
        <w:tc>
          <w:tcPr>
            <w:tcW w:type="dxa" w:w="4680"/>
            <w:tcMar>
              <w:top w:w="100" w:type="dxa"/>
              <w:start w:w="130" w:type="dxa"/>
              <w:bottom w:w="100" w:type="dxa"/>
              <w:end w:w="130" w:type="dxa"/>
            </w:tcMar>
            <w:vAlign w:val="center"/>
          </w:tcPr>
          <w:p>
            <w:pPr>
              <w:spacing w:after="0" w:line="252" w:lineRule="auto"/>
            </w:pPr>
            <w:r>
              <w:rPr>
                <w:rFonts w:ascii="Aptos" w:hAnsi="Aptos"/>
                <w:b w:val="0"/>
                <w:i w:val="0"/>
                <w:color w:val="171713"/>
                <w:sz w:val="18"/>
              </w:rPr>
              <w:t>Pickup, merchant delivery and delivery fees</w:t>
            </w:r>
          </w:p>
        </w:tc>
        <w:tc>
          <w:tcPr>
            <w:tcW w:type="dxa" w:w="4680"/>
            <w:tcMar>
              <w:top w:w="100" w:type="dxa"/>
              <w:start w:w="130" w:type="dxa"/>
              <w:bottom w:w="100" w:type="dxa"/>
              <w:end w:w="130" w:type="dxa"/>
            </w:tcMar>
            <w:vAlign w:val="center"/>
          </w:tcPr>
          <w:p>
            <w:pPr>
              <w:spacing w:after="0" w:line="252" w:lineRule="auto"/>
            </w:pPr>
            <w:r>
              <w:rPr>
                <w:rFonts w:ascii="Aptos" w:hAnsi="Aptos"/>
                <w:b w:val="0"/>
                <w:i w:val="0"/>
                <w:color w:val="171713"/>
                <w:sz w:val="18"/>
              </w:rPr>
              <w:t>Provider webhooks and reconciliation jobs</w:t>
            </w:r>
          </w:p>
        </w:tc>
      </w:tr>
      <w:tr>
        <w:tc>
          <w:tcPr>
            <w:tcW w:type="dxa" w:w="468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EFT instructions and proof review</w:t>
            </w:r>
          </w:p>
        </w:tc>
        <w:tc>
          <w:tcPr>
            <w:tcW w:type="dxa" w:w="468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Hosted/tokenised online payment</w:t>
            </w:r>
          </w:p>
        </w:tc>
      </w:tr>
      <w:tr>
        <w:tc>
          <w:tcPr>
            <w:tcW w:type="dxa" w:w="4680"/>
            <w:tcMar>
              <w:top w:w="100" w:type="dxa"/>
              <w:start w:w="130" w:type="dxa"/>
              <w:bottom w:w="100" w:type="dxa"/>
              <w:end w:w="130" w:type="dxa"/>
            </w:tcMar>
            <w:vAlign w:val="center"/>
          </w:tcPr>
          <w:p>
            <w:pPr>
              <w:spacing w:after="0" w:line="252" w:lineRule="auto"/>
            </w:pPr>
            <w:r>
              <w:rPr>
                <w:rFonts w:ascii="Aptos" w:hAnsi="Aptos"/>
                <w:b w:val="0"/>
                <w:i w:val="0"/>
                <w:color w:val="171713"/>
                <w:sz w:val="18"/>
              </w:rPr>
              <w:t>Order tracking, cancellations, issues and refunds</w:t>
            </w:r>
          </w:p>
        </w:tc>
        <w:tc>
          <w:tcPr>
            <w:tcW w:type="dxa" w:w="4680"/>
            <w:tcMar>
              <w:top w:w="100" w:type="dxa"/>
              <w:start w:w="130" w:type="dxa"/>
              <w:bottom w:w="100" w:type="dxa"/>
              <w:end w:w="130" w:type="dxa"/>
            </w:tcMar>
            <w:vAlign w:val="center"/>
          </w:tcPr>
          <w:p>
            <w:pPr>
              <w:spacing w:after="0" w:line="252" w:lineRule="auto"/>
            </w:pPr>
            <w:r>
              <w:rPr>
                <w:rFonts w:ascii="Aptos" w:hAnsi="Aptos"/>
                <w:b w:val="0"/>
                <w:i w:val="0"/>
                <w:color w:val="171713"/>
                <w:sz w:val="18"/>
              </w:rPr>
              <w:t>Allocation-level refunds and disputes</w:t>
            </w:r>
          </w:p>
        </w:tc>
      </w:tr>
      <w:tr>
        <w:tc>
          <w:tcPr>
            <w:tcW w:type="dxa" w:w="468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Admin transaction analytics and audit events</w:t>
            </w:r>
          </w:p>
        </w:tc>
        <w:tc>
          <w:tcPr>
            <w:tcW w:type="dxa" w:w="4680"/>
            <w:shd w:fill="FAF9F7"/>
            <w:tcMar>
              <w:top w:w="100" w:type="dxa"/>
              <w:start w:w="130" w:type="dxa"/>
              <w:bottom w:w="100" w:type="dxa"/>
              <w:end w:w="130" w:type="dxa"/>
            </w:tcMar>
            <w:vAlign w:val="center"/>
          </w:tcPr>
          <w:p>
            <w:pPr>
              <w:spacing w:after="0" w:line="252" w:lineRule="auto"/>
            </w:pPr>
            <w:r>
              <w:rPr>
                <w:rFonts w:ascii="Aptos" w:hAnsi="Aptos"/>
                <w:b w:val="0"/>
                <w:i w:val="0"/>
                <w:color w:val="171713"/>
                <w:sz w:val="18"/>
              </w:rPr>
              <w:t>Settlement exception operations centre</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F1ECFF"/>
            <w:tcMar>
              <w:top w:w="100" w:type="dxa"/>
              <w:start w:w="130" w:type="dxa"/>
              <w:bottom w:w="100" w:type="dxa"/>
              <w:end w:w="130" w:type="dxa"/>
            </w:tcMar>
            <w:vAlign w:val="center"/>
          </w:tcPr>
          <w:p>
            <w:pPr>
              <w:spacing w:after="80"/>
            </w:pPr>
            <w:r>
              <w:rPr>
                <w:rFonts w:ascii="Aptos" w:hAnsi="Aptos"/>
                <w:b/>
                <w:i w:val="0"/>
                <w:color w:val="503393"/>
                <w:sz w:val="22"/>
              </w:rPr>
              <w:t>Engineering commitment</w:t>
            </w:r>
          </w:p>
          <w:p>
            <w:pPr>
              <w:spacing w:after="0"/>
            </w:pPr>
            <w:r>
              <w:rPr>
                <w:rFonts w:ascii="Aptos" w:hAnsi="Aptos"/>
                <w:b w:val="0"/>
                <w:i w:val="0"/>
                <w:color w:val="171713"/>
                <w:sz w:val="20"/>
              </w:rPr>
              <w:t>NeuroCity can build the multi-store basket and grouped-order data model immediately. The actual movement and splitting of customer funds should only be activated after Nedbank confirms the provider model, API capability, contractual allocation of responsibilities and regulatory path.</w:t>
            </w:r>
          </w:p>
        </w:tc>
      </w:tr>
    </w:tbl>
    <w:p>
      <w:pPr>
        <w:spacing w:after="20"/>
      </w:pPr>
    </w:p>
    <w:p>
      <w:pPr>
        <w:pStyle w:val="Heading1"/>
      </w:pPr>
      <w:r>
        <w:t>Appendix A - Target transaction records</w:t>
      </w:r>
    </w:p>
    <w:p>
      <w:pPr>
        <w:pStyle w:val="ListBullet"/>
      </w:pPr>
      <w:r>
        <w:rPr>
          <w:rFonts w:ascii="Aptos" w:hAnsi="Aptos"/>
          <w:b w:val="0"/>
          <w:i w:val="0"/>
          <w:color w:val="171713"/>
          <w:sz w:val="20"/>
        </w:rPr>
        <w:t>Checkout group: the customer's single basket and one payable total.</w:t>
      </w:r>
    </w:p>
    <w:p>
      <w:pPr>
        <w:pStyle w:val="ListBullet"/>
      </w:pPr>
      <w:r>
        <w:rPr>
          <w:rFonts w:ascii="Aptos" w:hAnsi="Aptos"/>
          <w:b w:val="0"/>
          <w:i w:val="0"/>
          <w:color w:val="171713"/>
          <w:sz w:val="20"/>
        </w:rPr>
        <w:t>Merchant suborder: the items, fulfilment and status belonging to one merchant.</w:t>
      </w:r>
    </w:p>
    <w:p>
      <w:pPr>
        <w:pStyle w:val="ListBullet"/>
      </w:pPr>
      <w:r>
        <w:rPr>
          <w:rFonts w:ascii="Aptos" w:hAnsi="Aptos"/>
          <w:b w:val="0"/>
          <w:i w:val="0"/>
          <w:color w:val="171713"/>
          <w:sz w:val="20"/>
        </w:rPr>
        <w:t>Payment transaction: provider reference, amount, currency and payment lifecycle.</w:t>
      </w:r>
    </w:p>
    <w:p>
      <w:pPr>
        <w:pStyle w:val="ListBullet"/>
      </w:pPr>
      <w:r>
        <w:rPr>
          <w:rFonts w:ascii="Aptos" w:hAnsi="Aptos"/>
          <w:b w:val="0"/>
          <w:i w:val="0"/>
          <w:color w:val="171713"/>
          <w:sz w:val="20"/>
        </w:rPr>
        <w:t>Allocation: immutable gross, fee, delivery, tax and merchant-net components.</w:t>
      </w:r>
    </w:p>
    <w:p>
      <w:pPr>
        <w:pStyle w:val="ListBullet"/>
      </w:pPr>
      <w:r>
        <w:rPr>
          <w:rFonts w:ascii="Aptos" w:hAnsi="Aptos"/>
          <w:b w:val="0"/>
          <w:i w:val="0"/>
          <w:color w:val="171713"/>
          <w:sz w:val="20"/>
        </w:rPr>
        <w:t>Settlement: provider-confirmed payout amount, date, reference and destination merchant.</w:t>
      </w:r>
    </w:p>
    <w:p>
      <w:pPr>
        <w:pStyle w:val="ListBullet"/>
      </w:pPr>
      <w:r>
        <w:rPr>
          <w:rFonts w:ascii="Aptos" w:hAnsi="Aptos"/>
          <w:b w:val="0"/>
          <w:i w:val="0"/>
          <w:color w:val="171713"/>
          <w:sz w:val="20"/>
        </w:rPr>
        <w:t>Refund: whole-payment or allocation-level reversal linked to items and reasons.</w:t>
      </w:r>
    </w:p>
    <w:p>
      <w:pPr>
        <w:pStyle w:val="ListBullet"/>
      </w:pPr>
      <w:r>
        <w:rPr>
          <w:rFonts w:ascii="Aptos" w:hAnsi="Aptos"/>
          <w:b w:val="0"/>
          <w:i w:val="0"/>
          <w:color w:val="171713"/>
          <w:sz w:val="20"/>
        </w:rPr>
        <w:t>Dispute: chargeback or customer issue with ownership, evidence and resolution.</w:t>
      </w:r>
    </w:p>
    <w:p>
      <w:pPr>
        <w:pStyle w:val="ListBullet"/>
      </w:pPr>
      <w:r>
        <w:rPr>
          <w:rFonts w:ascii="Aptos" w:hAnsi="Aptos"/>
          <w:b w:val="0"/>
          <w:i w:val="0"/>
          <w:color w:val="171713"/>
          <w:sz w:val="20"/>
        </w:rPr>
        <w:t>Ledger event: append-only record supporting reconciliation and audit.</w:t>
      </w:r>
    </w:p>
    <w:p>
      <w:pPr>
        <w:pStyle w:val="Heading1"/>
      </w:pPr>
      <w:r>
        <w:t>Appendix B - Regulatory context and sources</w:t>
      </w:r>
    </w:p>
    <w:p>
      <w:r>
        <w:rPr>
          <w:rFonts w:ascii="Aptos" w:hAnsi="Aptos"/>
          <w:b w:val="0"/>
          <w:i w:val="0"/>
          <w:color w:val="171713"/>
          <w:sz w:val="21"/>
        </w:rPr>
        <w:t>This discussion pack is a commercial and technical planning document, not legal advice. The final structure should be reviewed with Nedbank, Bank of Namibia and qualified Namibian legal/compliance advisers.</w:t>
      </w:r>
    </w:p>
    <w:p>
      <w:pPr>
        <w:pStyle w:val="ListBullet"/>
      </w:pPr>
      <w:r>
        <w:rPr>
          <w:rFonts w:ascii="Aptos" w:hAnsi="Aptos"/>
          <w:b w:val="0"/>
          <w:i w:val="0"/>
          <w:color w:val="171713"/>
          <w:sz w:val="20"/>
        </w:rPr>
        <w:t>Bank of Namibia. Payment System Management Act, 2023 (Act No. 14 of 2023): https://www.bon.com.na/Bank/Payments-and-Settlements/Legal-Framework/Payment-System-Management-Act.aspx</w:t>
      </w:r>
    </w:p>
    <w:p>
      <w:pPr>
        <w:pStyle w:val="ListBullet"/>
      </w:pPr>
      <w:r>
        <w:rPr>
          <w:rFonts w:ascii="Aptos" w:hAnsi="Aptos"/>
          <w:b w:val="0"/>
          <w:i w:val="0"/>
          <w:color w:val="171713"/>
          <w:sz w:val="20"/>
        </w:rPr>
        <w:t>Bank of Namibia. Determinations, including PSD-1 licensing and authorisation requirements and PSD-12 operational and cybersecurity standards: https://www.bon.com.na/Bank/National-Payment-System/Legal-Framework/Determinations.aspx</w:t>
      </w:r>
    </w:p>
    <w:p>
      <w:pPr>
        <w:pStyle w:val="ListBullet"/>
      </w:pPr>
      <w:r>
        <w:rPr>
          <w:rFonts w:ascii="Aptos" w:hAnsi="Aptos"/>
          <w:b w:val="0"/>
          <w:i w:val="0"/>
          <w:color w:val="171713"/>
          <w:sz w:val="20"/>
        </w:rPr>
        <w:t>Bank of Namibia. BoN Takes on Role of Licensing Payment Service Providers, 11 October 2023: https://www.bon.com.na/Informations/Media/Media-Releases/2023-Media-Releases/Articles/BoN-Takes-on-Role-of-Licensing-Payment-Service-Pro.aspx</w:t>
      </w:r>
    </w:p>
    <w:p>
      <w:pPr>
        <w:pStyle w:val="ListBullet"/>
      </w:pPr>
      <w:r>
        <w:rPr>
          <w:rFonts w:ascii="Aptos" w:hAnsi="Aptos"/>
          <w:b w:val="0"/>
          <w:i w:val="0"/>
          <w:color w:val="171713"/>
          <w:sz w:val="20"/>
        </w:rPr>
        <w:t>Nedbank Namibia. Merchant payment solutions: https://www.nedbank.com.na/business/home/tailored-solutions/merchant-payment-solutions.html</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706A62"/>
        <w:sz w:val="16"/>
      </w:rPr>
      <w:t>Prepared for discussion with Nedbank Namibia  |  17 August 2026  |  NeuroCity Windhoek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503393"/>
        <w:sz w:val="17"/>
      </w:rPr>
      <w:t>NEUROCITY  /  MARKETPLACE PAYMENTS</w:t>
    </w:r>
    <w:r>
      <w:rPr>
        <w:rFonts w:ascii="Aptos" w:hAnsi="Aptos"/>
        <w:b w:val="0"/>
        <w:i w:val="0"/>
        <w:color w:val="706A62"/>
        <w:sz w:val="16"/>
      </w:rPr>
      <w:t xml:space="preserve">                                      CONFIDENTIAL DISCUSSION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717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503393"/>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503393"/>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171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w:hAnsi="Aptos"/>
      <w:b/>
      <w:color w:val="17171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706A6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8"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8"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NeuroCity Marketplace Payments - Nedbank Meeting Pack</dc:title>
  <dc:subject>Multi-merchant checkout, split settlement and regulated payment partnership</dc:subject>
  <dc:creator>NeuroCity</dc:creator>
  <cp:keywords>NeuroCity, Nedbank Namibia, marketplace payments, split settlement, Windhoek</cp:keywords>
  <dc:description>generated by python-docx</dc:description>
  <cp:lastModifiedBy/>
  <cp:revision>1</cp:revision>
  <dcterms:created xsi:type="dcterms:W3CDTF">2013-12-23T23:15:00Z</dcterms:created>
  <dcterms:modified xsi:type="dcterms:W3CDTF">2013-12-23T23:15:00Z</dcterms:modified>
  <cp:category/>
</cp:coreProperties>
</file>