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3DF89" w14:textId="77777777" w:rsidR="00BB51F0" w:rsidRDefault="00000000">
      <w:pPr>
        <w:spacing w:before="2000" w:after="400"/>
        <w:jc w:val="center"/>
      </w:pPr>
      <w:r>
        <w:rPr>
          <w:b/>
          <w:bCs/>
          <w:sz w:val="36"/>
          <w:szCs w:val="36"/>
        </w:rPr>
        <w:t>UNIVERSIDAD CENTRAL DEL ECUADOR</w:t>
      </w:r>
    </w:p>
    <w:p w14:paraId="7C4370E5" w14:textId="77777777" w:rsidR="00BB51F0" w:rsidRDefault="00000000">
      <w:pPr>
        <w:spacing w:after="400"/>
        <w:jc w:val="center"/>
      </w:pPr>
      <w:r>
        <w:rPr>
          <w:sz w:val="28"/>
          <w:szCs w:val="28"/>
        </w:rPr>
        <w:t>INFRAESTRUCTURA DE LA INFORMACIÓN II</w:t>
      </w:r>
    </w:p>
    <w:p w14:paraId="424EF136" w14:textId="77777777" w:rsidR="00BB51F0" w:rsidRDefault="00000000">
      <w:pPr>
        <w:spacing w:after="1200"/>
        <w:jc w:val="center"/>
      </w:pPr>
      <w:r>
        <w:rPr>
          <w:b/>
          <w:bCs/>
          <w:sz w:val="32"/>
          <w:szCs w:val="32"/>
        </w:rPr>
        <w:t>INFORME FINAL IEEE: PROYECTO DE LUMINARIAS</w:t>
      </w:r>
    </w:p>
    <w:p w14:paraId="69886D5F" w14:textId="77777777" w:rsidR="00BB51F0" w:rsidRDefault="00000000">
      <w:pPr>
        <w:spacing w:after="2000"/>
        <w:jc w:val="center"/>
        <w:rPr>
          <w:b/>
          <w:bCs/>
          <w:sz w:val="28"/>
          <w:szCs w:val="28"/>
        </w:rPr>
      </w:pPr>
      <w:r>
        <w:rPr>
          <w:b/>
          <w:bCs/>
          <w:sz w:val="28"/>
          <w:szCs w:val="28"/>
        </w:rPr>
        <w:t>GRUPO 3</w:t>
      </w:r>
    </w:p>
    <w:p w14:paraId="3B0406F6" w14:textId="77777777" w:rsidR="00C158AF" w:rsidRDefault="00C158AF">
      <w:pPr>
        <w:spacing w:after="2000"/>
        <w:jc w:val="center"/>
        <w:rPr>
          <w:b/>
          <w:bCs/>
          <w:sz w:val="28"/>
          <w:szCs w:val="28"/>
        </w:rPr>
      </w:pPr>
    </w:p>
    <w:p w14:paraId="25C83539" w14:textId="77777777" w:rsidR="00C158AF" w:rsidRDefault="00C158AF">
      <w:pPr>
        <w:spacing w:after="2000"/>
        <w:jc w:val="center"/>
        <w:rPr>
          <w:b/>
          <w:bCs/>
          <w:sz w:val="28"/>
          <w:szCs w:val="28"/>
        </w:rPr>
      </w:pPr>
    </w:p>
    <w:p w14:paraId="3DF5BACD" w14:textId="77777777" w:rsidR="00C158AF" w:rsidRDefault="00C158AF">
      <w:pPr>
        <w:spacing w:after="2000"/>
        <w:jc w:val="center"/>
      </w:pPr>
    </w:p>
    <w:p w14:paraId="31D8BDAA" w14:textId="77777777" w:rsidR="00BB51F0" w:rsidRDefault="00000000">
      <w:pPr>
        <w:pStyle w:val="Ttulo1"/>
        <w:spacing w:before="300"/>
      </w:pPr>
      <w:r>
        <w:lastRenderedPageBreak/>
        <w:t>1. INTRODUCCIÓN</w:t>
      </w:r>
    </w:p>
    <w:p w14:paraId="62F0E8AA" w14:textId="77777777" w:rsidR="00BB51F0" w:rsidRDefault="00000000">
      <w:pPr>
        <w:spacing w:after="200"/>
        <w:jc w:val="both"/>
      </w:pPr>
      <w:r>
        <w:rPr>
          <w:sz w:val="24"/>
          <w:szCs w:val="24"/>
        </w:rPr>
        <w:t>El presente informe documenta el levantamiento y análisis detallado de la infraestructura de iluminación exterior en diversas áreas de la Universidad Central del Ecuador (UCE), específicamente en las facultades y dependencias asignadas al Grupo 3. La iluminación adecuada en un campus universitario es un factor crítico no solo para garantizar la seguridad de los estudiantes, docentes y personal administrativo durante las horas nocturnas, sino también para promover la eficiencia energética, cumplir con las normativas vigentes y reducir el impacto ambiental.</w:t>
      </w:r>
    </w:p>
    <w:p w14:paraId="4F1AADA7" w14:textId="77777777" w:rsidR="00BB51F0" w:rsidRDefault="00000000">
      <w:pPr>
        <w:spacing w:after="200"/>
        <w:jc w:val="both"/>
      </w:pPr>
      <w:r>
        <w:rPr>
          <w:sz w:val="24"/>
          <w:szCs w:val="24"/>
        </w:rPr>
        <w:t xml:space="preserve">En el contexto actual de crisis energética y conciencia ambiental, la evaluación de tecnologías obsoletas como las luminarias de vapor de sodio frente a alternativas modernas como la tecnología LED resulta indispensable. A través de un levantamiento georreferenciado utilizando herramientas como </w:t>
      </w:r>
      <w:proofErr w:type="spellStart"/>
      <w:r>
        <w:rPr>
          <w:sz w:val="24"/>
          <w:szCs w:val="24"/>
        </w:rPr>
        <w:t>KoboToolbox</w:t>
      </w:r>
      <w:proofErr w:type="spellEnd"/>
      <w:r>
        <w:rPr>
          <w:sz w:val="24"/>
          <w:szCs w:val="24"/>
        </w:rPr>
        <w:t xml:space="preserve"> y mediciones en sitio de luxes, se ha consolidado una base de datos de 149 luminarias para su análisis técnico, estadístico, espacial y financiero.</w:t>
      </w:r>
    </w:p>
    <w:p w14:paraId="4D84CF16" w14:textId="77777777" w:rsidR="00BB51F0" w:rsidRDefault="00000000">
      <w:pPr>
        <w:pStyle w:val="Ttulo1"/>
        <w:spacing w:before="300"/>
      </w:pPr>
      <w:r>
        <w:t>2. OBJETIVOS</w:t>
      </w:r>
    </w:p>
    <w:p w14:paraId="7B095CA6" w14:textId="77777777" w:rsidR="00BB51F0" w:rsidRDefault="00000000">
      <w:pPr>
        <w:pStyle w:val="Ttulo2"/>
        <w:spacing w:after="200"/>
      </w:pPr>
      <w:r>
        <w:t>2.1 Objetivo General</w:t>
      </w:r>
    </w:p>
    <w:p w14:paraId="31344E75" w14:textId="77777777" w:rsidR="00BB51F0" w:rsidRDefault="00000000">
      <w:pPr>
        <w:spacing w:after="200"/>
        <w:jc w:val="both"/>
      </w:pPr>
      <w:r>
        <w:rPr>
          <w:sz w:val="24"/>
          <w:szCs w:val="24"/>
        </w:rPr>
        <w:t>Evaluar integralmente la infraestructura de iluminación exterior actual en las áreas asignadas al Grupo 3 de la UCE para determinar la viabilidad técnica, económica, energética y ambiental de una migración tecnológica de lámparas de vapor de sodio a tecnología LED.</w:t>
      </w:r>
    </w:p>
    <w:p w14:paraId="3EB2A59C" w14:textId="77777777" w:rsidR="00BB51F0" w:rsidRDefault="00000000">
      <w:pPr>
        <w:pStyle w:val="Ttulo2"/>
        <w:spacing w:after="200"/>
      </w:pPr>
      <w:r>
        <w:t>2.2 Objetivos Específicos</w:t>
      </w:r>
    </w:p>
    <w:p w14:paraId="668839F8" w14:textId="77777777" w:rsidR="00BB51F0" w:rsidRDefault="00000000">
      <w:pPr>
        <w:spacing w:after="200"/>
        <w:jc w:val="both"/>
      </w:pPr>
      <w:r>
        <w:rPr>
          <w:sz w:val="24"/>
          <w:szCs w:val="24"/>
        </w:rPr>
        <w:t>• Mapear y registrar geográficamente las luminarias de las facultades de Ingeniería y Ciencias Aplicadas, Jurisprudencia, Filosofía, Letras y Ciencias de la Educación, Ciencias Sociales y Humanas, y Servicios Generales (Física).</w:t>
      </w:r>
    </w:p>
    <w:p w14:paraId="1324D94E" w14:textId="77777777" w:rsidR="00BB51F0" w:rsidRDefault="00000000">
      <w:pPr>
        <w:spacing w:after="200"/>
        <w:jc w:val="both"/>
      </w:pPr>
      <w:r>
        <w:rPr>
          <w:sz w:val="24"/>
          <w:szCs w:val="24"/>
        </w:rPr>
        <w:t>• Realizar mediciones in situ de la iluminancia (luxes) utilizando el luxómetro UNI-T Mini Light Meter UT383 para verificar el cumplimiento normativo.</w:t>
      </w:r>
    </w:p>
    <w:p w14:paraId="07B142A2" w14:textId="77777777" w:rsidR="00BB51F0" w:rsidRDefault="00000000">
      <w:pPr>
        <w:spacing w:after="200"/>
        <w:jc w:val="both"/>
      </w:pPr>
      <w:r>
        <w:rPr>
          <w:sz w:val="24"/>
          <w:szCs w:val="24"/>
        </w:rPr>
        <w:t>• Identificar riesgos eléctricos, fallas operativas y zonas oscuras dentro del área de estudio que comprometan la seguridad de la comunidad universitaria.</w:t>
      </w:r>
    </w:p>
    <w:p w14:paraId="3655E44B" w14:textId="77777777" w:rsidR="00BB51F0" w:rsidRDefault="00000000">
      <w:pPr>
        <w:spacing w:after="200"/>
        <w:jc w:val="both"/>
      </w:pPr>
      <w:r>
        <w:rPr>
          <w:sz w:val="24"/>
          <w:szCs w:val="24"/>
        </w:rPr>
        <w:t>• Analizar el cumplimiento de los niveles de iluminación actuales frente a las normativas nacionales (NTE INEN 069, Regulación ARCONEL 005/18) e internacionales aplicables.</w:t>
      </w:r>
    </w:p>
    <w:p w14:paraId="1823E7DE" w14:textId="77777777" w:rsidR="00BB51F0" w:rsidRDefault="00000000">
      <w:pPr>
        <w:spacing w:after="200"/>
        <w:jc w:val="both"/>
      </w:pPr>
      <w:r>
        <w:rPr>
          <w:sz w:val="24"/>
          <w:szCs w:val="24"/>
        </w:rPr>
        <w:t>• Ejecutar un análisis financiero comparativo que incluya costos de adquisición, instalación, operación y mantenimiento (CAPEX y OPEX) de las tecnologías LED vs. Sodio.</w:t>
      </w:r>
    </w:p>
    <w:p w14:paraId="3482E23A" w14:textId="77777777" w:rsidR="00BB51F0" w:rsidRDefault="00000000">
      <w:pPr>
        <w:spacing w:after="200"/>
        <w:jc w:val="both"/>
      </w:pPr>
      <w:r>
        <w:rPr>
          <w:sz w:val="24"/>
          <w:szCs w:val="24"/>
        </w:rPr>
        <w:t>• Estimar el retorno de inversión (ROI), el Valor Actual Neto (VAN) y los periodos de recuperación bajo diferentes escenarios de viabilidad para justificar el reemplazo de luminarias.</w:t>
      </w:r>
    </w:p>
    <w:p w14:paraId="1C2D95DA" w14:textId="77777777" w:rsidR="00BB51F0" w:rsidRDefault="00000000">
      <w:pPr>
        <w:spacing w:after="200"/>
        <w:jc w:val="both"/>
      </w:pPr>
      <w:r>
        <w:rPr>
          <w:sz w:val="24"/>
          <w:szCs w:val="24"/>
        </w:rPr>
        <w:t>• Cuantificar el impacto ambiental y la reducción de la huella de carbono derivada de la potencial modernización tecnológica.</w:t>
      </w:r>
    </w:p>
    <w:p w14:paraId="1BDA8A50" w14:textId="77777777" w:rsidR="00BB51F0" w:rsidRDefault="00000000">
      <w:pPr>
        <w:pStyle w:val="Ttulo1"/>
        <w:spacing w:before="300"/>
      </w:pPr>
      <w:r>
        <w:t>3. MARCO TEÓRICO</w:t>
      </w:r>
    </w:p>
    <w:p w14:paraId="29F8E8CB" w14:textId="77777777" w:rsidR="00BB51F0" w:rsidRDefault="00000000">
      <w:pPr>
        <w:pStyle w:val="Ttulo2"/>
        <w:spacing w:after="200"/>
      </w:pPr>
      <w:r>
        <w:t xml:space="preserve">3.1 </w:t>
      </w:r>
      <w:proofErr w:type="spellStart"/>
      <w:r>
        <w:t>KoboToolbox</w:t>
      </w:r>
      <w:proofErr w:type="spellEnd"/>
    </w:p>
    <w:p w14:paraId="4D078365" w14:textId="77777777" w:rsidR="00BB51F0" w:rsidRDefault="00000000">
      <w:pPr>
        <w:spacing w:after="200"/>
        <w:jc w:val="both"/>
      </w:pPr>
      <w:proofErr w:type="spellStart"/>
      <w:r>
        <w:rPr>
          <w:sz w:val="24"/>
          <w:szCs w:val="24"/>
        </w:rPr>
        <w:lastRenderedPageBreak/>
        <w:t>KoboToolbox</w:t>
      </w:r>
      <w:proofErr w:type="spellEnd"/>
      <w:r>
        <w:rPr>
          <w:sz w:val="24"/>
          <w:szCs w:val="24"/>
        </w:rPr>
        <w:t xml:space="preserve"> es una plataforma de código abierto diseñada para la recopilación de datos en campo en entornos complejos. Facilita la creación de formularios digitales estructurados, permitiendo la recolección offline, captura de coordenadas GPS y metadatos asociados como fotografías y registros de tiempo. Para proyectos de infraestructura, esta herramienta garantiza la integridad y trazabilidad de los datos levantados.</w:t>
      </w:r>
    </w:p>
    <w:p w14:paraId="344896C1" w14:textId="77777777" w:rsidR="00BB51F0" w:rsidRDefault="00000000">
      <w:pPr>
        <w:pStyle w:val="Ttulo2"/>
        <w:spacing w:after="200"/>
      </w:pPr>
      <w:r>
        <w:t>3.2 Normativa nacional sobre alumbrado público en Ecuador</w:t>
      </w:r>
    </w:p>
    <w:p w14:paraId="5FCC3484" w14:textId="77777777" w:rsidR="00BB51F0" w:rsidRDefault="00000000">
      <w:pPr>
        <w:spacing w:after="200"/>
        <w:jc w:val="both"/>
      </w:pPr>
      <w:r>
        <w:rPr>
          <w:sz w:val="24"/>
          <w:szCs w:val="24"/>
        </w:rPr>
        <w:t>En el Ecuador, la iluminación exterior y el alumbrado público están regulados por documentos como la Regulación ARCONEL 005/18, que establece las directrices para el servicio de alumbrado público general, y la normativa técnica NTE INEN 069. Estas normas determinan los niveles mínimos de iluminancia, uniformidad y condiciones de diseño que deben cumplir las vías y espacios públicos para garantizar la seguridad vial y peatonal.</w:t>
      </w:r>
    </w:p>
    <w:p w14:paraId="380793F4" w14:textId="77777777" w:rsidR="00BB51F0" w:rsidRDefault="00000000">
      <w:pPr>
        <w:pStyle w:val="Ttulo2"/>
        <w:spacing w:after="200"/>
      </w:pPr>
      <w:r>
        <w:t>3.3 Normativas internacionales aplicables</w:t>
      </w:r>
    </w:p>
    <w:p w14:paraId="15C3D5FA" w14:textId="77777777" w:rsidR="00BB51F0" w:rsidRDefault="00000000">
      <w:pPr>
        <w:spacing w:after="200"/>
        <w:jc w:val="both"/>
      </w:pPr>
      <w:r>
        <w:rPr>
          <w:sz w:val="24"/>
          <w:szCs w:val="24"/>
        </w:rPr>
        <w:t xml:space="preserve">A nivel internacional, la Comisión Internacional de Iluminación (CIE) a través del documento CIE 115:2010 recomienda niveles de iluminancia para el tránsito motorizado y peatonal. Del mismo modo, la </w:t>
      </w:r>
      <w:proofErr w:type="spellStart"/>
      <w:r>
        <w:rPr>
          <w:sz w:val="24"/>
          <w:szCs w:val="24"/>
        </w:rPr>
        <w:t>Illuminating</w:t>
      </w:r>
      <w:proofErr w:type="spellEnd"/>
      <w:r>
        <w:rPr>
          <w:sz w:val="24"/>
          <w:szCs w:val="24"/>
        </w:rPr>
        <w:t xml:space="preserve"> </w:t>
      </w:r>
      <w:proofErr w:type="spellStart"/>
      <w:r>
        <w:rPr>
          <w:sz w:val="24"/>
          <w:szCs w:val="24"/>
        </w:rPr>
        <w:t>Engineering</w:t>
      </w:r>
      <w:proofErr w:type="spellEnd"/>
      <w:r>
        <w:rPr>
          <w:sz w:val="24"/>
          <w:szCs w:val="24"/>
        </w:rPr>
        <w:t xml:space="preserve"> </w:t>
      </w:r>
      <w:proofErr w:type="spellStart"/>
      <w:r>
        <w:rPr>
          <w:sz w:val="24"/>
          <w:szCs w:val="24"/>
        </w:rPr>
        <w:t>Society</w:t>
      </w:r>
      <w:proofErr w:type="spellEnd"/>
      <w:r>
        <w:rPr>
          <w:sz w:val="24"/>
          <w:szCs w:val="24"/>
        </w:rPr>
        <w:t xml:space="preserve"> (IES) y estándares ISO proporcionan directrices para el diseño de iluminación exterior (IES RP-33), especificando requisitos para campus educativos que priorizan el confort visual, el control del deslumbramiento y la prevención de la contaminación lumínica.</w:t>
      </w:r>
    </w:p>
    <w:p w14:paraId="14F4A599" w14:textId="77777777" w:rsidR="00BB51F0" w:rsidRDefault="00000000">
      <w:pPr>
        <w:pStyle w:val="Ttulo2"/>
        <w:spacing w:after="200"/>
      </w:pPr>
      <w:r>
        <w:t>3.4 Magnitudes fotométricas</w:t>
      </w:r>
    </w:p>
    <w:p w14:paraId="0881A6E4" w14:textId="77777777" w:rsidR="00BB51F0" w:rsidRDefault="00000000">
      <w:pPr>
        <w:spacing w:after="200"/>
        <w:jc w:val="both"/>
      </w:pPr>
      <w:r>
        <w:rPr>
          <w:sz w:val="24"/>
          <w:szCs w:val="24"/>
        </w:rPr>
        <w:t>Las magnitudes fotométricas son fundamentales para evaluar el desempeño de sistemas de iluminación. Incluyen la cantidad total de luz emitida, la concentración de luz en una dirección específica y la luz que incide sobre una superficie. Comprender estas variables permite dimensionar adecuadamente las instalaciones.</w:t>
      </w:r>
    </w:p>
    <w:p w14:paraId="70EC372A" w14:textId="77777777" w:rsidR="00BB51F0" w:rsidRDefault="00000000">
      <w:pPr>
        <w:pStyle w:val="Ttulo2"/>
        <w:spacing w:after="200"/>
      </w:pPr>
      <w:r>
        <w:t>3.5 Lux</w:t>
      </w:r>
    </w:p>
    <w:p w14:paraId="310D4B42" w14:textId="77777777" w:rsidR="00BB51F0" w:rsidRDefault="00000000">
      <w:pPr>
        <w:spacing w:after="200"/>
        <w:jc w:val="both"/>
      </w:pPr>
      <w:r>
        <w:rPr>
          <w:sz w:val="24"/>
          <w:szCs w:val="24"/>
        </w:rPr>
        <w:t>El lux (lx) es la unidad derivada del Sistema Internacional de Unidades (SI) para la iluminancia o nivel de iluminación. Un lux equivale a un lumen por metro cuadrado. Mide el flujo luminoso que incide perpendicularmente sobre una unidad de superficie y es el indicador clave evaluado en terreno para comprobar si la luz llega adecuadamente a los usuarios.</w:t>
      </w:r>
    </w:p>
    <w:p w14:paraId="660CE656" w14:textId="77777777" w:rsidR="00BB51F0" w:rsidRDefault="00000000">
      <w:pPr>
        <w:pStyle w:val="Ttulo2"/>
        <w:spacing w:after="200"/>
      </w:pPr>
      <w:r>
        <w:t>3.6 Lumen</w:t>
      </w:r>
    </w:p>
    <w:p w14:paraId="17ED5666" w14:textId="77777777" w:rsidR="00BB51F0" w:rsidRDefault="00000000">
      <w:pPr>
        <w:spacing w:after="200"/>
        <w:jc w:val="both"/>
      </w:pPr>
      <w:r>
        <w:rPr>
          <w:sz w:val="24"/>
          <w:szCs w:val="24"/>
        </w:rPr>
        <w:t>El lumen (lm) es la unidad del SI que mide el flujo luminoso; es decir, la potencia luminosa percibida o la cantidad total de luz visible emitida por una fuente. Una lámpara LED moderna puede proporcionar la misma cantidad de lúmenes que una de sodio consumiendo una fracción de la energía.</w:t>
      </w:r>
    </w:p>
    <w:p w14:paraId="071842C7" w14:textId="77777777" w:rsidR="00BB51F0" w:rsidRDefault="00000000">
      <w:pPr>
        <w:pStyle w:val="Ttulo2"/>
        <w:spacing w:after="200"/>
      </w:pPr>
      <w:r>
        <w:t>3.7 Candela</w:t>
      </w:r>
    </w:p>
    <w:p w14:paraId="48C676DA" w14:textId="77777777" w:rsidR="00BB51F0" w:rsidRDefault="00000000">
      <w:pPr>
        <w:spacing w:after="200"/>
        <w:jc w:val="both"/>
      </w:pPr>
      <w:r>
        <w:rPr>
          <w:sz w:val="24"/>
          <w:szCs w:val="24"/>
        </w:rPr>
        <w:t>La candela (cd) es la unidad base del SI que mide la intensidad luminosa en una dirección dada. Refleja cómo la luminaria distribuye o enfoca el flujo luminoso (lúmenes) en el espacio. Las ópticas de las luminarias LED modernas dirigen eficientemente las candelas hacia donde se necesitan, reduciendo la dispersión.</w:t>
      </w:r>
    </w:p>
    <w:p w14:paraId="00CA69A2" w14:textId="77777777" w:rsidR="00BB51F0" w:rsidRDefault="00000000">
      <w:pPr>
        <w:pStyle w:val="Ttulo2"/>
        <w:spacing w:after="200"/>
      </w:pPr>
      <w:r>
        <w:lastRenderedPageBreak/>
        <w:t>3.8 Temperatura de color</w:t>
      </w:r>
    </w:p>
    <w:p w14:paraId="7043168F" w14:textId="77777777" w:rsidR="00BB51F0" w:rsidRDefault="00000000">
      <w:pPr>
        <w:spacing w:after="200"/>
        <w:jc w:val="both"/>
      </w:pPr>
      <w:r>
        <w:rPr>
          <w:sz w:val="24"/>
          <w:szCs w:val="24"/>
        </w:rPr>
        <w:t>La temperatura de color correlacionada (CCT), medida en Kelvin (K), describe la apariencia cromática de la luz. El vapor de sodio a alta presión produce una luz amarilla-anaranjada típica (aprox. 2000K-2200K) con pobre reproducción cromática (CRI). La tecnología LED permite temperaturas más neutras o frías (3000K a 5000K) que mejoran sustancialmente el reconocimiento facial y la percepción de seguridad.</w:t>
      </w:r>
    </w:p>
    <w:p w14:paraId="58C55A52" w14:textId="77777777" w:rsidR="00BB51F0" w:rsidRDefault="00000000">
      <w:pPr>
        <w:pStyle w:val="Ttulo2"/>
        <w:spacing w:after="200"/>
      </w:pPr>
      <w:r>
        <w:t>3.9 Uniformidad lumínica</w:t>
      </w:r>
    </w:p>
    <w:p w14:paraId="2626D03C" w14:textId="77777777" w:rsidR="00BB51F0" w:rsidRDefault="00000000">
      <w:pPr>
        <w:spacing w:after="200"/>
        <w:jc w:val="both"/>
      </w:pPr>
      <w:r>
        <w:rPr>
          <w:sz w:val="24"/>
          <w:szCs w:val="24"/>
        </w:rPr>
        <w:t>La uniformidad lumínica (U0) es la relación entre la iluminancia mínima y la iluminancia media en una superficie. Alta uniformidad significa que no hay zonas con contrastes extremos (manchas oscuras alternadas con manchas muy iluminadas), lo cual es crucial para la seguridad peatonal y la visibilidad sin fatiga visual.</w:t>
      </w:r>
    </w:p>
    <w:p w14:paraId="3A0F5C79" w14:textId="77777777" w:rsidR="00BB51F0" w:rsidRDefault="00000000">
      <w:pPr>
        <w:pStyle w:val="Ttulo2"/>
        <w:spacing w:after="200"/>
      </w:pPr>
      <w:r>
        <w:t>3.10 Tecnologías LED</w:t>
      </w:r>
    </w:p>
    <w:p w14:paraId="7A5B5D27" w14:textId="77777777" w:rsidR="00BB51F0" w:rsidRDefault="00000000">
      <w:pPr>
        <w:spacing w:after="200"/>
        <w:jc w:val="both"/>
      </w:pPr>
      <w:r>
        <w:rPr>
          <w:sz w:val="24"/>
          <w:szCs w:val="24"/>
        </w:rPr>
        <w:t>Los Diodos Emisores de Luz (LED) representan la tecnología de iluminación de estado sólido más eficiente en la actualidad. Tienen una alta eficacia luminosa (superando los 130-150 lm/W), encendido instantáneo, capacidad de atenuación (</w:t>
      </w:r>
      <w:proofErr w:type="spellStart"/>
      <w:r>
        <w:rPr>
          <w:sz w:val="24"/>
          <w:szCs w:val="24"/>
        </w:rPr>
        <w:t>dimming</w:t>
      </w:r>
      <w:proofErr w:type="spellEnd"/>
      <w:r>
        <w:rPr>
          <w:sz w:val="24"/>
          <w:szCs w:val="24"/>
        </w:rPr>
        <w:t>), y un alto Índice de Reproducción Cromática (CRI). Su vida útil puede sobrepasar las 50,000 a 100,000 horas, requiriendo un mantenimiento mínimo.</w:t>
      </w:r>
    </w:p>
    <w:p w14:paraId="1E11A126" w14:textId="77777777" w:rsidR="00BB51F0" w:rsidRDefault="00000000">
      <w:pPr>
        <w:pStyle w:val="Ttulo2"/>
        <w:spacing w:after="200"/>
      </w:pPr>
      <w:r>
        <w:t>3.11 Tecnologías Sodio</w:t>
      </w:r>
    </w:p>
    <w:p w14:paraId="255FEB93" w14:textId="77777777" w:rsidR="00BB51F0" w:rsidRDefault="00000000">
      <w:pPr>
        <w:spacing w:after="200"/>
        <w:jc w:val="both"/>
      </w:pPr>
      <w:r>
        <w:rPr>
          <w:sz w:val="24"/>
          <w:szCs w:val="24"/>
        </w:rPr>
        <w:t>Las lámparas de Vapor de Sodio de Alta Presión (SAP) han sido el estándar del alumbrado exterior por décadas debido a su buena eficacia en lúmenes brutos. Sin embargo, sufren de degradación rápida del flujo luminoso, requieren balastos, tardan minutos en alcanzar su brillo máximo, contienen metales pesados contaminantes y distorsionan drásticamente los colores (CRI bajo).</w:t>
      </w:r>
    </w:p>
    <w:p w14:paraId="6BDD25CA" w14:textId="77777777" w:rsidR="00BB51F0" w:rsidRDefault="00000000">
      <w:pPr>
        <w:pStyle w:val="Ttulo2"/>
        <w:spacing w:after="200"/>
      </w:pPr>
      <w:r>
        <w:t>3.12 Seguridad eléctrica</w:t>
      </w:r>
    </w:p>
    <w:p w14:paraId="1DFFA9DA" w14:textId="77777777" w:rsidR="00BB51F0" w:rsidRDefault="00000000">
      <w:pPr>
        <w:spacing w:after="200"/>
        <w:jc w:val="both"/>
      </w:pPr>
      <w:r>
        <w:rPr>
          <w:sz w:val="24"/>
          <w:szCs w:val="24"/>
        </w:rPr>
        <w:t>La seguridad eléctrica abarca las normativas y prácticas para prevenir descargas eléctricas, cortocircuitos e incendios. En infraestructura antigua a la intemperie, factores como la degradación del aislamiento, las conexiones deficientes y la falta de puestas a tierra adecuadas presentan un riesgo constante para transeúntes y personal de mantenimiento.</w:t>
      </w:r>
    </w:p>
    <w:p w14:paraId="7423C039" w14:textId="77777777" w:rsidR="00BB51F0" w:rsidRDefault="00000000">
      <w:pPr>
        <w:pStyle w:val="Ttulo2"/>
        <w:spacing w:after="200"/>
      </w:pPr>
      <w:r>
        <w:t>3.13 Cableado expuesto</w:t>
      </w:r>
    </w:p>
    <w:p w14:paraId="1A92351C" w14:textId="77777777" w:rsidR="00BB51F0" w:rsidRDefault="00000000">
      <w:pPr>
        <w:spacing w:after="200"/>
        <w:jc w:val="both"/>
      </w:pPr>
      <w:r>
        <w:rPr>
          <w:sz w:val="24"/>
          <w:szCs w:val="24"/>
        </w:rPr>
        <w:t>El cableado expuesto o tendido de forma improvisada es una de las vulnerabilidades más comunes en infraestructuras obsoletas. No solo infringe los códigos de instalación eléctrica, sino que expone los conductores a desgaste mecánico, vandalismo, radiación UV e ingreso de agua, derivando frecuentemente en fallas del sistema o riesgos letales.</w:t>
      </w:r>
    </w:p>
    <w:p w14:paraId="760C23F2" w14:textId="77777777" w:rsidR="00BB51F0" w:rsidRDefault="00000000">
      <w:pPr>
        <w:pStyle w:val="Ttulo2"/>
        <w:spacing w:after="200"/>
      </w:pPr>
      <w:r>
        <w:t>3.14 Sistemas GIS</w:t>
      </w:r>
    </w:p>
    <w:p w14:paraId="4ACC04A2" w14:textId="77777777" w:rsidR="00BB51F0" w:rsidRDefault="00000000">
      <w:pPr>
        <w:spacing w:after="200"/>
        <w:jc w:val="both"/>
      </w:pPr>
      <w:r>
        <w:rPr>
          <w:sz w:val="24"/>
          <w:szCs w:val="24"/>
        </w:rPr>
        <w:t xml:space="preserve">Los Sistemas de Información Geográfica (GIS) permiten capturar, almacenar, manipular, analizar y visualizar datos con atributos espaciales. En la gestión de luminarias, un SIG permite </w:t>
      </w:r>
      <w:r>
        <w:rPr>
          <w:sz w:val="24"/>
          <w:szCs w:val="24"/>
        </w:rPr>
        <w:lastRenderedPageBreak/>
        <w:t>ubicar cada poste y analizar la densidad de luz, facilitando mantenimientos predictivos e identificando áreas desatendidas (mapas de calor).</w:t>
      </w:r>
    </w:p>
    <w:p w14:paraId="0FDA8F4D" w14:textId="77777777" w:rsidR="00BB51F0" w:rsidRDefault="00000000">
      <w:pPr>
        <w:pStyle w:val="Ttulo2"/>
        <w:spacing w:after="200"/>
      </w:pPr>
      <w:r>
        <w:t>3.15 Gestión de activos</w:t>
      </w:r>
    </w:p>
    <w:p w14:paraId="4EB82549" w14:textId="77777777" w:rsidR="00BB51F0" w:rsidRDefault="00000000">
      <w:pPr>
        <w:spacing w:after="200"/>
        <w:jc w:val="both"/>
      </w:pPr>
      <w:r>
        <w:rPr>
          <w:sz w:val="24"/>
          <w:szCs w:val="24"/>
        </w:rPr>
        <w:t>La gestión de activos físicos en infraestructura tecnológica se refiere al ciclo de vida de los equipos (compra, instalación, mantenimiento y baja). Un inventario etiquetado y georreferenciado de luminarias es el núcleo de una gestión de activos eficiente, reduciendo tiempos de respuesta y optimizando el inventario de repuestos.</w:t>
      </w:r>
    </w:p>
    <w:p w14:paraId="097B30B9" w14:textId="77777777" w:rsidR="00BB51F0" w:rsidRDefault="00000000">
      <w:pPr>
        <w:pStyle w:val="Ttulo2"/>
        <w:spacing w:after="200"/>
      </w:pPr>
      <w:r>
        <w:t>3.16 Infraestructura universitaria</w:t>
      </w:r>
    </w:p>
    <w:p w14:paraId="5608DC75" w14:textId="77777777" w:rsidR="00BB51F0" w:rsidRDefault="00000000">
      <w:pPr>
        <w:spacing w:after="200"/>
        <w:jc w:val="both"/>
      </w:pPr>
      <w:r>
        <w:rPr>
          <w:sz w:val="24"/>
          <w:szCs w:val="24"/>
        </w:rPr>
        <w:t>Los campus universitarios actúan como pequeñas ciudades con requerimientos específicos de infraestructura, combinando redes viales internas, zonas peatonales, plazas y espacios deportivos. Su iluminación debe ser escalable, segura y contribuir al confort de una comunidad diversa, operando con presupuestos restringidos de fondos públicos.</w:t>
      </w:r>
    </w:p>
    <w:p w14:paraId="2CFE57A3" w14:textId="77777777" w:rsidR="00BB51F0" w:rsidRDefault="00000000">
      <w:pPr>
        <w:pStyle w:val="Ttulo2"/>
        <w:spacing w:after="200"/>
      </w:pPr>
      <w:r>
        <w:t>3.17 Eficiencia energética</w:t>
      </w:r>
    </w:p>
    <w:p w14:paraId="3474C79B" w14:textId="77777777" w:rsidR="00BB51F0" w:rsidRDefault="00000000">
      <w:pPr>
        <w:spacing w:after="200"/>
        <w:jc w:val="both"/>
      </w:pPr>
      <w:r>
        <w:rPr>
          <w:sz w:val="24"/>
          <w:szCs w:val="24"/>
        </w:rPr>
        <w:t>La eficiencia energética consiste en reducir la cantidad de energía requerida para proporcionar los mismos productos o servicios. En iluminación, esto se logra mejorando la eficacia de la luminaria (lm/W) y utilizando controladores ópticos para no desperdiciar luz. Un recambio tecnológico puede reducir el consumo energético en más del 50%.</w:t>
      </w:r>
    </w:p>
    <w:p w14:paraId="7F1A5268" w14:textId="77777777" w:rsidR="00BB51F0" w:rsidRDefault="00000000">
      <w:pPr>
        <w:pStyle w:val="Ttulo2"/>
        <w:spacing w:after="200"/>
      </w:pPr>
      <w:r>
        <w:t>3.18 Impacto ambiental de tecnologías de iluminación</w:t>
      </w:r>
    </w:p>
    <w:p w14:paraId="2FD85C77" w14:textId="77777777" w:rsidR="00BB51F0" w:rsidRDefault="00000000">
      <w:pPr>
        <w:spacing w:after="200"/>
        <w:jc w:val="both"/>
      </w:pPr>
      <w:r>
        <w:rPr>
          <w:sz w:val="24"/>
          <w:szCs w:val="24"/>
        </w:rPr>
        <w:t>Las tecnologías convencionales generan impactos ambientales severos tanto en su manufactura (uso de vapor de mercurio y sodio) como en su alta huella de carbono operativa por consumo de electricidad. Además, su pobre control óptico incrementa la contaminación lumínica (</w:t>
      </w:r>
      <w:proofErr w:type="spellStart"/>
      <w:r>
        <w:rPr>
          <w:sz w:val="24"/>
          <w:szCs w:val="24"/>
        </w:rPr>
        <w:t>sky</w:t>
      </w:r>
      <w:proofErr w:type="spellEnd"/>
      <w:r>
        <w:rPr>
          <w:sz w:val="24"/>
          <w:szCs w:val="24"/>
        </w:rPr>
        <w:t xml:space="preserve"> </w:t>
      </w:r>
      <w:proofErr w:type="spellStart"/>
      <w:r>
        <w:rPr>
          <w:sz w:val="24"/>
          <w:szCs w:val="24"/>
        </w:rPr>
        <w:t>glow</w:t>
      </w:r>
      <w:proofErr w:type="spellEnd"/>
      <w:r>
        <w:rPr>
          <w:sz w:val="24"/>
          <w:szCs w:val="24"/>
        </w:rPr>
        <w:t>) e interfiere negativamente con la biodiversidad local (</w:t>
      </w:r>
      <w:proofErr w:type="spellStart"/>
      <w:r>
        <w:rPr>
          <w:sz w:val="24"/>
          <w:szCs w:val="24"/>
        </w:rPr>
        <w:t>fototaxia</w:t>
      </w:r>
      <w:proofErr w:type="spellEnd"/>
      <w:r>
        <w:rPr>
          <w:sz w:val="24"/>
          <w:szCs w:val="24"/>
        </w:rPr>
        <w:t xml:space="preserve"> de insectos y disrupción de ciclos en flora y fauna).</w:t>
      </w:r>
    </w:p>
    <w:p w14:paraId="1A5FFE4D" w14:textId="77777777" w:rsidR="00BB51F0" w:rsidRDefault="00000000">
      <w:pPr>
        <w:pStyle w:val="Ttulo2"/>
        <w:spacing w:after="200"/>
      </w:pPr>
      <w:r>
        <w:t>3.19 Costos de operación</w:t>
      </w:r>
    </w:p>
    <w:p w14:paraId="6FAB84DF" w14:textId="77777777" w:rsidR="00BB51F0" w:rsidRDefault="00000000">
      <w:pPr>
        <w:spacing w:after="200"/>
        <w:jc w:val="both"/>
      </w:pPr>
      <w:r>
        <w:rPr>
          <w:sz w:val="24"/>
          <w:szCs w:val="24"/>
        </w:rPr>
        <w:t>Los costos operativos (OPEX) de iluminación se dominan por el pago de la tarifa eléctrica. Este costo se calcula considerando la potencia de la luminaria más las pérdidas del balasto, multiplicado por las horas de operación anuales (aprox. 4,380 horas/año) y por el costo de la energía (USD/kWh).</w:t>
      </w:r>
    </w:p>
    <w:p w14:paraId="221541FF" w14:textId="77777777" w:rsidR="00BB51F0" w:rsidRDefault="00000000">
      <w:pPr>
        <w:pStyle w:val="Ttulo2"/>
        <w:spacing w:after="200"/>
      </w:pPr>
      <w:r>
        <w:t>3.20 Costos de mantenimiento</w:t>
      </w:r>
    </w:p>
    <w:p w14:paraId="2491852B" w14:textId="77777777" w:rsidR="00BB51F0" w:rsidRDefault="00000000">
      <w:pPr>
        <w:spacing w:after="200"/>
        <w:jc w:val="both"/>
      </w:pPr>
      <w:r>
        <w:rPr>
          <w:sz w:val="24"/>
          <w:szCs w:val="24"/>
        </w:rPr>
        <w:t xml:space="preserve">El costo de mantenimiento incluye la labor técnica, el uso de grúas o plataformas elevadoras, y los insumos (focos de reemplazo, </w:t>
      </w:r>
      <w:proofErr w:type="spellStart"/>
      <w:r>
        <w:rPr>
          <w:sz w:val="24"/>
          <w:szCs w:val="24"/>
        </w:rPr>
        <w:t>ignitores</w:t>
      </w:r>
      <w:proofErr w:type="spellEnd"/>
      <w:r>
        <w:rPr>
          <w:sz w:val="24"/>
          <w:szCs w:val="24"/>
        </w:rPr>
        <w:t>, balastos, condensadores). La corta vida de las lámparas de sodio obliga a rutinas de recambio bianuales, incrementando considerablemente los gastos logísticos en comparación con el LED.</w:t>
      </w:r>
    </w:p>
    <w:p w14:paraId="7DAE7891" w14:textId="77777777" w:rsidR="00BB51F0" w:rsidRDefault="00000000">
      <w:pPr>
        <w:pStyle w:val="Ttulo2"/>
        <w:spacing w:after="200"/>
      </w:pPr>
      <w:r>
        <w:t>3.21 Retorno de inversión</w:t>
      </w:r>
    </w:p>
    <w:p w14:paraId="29544A7D" w14:textId="77777777" w:rsidR="00BB51F0" w:rsidRDefault="00000000">
      <w:pPr>
        <w:spacing w:after="200"/>
        <w:jc w:val="both"/>
      </w:pPr>
      <w:r>
        <w:rPr>
          <w:sz w:val="24"/>
          <w:szCs w:val="24"/>
        </w:rPr>
        <w:t xml:space="preserve">El Retorno de Inversión (ROI) y el </w:t>
      </w:r>
      <w:proofErr w:type="spellStart"/>
      <w:r>
        <w:rPr>
          <w:sz w:val="24"/>
          <w:szCs w:val="24"/>
        </w:rPr>
        <w:t>Payback</w:t>
      </w:r>
      <w:proofErr w:type="spellEnd"/>
      <w:r>
        <w:rPr>
          <w:sz w:val="24"/>
          <w:szCs w:val="24"/>
        </w:rPr>
        <w:t xml:space="preserve"> </w:t>
      </w:r>
      <w:proofErr w:type="spellStart"/>
      <w:r>
        <w:rPr>
          <w:sz w:val="24"/>
          <w:szCs w:val="24"/>
        </w:rPr>
        <w:t>Period</w:t>
      </w:r>
      <w:proofErr w:type="spellEnd"/>
      <w:r>
        <w:rPr>
          <w:sz w:val="24"/>
          <w:szCs w:val="24"/>
        </w:rPr>
        <w:t xml:space="preserve"> (tiempo de recuperación) evalúan el beneficio financiero de una actualización. Miden en cuánto tiempo los ahorros generados por </w:t>
      </w:r>
      <w:r>
        <w:rPr>
          <w:sz w:val="24"/>
          <w:szCs w:val="24"/>
        </w:rPr>
        <w:lastRenderedPageBreak/>
        <w:t>la reducción del consumo energético y de mantenimientos pagan la inversión inicial (CAPEX) del nuevo hardware e instalación.</w:t>
      </w:r>
    </w:p>
    <w:p w14:paraId="21BA61F9" w14:textId="77777777" w:rsidR="00BB51F0" w:rsidRDefault="00000000">
      <w:pPr>
        <w:pStyle w:val="Ttulo1"/>
        <w:spacing w:before="300"/>
      </w:pPr>
      <w:r>
        <w:t>4. METODOLOGÍA</w:t>
      </w:r>
    </w:p>
    <w:p w14:paraId="064D48A7" w14:textId="77777777" w:rsidR="00BB51F0" w:rsidRDefault="00000000">
      <w:pPr>
        <w:pStyle w:val="Ttulo2"/>
        <w:spacing w:after="200"/>
      </w:pPr>
      <w:r>
        <w:t>4.1 Tipo de investigación</w:t>
      </w:r>
    </w:p>
    <w:p w14:paraId="5DE8F52D" w14:textId="77777777" w:rsidR="00BB51F0" w:rsidRDefault="00000000">
      <w:pPr>
        <w:spacing w:after="200"/>
        <w:jc w:val="both"/>
      </w:pPr>
      <w:r>
        <w:rPr>
          <w:sz w:val="24"/>
          <w:szCs w:val="24"/>
        </w:rPr>
        <w:t>Se empleó un diseño de investigación descriptivo, de campo y cuantitativo. Descriptivo porque se documentaron las características del sistema actual; de campo ya que la recolección se efectuó in situ en el campus de la UCE; y cuantitativo puesto que se recolectaron magnitudes numéricas (coordenadas, luxes, alturas).</w:t>
      </w:r>
    </w:p>
    <w:p w14:paraId="4D129644" w14:textId="77777777" w:rsidR="00BB51F0" w:rsidRDefault="00000000">
      <w:pPr>
        <w:pStyle w:val="Ttulo2"/>
        <w:spacing w:after="200"/>
      </w:pPr>
      <w:r>
        <w:t>4.2 Área de estudio</w:t>
      </w:r>
    </w:p>
    <w:p w14:paraId="5D1B7D27" w14:textId="77777777" w:rsidR="00BB51F0" w:rsidRDefault="00000000">
      <w:pPr>
        <w:spacing w:after="200"/>
        <w:jc w:val="both"/>
      </w:pPr>
      <w:r>
        <w:rPr>
          <w:sz w:val="24"/>
          <w:szCs w:val="24"/>
        </w:rPr>
        <w:t xml:space="preserve">El estudio comprendió las zonas exteriores de cinco dependencias del Campus Universitario de la UCE en Quito (altitud aproximada 2850 </w:t>
      </w:r>
      <w:proofErr w:type="spellStart"/>
      <w:r>
        <w:rPr>
          <w:sz w:val="24"/>
          <w:szCs w:val="24"/>
        </w:rPr>
        <w:t>m.s.n.m</w:t>
      </w:r>
      <w:proofErr w:type="spellEnd"/>
      <w:r>
        <w:rPr>
          <w:sz w:val="24"/>
          <w:szCs w:val="24"/>
        </w:rPr>
        <w:t>): Ingeniería y Ciencias Aplicadas, Servicios Generales (Física), Ciencias Sociales y Humanas, Filosofía y Letras, y Jurisprudencia.</w:t>
      </w:r>
    </w:p>
    <w:p w14:paraId="029D21D4" w14:textId="77777777" w:rsidR="00BB51F0" w:rsidRDefault="00000000">
      <w:pPr>
        <w:pStyle w:val="Ttulo2"/>
        <w:spacing w:after="200"/>
      </w:pPr>
      <w:r>
        <w:t>4.3 Equipo de trabajo</w:t>
      </w:r>
    </w:p>
    <w:p w14:paraId="612781A1" w14:textId="77777777" w:rsidR="00BB51F0" w:rsidRDefault="00000000">
      <w:pPr>
        <w:spacing w:after="200"/>
        <w:jc w:val="both"/>
      </w:pPr>
      <w:r>
        <w:rPr>
          <w:sz w:val="24"/>
          <w:szCs w:val="24"/>
        </w:rPr>
        <w:t>El levantamiento de campo, consolidación de la información y análisis técnico fue realizado por los miembros asignados al Grupo 3, en el marco de la asignatura Infraestructura de la Información II.</w:t>
      </w:r>
    </w:p>
    <w:p w14:paraId="43A4DF7F" w14:textId="77777777" w:rsidR="00BB51F0" w:rsidRDefault="00000000">
      <w:pPr>
        <w:pStyle w:val="Ttulo2"/>
        <w:spacing w:after="200"/>
      </w:pPr>
      <w:r>
        <w:t>4.4 Instrumentos utilizados</w:t>
      </w:r>
    </w:p>
    <w:p w14:paraId="271EEC19" w14:textId="77777777" w:rsidR="00BB51F0" w:rsidRDefault="00000000">
      <w:pPr>
        <w:spacing w:after="200"/>
        <w:jc w:val="both"/>
      </w:pPr>
      <w:r>
        <w:rPr>
          <w:sz w:val="24"/>
          <w:szCs w:val="24"/>
        </w:rPr>
        <w:t>• Luxómetro: UNI-T Mini Light Meter UT383, para la medición de la intensidad lumínica a nivel del suelo.</w:t>
      </w:r>
    </w:p>
    <w:p w14:paraId="68543034" w14:textId="77777777" w:rsidR="00BB51F0" w:rsidRDefault="00000000">
      <w:pPr>
        <w:spacing w:after="200"/>
        <w:jc w:val="both"/>
      </w:pPr>
      <w:r>
        <w:rPr>
          <w:sz w:val="24"/>
          <w:szCs w:val="24"/>
        </w:rPr>
        <w:t>• Receptor GPS de dispositivos móviles con precisión submétrica (&lt; 5 m a cielo abierto).</w:t>
      </w:r>
    </w:p>
    <w:p w14:paraId="00CA32C8" w14:textId="77777777" w:rsidR="00BB51F0" w:rsidRDefault="00000000">
      <w:pPr>
        <w:spacing w:after="200"/>
        <w:jc w:val="both"/>
      </w:pPr>
      <w:r>
        <w:rPr>
          <w:sz w:val="24"/>
          <w:szCs w:val="24"/>
        </w:rPr>
        <w:t xml:space="preserve">• Formularios digitales: </w:t>
      </w:r>
      <w:proofErr w:type="spellStart"/>
      <w:r>
        <w:rPr>
          <w:sz w:val="24"/>
          <w:szCs w:val="24"/>
        </w:rPr>
        <w:t>KoboToolbox</w:t>
      </w:r>
      <w:proofErr w:type="spellEnd"/>
      <w:r>
        <w:rPr>
          <w:sz w:val="24"/>
          <w:szCs w:val="24"/>
        </w:rPr>
        <w:t xml:space="preserve"> (aplicación móvil </w:t>
      </w:r>
      <w:proofErr w:type="spellStart"/>
      <w:r>
        <w:rPr>
          <w:sz w:val="24"/>
          <w:szCs w:val="24"/>
        </w:rPr>
        <w:t>KoboCollect</w:t>
      </w:r>
      <w:proofErr w:type="spellEnd"/>
      <w:r>
        <w:rPr>
          <w:sz w:val="24"/>
          <w:szCs w:val="24"/>
        </w:rPr>
        <w:t>).</w:t>
      </w:r>
    </w:p>
    <w:p w14:paraId="680AC7BE" w14:textId="77777777" w:rsidR="00BB51F0" w:rsidRDefault="00000000">
      <w:pPr>
        <w:pStyle w:val="Ttulo2"/>
        <w:spacing w:after="200"/>
      </w:pPr>
      <w:r>
        <w:t>4.5 Procedimiento de levantamiento</w:t>
      </w:r>
    </w:p>
    <w:p w14:paraId="009DC0DC" w14:textId="77777777" w:rsidR="00BB51F0" w:rsidRDefault="00000000">
      <w:pPr>
        <w:spacing w:after="200"/>
        <w:jc w:val="both"/>
      </w:pPr>
      <w:r>
        <w:rPr>
          <w:sz w:val="24"/>
          <w:szCs w:val="24"/>
        </w:rPr>
        <w:t>Los brigadistas recorrieron cada facultad asignada durante horario vespertino y nocturno. Para cada luminaria física (poste o adosada) se capturó la coordenada GPS, se estimó la altura, se caracterizó la tecnología (Sodio/LED), y se midió la incidencia lumínica en la superficie de circulación directamente debajo de la luminaria. Se tomaron además fotografías de evidencia.</w:t>
      </w:r>
    </w:p>
    <w:p w14:paraId="3EFC6807" w14:textId="77777777" w:rsidR="00BB51F0" w:rsidRDefault="00000000">
      <w:pPr>
        <w:pStyle w:val="Ttulo2"/>
        <w:spacing w:after="200"/>
      </w:pPr>
      <w:r>
        <w:t>4.6 Sistema de etiquetado</w:t>
      </w:r>
    </w:p>
    <w:p w14:paraId="742F9F8B" w14:textId="77777777" w:rsidR="00BB51F0" w:rsidRDefault="00000000">
      <w:pPr>
        <w:spacing w:after="200"/>
        <w:jc w:val="both"/>
      </w:pPr>
      <w:r>
        <w:rPr>
          <w:sz w:val="24"/>
          <w:szCs w:val="24"/>
        </w:rPr>
        <w:t>Para una adecuada gestión de activos, se identificaron los elementos mediante el esquema: FACULTAD/CARRERA/SECTOR - TIPO DE SOPORTE - TECNOLOGÍA - NÚMERO (</w:t>
      </w:r>
      <w:proofErr w:type="spellStart"/>
      <w:r>
        <w:rPr>
          <w:sz w:val="24"/>
          <w:szCs w:val="24"/>
        </w:rPr>
        <w:t>e.g</w:t>
      </w:r>
      <w:proofErr w:type="spellEnd"/>
      <w:r>
        <w:rPr>
          <w:sz w:val="24"/>
          <w:szCs w:val="24"/>
        </w:rPr>
        <w:t>., JUR-PAR-SODIO-002, FILO-PO-LED-18).</w:t>
      </w:r>
    </w:p>
    <w:p w14:paraId="62089C58" w14:textId="77777777" w:rsidR="00BB51F0" w:rsidRDefault="00000000">
      <w:pPr>
        <w:pStyle w:val="Ttulo2"/>
        <w:spacing w:after="200"/>
      </w:pPr>
      <w:r>
        <w:t>4.7 Validación de datos</w:t>
      </w:r>
    </w:p>
    <w:p w14:paraId="7F62B7C1" w14:textId="77777777" w:rsidR="00BB51F0" w:rsidRDefault="00000000">
      <w:pPr>
        <w:spacing w:after="200"/>
        <w:jc w:val="both"/>
      </w:pPr>
      <w:r>
        <w:rPr>
          <w:sz w:val="24"/>
          <w:szCs w:val="24"/>
        </w:rPr>
        <w:lastRenderedPageBreak/>
        <w:t xml:space="preserve">Los datos exportados de </w:t>
      </w:r>
      <w:proofErr w:type="spellStart"/>
      <w:r>
        <w:rPr>
          <w:sz w:val="24"/>
          <w:szCs w:val="24"/>
        </w:rPr>
        <w:t>KoboToolbox</w:t>
      </w:r>
      <w:proofErr w:type="spellEnd"/>
      <w:r>
        <w:rPr>
          <w:sz w:val="24"/>
          <w:szCs w:val="24"/>
        </w:rPr>
        <w:t xml:space="preserve"> en formato Excel fueron purgados. Se eliminaron registros sin coordenadas válidas y se estandarizaron las descripciones textuales para facilitar la agrupación. El tamaño de la muestra final validada es de 149 registros.</w:t>
      </w:r>
    </w:p>
    <w:p w14:paraId="09305483" w14:textId="77777777" w:rsidR="00BB51F0" w:rsidRDefault="00000000">
      <w:pPr>
        <w:pStyle w:val="Ttulo2"/>
        <w:spacing w:after="200"/>
      </w:pPr>
      <w:r>
        <w:t>4.8 Métodos estadísticos</w:t>
      </w:r>
    </w:p>
    <w:p w14:paraId="1E26E090" w14:textId="77777777" w:rsidR="00BB51F0" w:rsidRDefault="00000000">
      <w:pPr>
        <w:spacing w:after="200"/>
        <w:jc w:val="both"/>
      </w:pPr>
      <w:r>
        <w:rPr>
          <w:sz w:val="24"/>
          <w:szCs w:val="24"/>
        </w:rPr>
        <w:t>El análisis estadístico se efectuó mediante técnicas de estadística descriptiva. Se generaron tablas de frecuencia absoluta y relativa para variables categóricas, y se calcularon medidas de tendencia central y dispersión para variables continuas (luxes).</w:t>
      </w:r>
    </w:p>
    <w:p w14:paraId="5481A5EA" w14:textId="77777777" w:rsidR="00BB51F0" w:rsidRDefault="00000000">
      <w:pPr>
        <w:pStyle w:val="Ttulo2"/>
        <w:spacing w:after="200"/>
      </w:pPr>
      <w:r>
        <w:t>4.9 Métodos GIS</w:t>
      </w:r>
    </w:p>
    <w:p w14:paraId="0CC6E54B" w14:textId="77777777" w:rsidR="00BB51F0" w:rsidRDefault="00000000">
      <w:pPr>
        <w:spacing w:after="200"/>
        <w:jc w:val="both"/>
      </w:pPr>
      <w:r>
        <w:rPr>
          <w:sz w:val="24"/>
          <w:szCs w:val="24"/>
        </w:rPr>
        <w:t xml:space="preserve">Se desarrollaron scripts en Python utilizando las bibliotecas </w:t>
      </w:r>
      <w:proofErr w:type="spellStart"/>
      <w:r>
        <w:rPr>
          <w:sz w:val="24"/>
          <w:szCs w:val="24"/>
        </w:rPr>
        <w:t>Folium</w:t>
      </w:r>
      <w:proofErr w:type="spellEnd"/>
      <w:r>
        <w:rPr>
          <w:sz w:val="24"/>
          <w:szCs w:val="24"/>
        </w:rPr>
        <w:t xml:space="preserve"> y Pandas para renderizar cartografía interactiva HTML. El análisis geográfico incluye agrupación semántica, diferenciación de marcadores y la generación de un mapa de calor ponderado por la variable de iluminancia.</w:t>
      </w:r>
    </w:p>
    <w:p w14:paraId="45571535" w14:textId="77777777" w:rsidR="00BB51F0" w:rsidRDefault="00000000">
      <w:pPr>
        <w:pStyle w:val="Ttulo1"/>
        <w:spacing w:before="300"/>
      </w:pPr>
      <w:r>
        <w:t>5. RESULTADOS</w:t>
      </w:r>
    </w:p>
    <w:p w14:paraId="38D57D7A" w14:textId="77777777" w:rsidR="00BB51F0" w:rsidRDefault="00000000">
      <w:pPr>
        <w:pStyle w:val="Ttulo2"/>
        <w:spacing w:after="200"/>
      </w:pPr>
      <w:r>
        <w:t>5.1 Total de puntos evaluados</w:t>
      </w:r>
    </w:p>
    <w:p w14:paraId="713B8862" w14:textId="77777777" w:rsidR="00BB51F0" w:rsidRDefault="00000000">
      <w:pPr>
        <w:spacing w:after="200"/>
        <w:jc w:val="both"/>
      </w:pPr>
      <w:r>
        <w:rPr>
          <w:sz w:val="24"/>
          <w:szCs w:val="24"/>
        </w:rPr>
        <w:t>Se levantó información de un total de 149 puntos de iluminación dentro de las áreas de estudio asignadas.</w:t>
      </w:r>
    </w:p>
    <w:p w14:paraId="13EC1A5B" w14:textId="77777777" w:rsidR="00BB51F0" w:rsidRDefault="00000000">
      <w:pPr>
        <w:pStyle w:val="Ttulo2"/>
        <w:spacing w:after="200"/>
      </w:pPr>
      <w:r>
        <w:t>5.2 Distribución por facultad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391"/>
        <w:gridCol w:w="1448"/>
        <w:gridCol w:w="2177"/>
      </w:tblGrid>
      <w:tr w:rsidR="00BB51F0" w14:paraId="77108AA0" w14:textId="77777777">
        <w:tblPrEx>
          <w:tblCellMar>
            <w:top w:w="0" w:type="dxa"/>
            <w:bottom w:w="0" w:type="dxa"/>
          </w:tblCellMar>
        </w:tblPrEx>
        <w:tc>
          <w:tcPr>
            <w:tcW w:w="0" w:type="auto"/>
            <w:shd w:val="clear" w:color="auto" w:fill="D9D9D9"/>
            <w:tcMar>
              <w:top w:w="100" w:type="dxa"/>
              <w:left w:w="100" w:type="dxa"/>
              <w:bottom w:w="100" w:type="dxa"/>
              <w:right w:w="100" w:type="dxa"/>
            </w:tcMar>
          </w:tcPr>
          <w:p w14:paraId="63BBC72F" w14:textId="77777777" w:rsidR="00BB51F0" w:rsidRDefault="00000000">
            <w:r>
              <w:rPr>
                <w:b/>
                <w:bCs/>
              </w:rPr>
              <w:t>Facultad / Sector</w:t>
            </w:r>
          </w:p>
        </w:tc>
        <w:tc>
          <w:tcPr>
            <w:tcW w:w="0" w:type="auto"/>
            <w:shd w:val="clear" w:color="auto" w:fill="D9D9D9"/>
            <w:tcMar>
              <w:top w:w="100" w:type="dxa"/>
              <w:left w:w="100" w:type="dxa"/>
              <w:bottom w:w="100" w:type="dxa"/>
              <w:right w:w="100" w:type="dxa"/>
            </w:tcMar>
          </w:tcPr>
          <w:p w14:paraId="35D543C5" w14:textId="77777777" w:rsidR="00BB51F0" w:rsidRDefault="00000000">
            <w:r>
              <w:rPr>
                <w:b/>
                <w:bCs/>
              </w:rPr>
              <w:t>Cantidad</w:t>
            </w:r>
          </w:p>
        </w:tc>
        <w:tc>
          <w:tcPr>
            <w:tcW w:w="0" w:type="auto"/>
            <w:shd w:val="clear" w:color="auto" w:fill="D9D9D9"/>
            <w:tcMar>
              <w:top w:w="100" w:type="dxa"/>
              <w:left w:w="100" w:type="dxa"/>
              <w:bottom w:w="100" w:type="dxa"/>
              <w:right w:w="100" w:type="dxa"/>
            </w:tcMar>
          </w:tcPr>
          <w:p w14:paraId="5195B368" w14:textId="77777777" w:rsidR="00BB51F0" w:rsidRDefault="00000000">
            <w:r>
              <w:rPr>
                <w:b/>
                <w:bCs/>
              </w:rPr>
              <w:t>Porcentaje (%)</w:t>
            </w:r>
          </w:p>
        </w:tc>
      </w:tr>
      <w:tr w:rsidR="00BB51F0" w14:paraId="57E628EB" w14:textId="77777777">
        <w:tblPrEx>
          <w:tblCellMar>
            <w:top w:w="0" w:type="dxa"/>
            <w:bottom w:w="0" w:type="dxa"/>
          </w:tblCellMar>
        </w:tblPrEx>
        <w:tc>
          <w:tcPr>
            <w:tcW w:w="0" w:type="auto"/>
            <w:tcMar>
              <w:top w:w="100" w:type="dxa"/>
              <w:left w:w="100" w:type="dxa"/>
              <w:bottom w:w="100" w:type="dxa"/>
              <w:right w:w="100" w:type="dxa"/>
            </w:tcMar>
          </w:tcPr>
          <w:p w14:paraId="50A300E7" w14:textId="77777777" w:rsidR="00BB51F0" w:rsidRDefault="00000000">
            <w:r>
              <w:t>Ingeniería y ciencias aplicadas</w:t>
            </w:r>
          </w:p>
        </w:tc>
        <w:tc>
          <w:tcPr>
            <w:tcW w:w="0" w:type="auto"/>
            <w:tcMar>
              <w:top w:w="100" w:type="dxa"/>
              <w:left w:w="100" w:type="dxa"/>
              <w:bottom w:w="100" w:type="dxa"/>
              <w:right w:w="100" w:type="dxa"/>
            </w:tcMar>
          </w:tcPr>
          <w:p w14:paraId="18668399" w14:textId="77777777" w:rsidR="00BB51F0" w:rsidRDefault="00000000">
            <w:r>
              <w:t>25</w:t>
            </w:r>
          </w:p>
        </w:tc>
        <w:tc>
          <w:tcPr>
            <w:tcW w:w="0" w:type="auto"/>
            <w:tcMar>
              <w:top w:w="100" w:type="dxa"/>
              <w:left w:w="100" w:type="dxa"/>
              <w:bottom w:w="100" w:type="dxa"/>
              <w:right w:w="100" w:type="dxa"/>
            </w:tcMar>
          </w:tcPr>
          <w:p w14:paraId="2FD34AB7" w14:textId="77777777" w:rsidR="00BB51F0" w:rsidRDefault="00000000">
            <w:r>
              <w:t>16.78%</w:t>
            </w:r>
          </w:p>
        </w:tc>
      </w:tr>
      <w:tr w:rsidR="00BB51F0" w14:paraId="15BAF299" w14:textId="77777777">
        <w:tblPrEx>
          <w:tblCellMar>
            <w:top w:w="0" w:type="dxa"/>
            <w:bottom w:w="0" w:type="dxa"/>
          </w:tblCellMar>
        </w:tblPrEx>
        <w:tc>
          <w:tcPr>
            <w:tcW w:w="0" w:type="auto"/>
            <w:tcMar>
              <w:top w:w="100" w:type="dxa"/>
              <w:left w:w="100" w:type="dxa"/>
              <w:bottom w:w="100" w:type="dxa"/>
              <w:right w:w="100" w:type="dxa"/>
            </w:tcMar>
          </w:tcPr>
          <w:p w14:paraId="33BCA26D" w14:textId="77777777" w:rsidR="00BB51F0" w:rsidRDefault="00000000">
            <w:r>
              <w:t>Servicios Generales (Física)</w:t>
            </w:r>
          </w:p>
        </w:tc>
        <w:tc>
          <w:tcPr>
            <w:tcW w:w="0" w:type="auto"/>
            <w:tcMar>
              <w:top w:w="100" w:type="dxa"/>
              <w:left w:w="100" w:type="dxa"/>
              <w:bottom w:w="100" w:type="dxa"/>
              <w:right w:w="100" w:type="dxa"/>
            </w:tcMar>
          </w:tcPr>
          <w:p w14:paraId="66B00E61" w14:textId="77777777" w:rsidR="00BB51F0" w:rsidRDefault="00000000">
            <w:r>
              <w:t>7</w:t>
            </w:r>
          </w:p>
        </w:tc>
        <w:tc>
          <w:tcPr>
            <w:tcW w:w="0" w:type="auto"/>
            <w:tcMar>
              <w:top w:w="100" w:type="dxa"/>
              <w:left w:w="100" w:type="dxa"/>
              <w:bottom w:w="100" w:type="dxa"/>
              <w:right w:w="100" w:type="dxa"/>
            </w:tcMar>
          </w:tcPr>
          <w:p w14:paraId="0B2496D4" w14:textId="77777777" w:rsidR="00BB51F0" w:rsidRDefault="00000000">
            <w:r>
              <w:t>4.70%</w:t>
            </w:r>
          </w:p>
        </w:tc>
      </w:tr>
      <w:tr w:rsidR="00BB51F0" w14:paraId="1D387E61" w14:textId="77777777">
        <w:tblPrEx>
          <w:tblCellMar>
            <w:top w:w="0" w:type="dxa"/>
            <w:bottom w:w="0" w:type="dxa"/>
          </w:tblCellMar>
        </w:tblPrEx>
        <w:tc>
          <w:tcPr>
            <w:tcW w:w="0" w:type="auto"/>
            <w:tcMar>
              <w:top w:w="100" w:type="dxa"/>
              <w:left w:w="100" w:type="dxa"/>
              <w:bottom w:w="100" w:type="dxa"/>
              <w:right w:w="100" w:type="dxa"/>
            </w:tcMar>
          </w:tcPr>
          <w:p w14:paraId="3FF9982C" w14:textId="77777777" w:rsidR="00BB51F0" w:rsidRDefault="00000000">
            <w:r>
              <w:t>Ciencias Sociales y Humanas</w:t>
            </w:r>
          </w:p>
        </w:tc>
        <w:tc>
          <w:tcPr>
            <w:tcW w:w="0" w:type="auto"/>
            <w:tcMar>
              <w:top w:w="100" w:type="dxa"/>
              <w:left w:w="100" w:type="dxa"/>
              <w:bottom w:w="100" w:type="dxa"/>
              <w:right w:w="100" w:type="dxa"/>
            </w:tcMar>
          </w:tcPr>
          <w:p w14:paraId="654F997D" w14:textId="77777777" w:rsidR="00BB51F0" w:rsidRDefault="00000000">
            <w:r>
              <w:t>21</w:t>
            </w:r>
          </w:p>
        </w:tc>
        <w:tc>
          <w:tcPr>
            <w:tcW w:w="0" w:type="auto"/>
            <w:tcMar>
              <w:top w:w="100" w:type="dxa"/>
              <w:left w:w="100" w:type="dxa"/>
              <w:bottom w:w="100" w:type="dxa"/>
              <w:right w:w="100" w:type="dxa"/>
            </w:tcMar>
          </w:tcPr>
          <w:p w14:paraId="39C03185" w14:textId="77777777" w:rsidR="00BB51F0" w:rsidRDefault="00000000">
            <w:r>
              <w:t>14.09%</w:t>
            </w:r>
          </w:p>
        </w:tc>
      </w:tr>
      <w:tr w:rsidR="00BB51F0" w14:paraId="59896C2E" w14:textId="77777777">
        <w:tblPrEx>
          <w:tblCellMar>
            <w:top w:w="0" w:type="dxa"/>
            <w:bottom w:w="0" w:type="dxa"/>
          </w:tblCellMar>
        </w:tblPrEx>
        <w:tc>
          <w:tcPr>
            <w:tcW w:w="0" w:type="auto"/>
            <w:tcMar>
              <w:top w:w="100" w:type="dxa"/>
              <w:left w:w="100" w:type="dxa"/>
              <w:bottom w:w="100" w:type="dxa"/>
              <w:right w:w="100" w:type="dxa"/>
            </w:tcMar>
          </w:tcPr>
          <w:p w14:paraId="1B551885" w14:textId="77777777" w:rsidR="00BB51F0" w:rsidRDefault="00000000">
            <w:r>
              <w:t>Facultad de Ingeniería y Ciencias Aplicadas</w:t>
            </w:r>
          </w:p>
        </w:tc>
        <w:tc>
          <w:tcPr>
            <w:tcW w:w="0" w:type="auto"/>
            <w:tcMar>
              <w:top w:w="100" w:type="dxa"/>
              <w:left w:w="100" w:type="dxa"/>
              <w:bottom w:w="100" w:type="dxa"/>
              <w:right w:w="100" w:type="dxa"/>
            </w:tcMar>
          </w:tcPr>
          <w:p w14:paraId="2A9A7285" w14:textId="77777777" w:rsidR="00BB51F0" w:rsidRDefault="00000000">
            <w:r>
              <w:t>27</w:t>
            </w:r>
          </w:p>
        </w:tc>
        <w:tc>
          <w:tcPr>
            <w:tcW w:w="0" w:type="auto"/>
            <w:tcMar>
              <w:top w:w="100" w:type="dxa"/>
              <w:left w:w="100" w:type="dxa"/>
              <w:bottom w:w="100" w:type="dxa"/>
              <w:right w:w="100" w:type="dxa"/>
            </w:tcMar>
          </w:tcPr>
          <w:p w14:paraId="022827BF" w14:textId="77777777" w:rsidR="00BB51F0" w:rsidRDefault="00000000">
            <w:r>
              <w:t>18.12%</w:t>
            </w:r>
          </w:p>
        </w:tc>
      </w:tr>
      <w:tr w:rsidR="00BB51F0" w14:paraId="0F826C7A" w14:textId="77777777">
        <w:tblPrEx>
          <w:tblCellMar>
            <w:top w:w="0" w:type="dxa"/>
            <w:bottom w:w="0" w:type="dxa"/>
          </w:tblCellMar>
        </w:tblPrEx>
        <w:tc>
          <w:tcPr>
            <w:tcW w:w="0" w:type="auto"/>
            <w:tcMar>
              <w:top w:w="100" w:type="dxa"/>
              <w:left w:w="100" w:type="dxa"/>
              <w:bottom w:w="100" w:type="dxa"/>
              <w:right w:w="100" w:type="dxa"/>
            </w:tcMar>
          </w:tcPr>
          <w:p w14:paraId="0807F77C" w14:textId="77777777" w:rsidR="00BB51F0" w:rsidRDefault="00000000">
            <w:r>
              <w:t>Filosofía, Letras y Ciencias de la Educación</w:t>
            </w:r>
          </w:p>
        </w:tc>
        <w:tc>
          <w:tcPr>
            <w:tcW w:w="0" w:type="auto"/>
            <w:tcMar>
              <w:top w:w="100" w:type="dxa"/>
              <w:left w:w="100" w:type="dxa"/>
              <w:bottom w:w="100" w:type="dxa"/>
              <w:right w:w="100" w:type="dxa"/>
            </w:tcMar>
          </w:tcPr>
          <w:p w14:paraId="34AE0133" w14:textId="77777777" w:rsidR="00BB51F0" w:rsidRDefault="00000000">
            <w:r>
              <w:t>27</w:t>
            </w:r>
          </w:p>
        </w:tc>
        <w:tc>
          <w:tcPr>
            <w:tcW w:w="0" w:type="auto"/>
            <w:tcMar>
              <w:top w:w="100" w:type="dxa"/>
              <w:left w:w="100" w:type="dxa"/>
              <w:bottom w:w="100" w:type="dxa"/>
              <w:right w:w="100" w:type="dxa"/>
            </w:tcMar>
          </w:tcPr>
          <w:p w14:paraId="1270E15D" w14:textId="77777777" w:rsidR="00BB51F0" w:rsidRDefault="00000000">
            <w:r>
              <w:t>18.12%</w:t>
            </w:r>
          </w:p>
        </w:tc>
      </w:tr>
      <w:tr w:rsidR="00BB51F0" w14:paraId="68C8FB8B" w14:textId="77777777">
        <w:tblPrEx>
          <w:tblCellMar>
            <w:top w:w="0" w:type="dxa"/>
            <w:bottom w:w="0" w:type="dxa"/>
          </w:tblCellMar>
        </w:tblPrEx>
        <w:tc>
          <w:tcPr>
            <w:tcW w:w="0" w:type="auto"/>
            <w:tcMar>
              <w:top w:w="100" w:type="dxa"/>
              <w:left w:w="100" w:type="dxa"/>
              <w:bottom w:w="100" w:type="dxa"/>
              <w:right w:w="100" w:type="dxa"/>
            </w:tcMar>
          </w:tcPr>
          <w:p w14:paraId="198846EF" w14:textId="77777777" w:rsidR="00BB51F0" w:rsidRDefault="00000000">
            <w:r>
              <w:t>Jurisprudencia</w:t>
            </w:r>
          </w:p>
        </w:tc>
        <w:tc>
          <w:tcPr>
            <w:tcW w:w="0" w:type="auto"/>
            <w:tcMar>
              <w:top w:w="100" w:type="dxa"/>
              <w:left w:w="100" w:type="dxa"/>
              <w:bottom w:w="100" w:type="dxa"/>
              <w:right w:w="100" w:type="dxa"/>
            </w:tcMar>
          </w:tcPr>
          <w:p w14:paraId="1C1604A9" w14:textId="77777777" w:rsidR="00BB51F0" w:rsidRDefault="00000000">
            <w:r>
              <w:t>42</w:t>
            </w:r>
          </w:p>
        </w:tc>
        <w:tc>
          <w:tcPr>
            <w:tcW w:w="0" w:type="auto"/>
            <w:tcMar>
              <w:top w:w="100" w:type="dxa"/>
              <w:left w:w="100" w:type="dxa"/>
              <w:bottom w:w="100" w:type="dxa"/>
              <w:right w:w="100" w:type="dxa"/>
            </w:tcMar>
          </w:tcPr>
          <w:p w14:paraId="13BD85F6" w14:textId="77777777" w:rsidR="00BB51F0" w:rsidRDefault="00000000">
            <w:r>
              <w:t>28.19%</w:t>
            </w:r>
          </w:p>
        </w:tc>
      </w:tr>
    </w:tbl>
    <w:p w14:paraId="0166E0C9" w14:textId="77777777" w:rsidR="00BB51F0" w:rsidRDefault="00BB51F0">
      <w:pPr>
        <w:spacing w:after="200"/>
        <w:jc w:val="both"/>
      </w:pPr>
    </w:p>
    <w:p w14:paraId="62CA37F7" w14:textId="77777777" w:rsidR="00BB51F0" w:rsidRDefault="00000000">
      <w:pPr>
        <w:pStyle w:val="Ttulo2"/>
        <w:spacing w:after="200"/>
      </w:pPr>
      <w:r>
        <w:t>5.3 y 5.4 Distribución por tipo de luminaria (Tecnología)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9"/>
        <w:gridCol w:w="2479"/>
        <w:gridCol w:w="3728"/>
      </w:tblGrid>
      <w:tr w:rsidR="00BB51F0" w14:paraId="650B6B97" w14:textId="77777777">
        <w:tblPrEx>
          <w:tblCellMar>
            <w:top w:w="0" w:type="dxa"/>
            <w:bottom w:w="0" w:type="dxa"/>
          </w:tblCellMar>
        </w:tblPrEx>
        <w:tc>
          <w:tcPr>
            <w:tcW w:w="0" w:type="auto"/>
            <w:shd w:val="clear" w:color="auto" w:fill="D9D9D9"/>
            <w:tcMar>
              <w:top w:w="100" w:type="dxa"/>
              <w:left w:w="100" w:type="dxa"/>
              <w:bottom w:w="100" w:type="dxa"/>
              <w:right w:w="100" w:type="dxa"/>
            </w:tcMar>
          </w:tcPr>
          <w:p w14:paraId="02D1DA5F" w14:textId="77777777" w:rsidR="00BB51F0" w:rsidRDefault="00000000">
            <w:r>
              <w:rPr>
                <w:b/>
                <w:bCs/>
              </w:rPr>
              <w:t>Tecnología</w:t>
            </w:r>
          </w:p>
        </w:tc>
        <w:tc>
          <w:tcPr>
            <w:tcW w:w="0" w:type="auto"/>
            <w:shd w:val="clear" w:color="auto" w:fill="D9D9D9"/>
            <w:tcMar>
              <w:top w:w="100" w:type="dxa"/>
              <w:left w:w="100" w:type="dxa"/>
              <w:bottom w:w="100" w:type="dxa"/>
              <w:right w:w="100" w:type="dxa"/>
            </w:tcMar>
          </w:tcPr>
          <w:p w14:paraId="47B33312" w14:textId="77777777" w:rsidR="00BB51F0" w:rsidRDefault="00000000">
            <w:r>
              <w:rPr>
                <w:b/>
                <w:bCs/>
              </w:rPr>
              <w:t>Cantidad</w:t>
            </w:r>
          </w:p>
        </w:tc>
        <w:tc>
          <w:tcPr>
            <w:tcW w:w="0" w:type="auto"/>
            <w:shd w:val="clear" w:color="auto" w:fill="D9D9D9"/>
            <w:tcMar>
              <w:top w:w="100" w:type="dxa"/>
              <w:left w:w="100" w:type="dxa"/>
              <w:bottom w:w="100" w:type="dxa"/>
              <w:right w:w="100" w:type="dxa"/>
            </w:tcMar>
          </w:tcPr>
          <w:p w14:paraId="40BB1B19" w14:textId="77777777" w:rsidR="00BB51F0" w:rsidRDefault="00000000">
            <w:r>
              <w:rPr>
                <w:b/>
                <w:bCs/>
              </w:rPr>
              <w:t>Porcentaje (%)</w:t>
            </w:r>
          </w:p>
        </w:tc>
      </w:tr>
      <w:tr w:rsidR="00BB51F0" w14:paraId="0DBD6A75" w14:textId="77777777">
        <w:tblPrEx>
          <w:tblCellMar>
            <w:top w:w="0" w:type="dxa"/>
            <w:bottom w:w="0" w:type="dxa"/>
          </w:tblCellMar>
        </w:tblPrEx>
        <w:tc>
          <w:tcPr>
            <w:tcW w:w="0" w:type="auto"/>
            <w:tcMar>
              <w:top w:w="100" w:type="dxa"/>
              <w:left w:w="100" w:type="dxa"/>
              <w:bottom w:w="100" w:type="dxa"/>
              <w:right w:w="100" w:type="dxa"/>
            </w:tcMar>
          </w:tcPr>
          <w:p w14:paraId="022B7413" w14:textId="77777777" w:rsidR="00BB51F0" w:rsidRDefault="00000000">
            <w:r>
              <w:t>Sodio</w:t>
            </w:r>
          </w:p>
        </w:tc>
        <w:tc>
          <w:tcPr>
            <w:tcW w:w="0" w:type="auto"/>
            <w:tcMar>
              <w:top w:w="100" w:type="dxa"/>
              <w:left w:w="100" w:type="dxa"/>
              <w:bottom w:w="100" w:type="dxa"/>
              <w:right w:w="100" w:type="dxa"/>
            </w:tcMar>
          </w:tcPr>
          <w:p w14:paraId="5810A5D0" w14:textId="77777777" w:rsidR="00BB51F0" w:rsidRDefault="00000000">
            <w:r>
              <w:t>123</w:t>
            </w:r>
          </w:p>
        </w:tc>
        <w:tc>
          <w:tcPr>
            <w:tcW w:w="0" w:type="auto"/>
            <w:tcMar>
              <w:top w:w="100" w:type="dxa"/>
              <w:left w:w="100" w:type="dxa"/>
              <w:bottom w:w="100" w:type="dxa"/>
              <w:right w:w="100" w:type="dxa"/>
            </w:tcMar>
          </w:tcPr>
          <w:p w14:paraId="11B5FD27" w14:textId="77777777" w:rsidR="00BB51F0" w:rsidRDefault="00000000">
            <w:r>
              <w:t>82.55%</w:t>
            </w:r>
          </w:p>
        </w:tc>
      </w:tr>
      <w:tr w:rsidR="00BB51F0" w14:paraId="6B9C8238" w14:textId="77777777">
        <w:tblPrEx>
          <w:tblCellMar>
            <w:top w:w="0" w:type="dxa"/>
            <w:bottom w:w="0" w:type="dxa"/>
          </w:tblCellMar>
        </w:tblPrEx>
        <w:tc>
          <w:tcPr>
            <w:tcW w:w="0" w:type="auto"/>
            <w:tcMar>
              <w:top w:w="100" w:type="dxa"/>
              <w:left w:w="100" w:type="dxa"/>
              <w:bottom w:w="100" w:type="dxa"/>
              <w:right w:w="100" w:type="dxa"/>
            </w:tcMar>
          </w:tcPr>
          <w:p w14:paraId="36A9C134" w14:textId="77777777" w:rsidR="00BB51F0" w:rsidRDefault="00000000">
            <w:r>
              <w:t>LED</w:t>
            </w:r>
          </w:p>
        </w:tc>
        <w:tc>
          <w:tcPr>
            <w:tcW w:w="0" w:type="auto"/>
            <w:tcMar>
              <w:top w:w="100" w:type="dxa"/>
              <w:left w:w="100" w:type="dxa"/>
              <w:bottom w:w="100" w:type="dxa"/>
              <w:right w:w="100" w:type="dxa"/>
            </w:tcMar>
          </w:tcPr>
          <w:p w14:paraId="2965B24C" w14:textId="77777777" w:rsidR="00BB51F0" w:rsidRDefault="00000000">
            <w:r>
              <w:t>26</w:t>
            </w:r>
          </w:p>
        </w:tc>
        <w:tc>
          <w:tcPr>
            <w:tcW w:w="0" w:type="auto"/>
            <w:tcMar>
              <w:top w:w="100" w:type="dxa"/>
              <w:left w:w="100" w:type="dxa"/>
              <w:bottom w:w="100" w:type="dxa"/>
              <w:right w:w="100" w:type="dxa"/>
            </w:tcMar>
          </w:tcPr>
          <w:p w14:paraId="3D75CF3F" w14:textId="77777777" w:rsidR="00BB51F0" w:rsidRDefault="00000000">
            <w:r>
              <w:t>17.45%</w:t>
            </w:r>
          </w:p>
        </w:tc>
      </w:tr>
    </w:tbl>
    <w:p w14:paraId="6E3C927B" w14:textId="77777777" w:rsidR="00BB51F0" w:rsidRDefault="00BB51F0">
      <w:pPr>
        <w:spacing w:after="200"/>
        <w:jc w:val="both"/>
      </w:pPr>
    </w:p>
    <w:p w14:paraId="24CC6781" w14:textId="77777777" w:rsidR="00BB51F0" w:rsidRDefault="00000000">
      <w:pPr>
        <w:pStyle w:val="Ttulo2"/>
        <w:spacing w:after="200"/>
      </w:pPr>
      <w:r>
        <w:t>5.5 Distribución por estado de funcionamiento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28"/>
        <w:gridCol w:w="2192"/>
        <w:gridCol w:w="3296"/>
      </w:tblGrid>
      <w:tr w:rsidR="00BB51F0" w14:paraId="474F779E" w14:textId="77777777">
        <w:tblPrEx>
          <w:tblCellMar>
            <w:top w:w="0" w:type="dxa"/>
            <w:bottom w:w="0" w:type="dxa"/>
          </w:tblCellMar>
        </w:tblPrEx>
        <w:tc>
          <w:tcPr>
            <w:tcW w:w="0" w:type="auto"/>
            <w:shd w:val="clear" w:color="auto" w:fill="D9D9D9"/>
            <w:tcMar>
              <w:top w:w="100" w:type="dxa"/>
              <w:left w:w="100" w:type="dxa"/>
              <w:bottom w:w="100" w:type="dxa"/>
              <w:right w:w="100" w:type="dxa"/>
            </w:tcMar>
          </w:tcPr>
          <w:p w14:paraId="50AB8C37" w14:textId="77777777" w:rsidR="00BB51F0" w:rsidRDefault="00000000">
            <w:r>
              <w:rPr>
                <w:b/>
                <w:bCs/>
              </w:rPr>
              <w:lastRenderedPageBreak/>
              <w:t>Estado</w:t>
            </w:r>
          </w:p>
        </w:tc>
        <w:tc>
          <w:tcPr>
            <w:tcW w:w="0" w:type="auto"/>
            <w:shd w:val="clear" w:color="auto" w:fill="D9D9D9"/>
            <w:tcMar>
              <w:top w:w="100" w:type="dxa"/>
              <w:left w:w="100" w:type="dxa"/>
              <w:bottom w:w="100" w:type="dxa"/>
              <w:right w:w="100" w:type="dxa"/>
            </w:tcMar>
          </w:tcPr>
          <w:p w14:paraId="602EF757" w14:textId="77777777" w:rsidR="00BB51F0" w:rsidRDefault="00000000">
            <w:r>
              <w:rPr>
                <w:b/>
                <w:bCs/>
              </w:rPr>
              <w:t>Cantidad</w:t>
            </w:r>
          </w:p>
        </w:tc>
        <w:tc>
          <w:tcPr>
            <w:tcW w:w="0" w:type="auto"/>
            <w:shd w:val="clear" w:color="auto" w:fill="D9D9D9"/>
            <w:tcMar>
              <w:top w:w="100" w:type="dxa"/>
              <w:left w:w="100" w:type="dxa"/>
              <w:bottom w:w="100" w:type="dxa"/>
              <w:right w:w="100" w:type="dxa"/>
            </w:tcMar>
          </w:tcPr>
          <w:p w14:paraId="04D3AAE3" w14:textId="77777777" w:rsidR="00BB51F0" w:rsidRDefault="00000000">
            <w:r>
              <w:rPr>
                <w:b/>
                <w:bCs/>
              </w:rPr>
              <w:t>Porcentaje (%)</w:t>
            </w:r>
          </w:p>
        </w:tc>
      </w:tr>
      <w:tr w:rsidR="00BB51F0" w14:paraId="536CBF03" w14:textId="77777777">
        <w:tblPrEx>
          <w:tblCellMar>
            <w:top w:w="0" w:type="dxa"/>
            <w:bottom w:w="0" w:type="dxa"/>
          </w:tblCellMar>
        </w:tblPrEx>
        <w:tc>
          <w:tcPr>
            <w:tcW w:w="0" w:type="auto"/>
            <w:tcMar>
              <w:top w:w="100" w:type="dxa"/>
              <w:left w:w="100" w:type="dxa"/>
              <w:bottom w:w="100" w:type="dxa"/>
              <w:right w:w="100" w:type="dxa"/>
            </w:tcMar>
          </w:tcPr>
          <w:p w14:paraId="4EACC83B" w14:textId="77777777" w:rsidR="00BB51F0" w:rsidRDefault="00000000">
            <w:r>
              <w:t>Enciende</w:t>
            </w:r>
          </w:p>
        </w:tc>
        <w:tc>
          <w:tcPr>
            <w:tcW w:w="0" w:type="auto"/>
            <w:tcMar>
              <w:top w:w="100" w:type="dxa"/>
              <w:left w:w="100" w:type="dxa"/>
              <w:bottom w:w="100" w:type="dxa"/>
              <w:right w:w="100" w:type="dxa"/>
            </w:tcMar>
          </w:tcPr>
          <w:p w14:paraId="558A657C" w14:textId="77777777" w:rsidR="00BB51F0" w:rsidRDefault="00000000">
            <w:r>
              <w:t>93</w:t>
            </w:r>
          </w:p>
        </w:tc>
        <w:tc>
          <w:tcPr>
            <w:tcW w:w="0" w:type="auto"/>
            <w:tcMar>
              <w:top w:w="100" w:type="dxa"/>
              <w:left w:w="100" w:type="dxa"/>
              <w:bottom w:w="100" w:type="dxa"/>
              <w:right w:w="100" w:type="dxa"/>
            </w:tcMar>
          </w:tcPr>
          <w:p w14:paraId="39642F06" w14:textId="77777777" w:rsidR="00BB51F0" w:rsidRDefault="00000000">
            <w:r>
              <w:t>62.42%</w:t>
            </w:r>
          </w:p>
        </w:tc>
      </w:tr>
      <w:tr w:rsidR="00BB51F0" w14:paraId="7672F941" w14:textId="77777777">
        <w:tblPrEx>
          <w:tblCellMar>
            <w:top w:w="0" w:type="dxa"/>
            <w:bottom w:w="0" w:type="dxa"/>
          </w:tblCellMar>
        </w:tblPrEx>
        <w:tc>
          <w:tcPr>
            <w:tcW w:w="0" w:type="auto"/>
            <w:tcMar>
              <w:top w:w="100" w:type="dxa"/>
              <w:left w:w="100" w:type="dxa"/>
              <w:bottom w:w="100" w:type="dxa"/>
              <w:right w:w="100" w:type="dxa"/>
            </w:tcMar>
          </w:tcPr>
          <w:p w14:paraId="0DE8BB06" w14:textId="77777777" w:rsidR="00BB51F0" w:rsidRDefault="00000000">
            <w:r>
              <w:t>No enciende</w:t>
            </w:r>
          </w:p>
        </w:tc>
        <w:tc>
          <w:tcPr>
            <w:tcW w:w="0" w:type="auto"/>
            <w:tcMar>
              <w:top w:w="100" w:type="dxa"/>
              <w:left w:w="100" w:type="dxa"/>
              <w:bottom w:w="100" w:type="dxa"/>
              <w:right w:w="100" w:type="dxa"/>
            </w:tcMar>
          </w:tcPr>
          <w:p w14:paraId="345B7BFE" w14:textId="77777777" w:rsidR="00BB51F0" w:rsidRDefault="00000000">
            <w:r>
              <w:t>49</w:t>
            </w:r>
          </w:p>
        </w:tc>
        <w:tc>
          <w:tcPr>
            <w:tcW w:w="0" w:type="auto"/>
            <w:tcMar>
              <w:top w:w="100" w:type="dxa"/>
              <w:left w:w="100" w:type="dxa"/>
              <w:bottom w:w="100" w:type="dxa"/>
              <w:right w:w="100" w:type="dxa"/>
            </w:tcMar>
          </w:tcPr>
          <w:p w14:paraId="34B09C8F" w14:textId="77777777" w:rsidR="00BB51F0" w:rsidRDefault="00000000">
            <w:r>
              <w:t>32.89%</w:t>
            </w:r>
          </w:p>
        </w:tc>
      </w:tr>
      <w:tr w:rsidR="00BB51F0" w14:paraId="34A77097" w14:textId="77777777">
        <w:tblPrEx>
          <w:tblCellMar>
            <w:top w:w="0" w:type="dxa"/>
            <w:bottom w:w="0" w:type="dxa"/>
          </w:tblCellMar>
        </w:tblPrEx>
        <w:tc>
          <w:tcPr>
            <w:tcW w:w="0" w:type="auto"/>
            <w:tcMar>
              <w:top w:w="100" w:type="dxa"/>
              <w:left w:w="100" w:type="dxa"/>
              <w:bottom w:w="100" w:type="dxa"/>
              <w:right w:w="100" w:type="dxa"/>
            </w:tcMar>
          </w:tcPr>
          <w:p w14:paraId="33D1349D" w14:textId="77777777" w:rsidR="00BB51F0" w:rsidRDefault="00000000">
            <w:r>
              <w:t>Dañado/Parpadea</w:t>
            </w:r>
          </w:p>
        </w:tc>
        <w:tc>
          <w:tcPr>
            <w:tcW w:w="0" w:type="auto"/>
            <w:tcMar>
              <w:top w:w="100" w:type="dxa"/>
              <w:left w:w="100" w:type="dxa"/>
              <w:bottom w:w="100" w:type="dxa"/>
              <w:right w:w="100" w:type="dxa"/>
            </w:tcMar>
          </w:tcPr>
          <w:p w14:paraId="7BDC4A91" w14:textId="77777777" w:rsidR="00BB51F0" w:rsidRDefault="00000000">
            <w:r>
              <w:t>7</w:t>
            </w:r>
          </w:p>
        </w:tc>
        <w:tc>
          <w:tcPr>
            <w:tcW w:w="0" w:type="auto"/>
            <w:tcMar>
              <w:top w:w="100" w:type="dxa"/>
              <w:left w:w="100" w:type="dxa"/>
              <w:bottom w:w="100" w:type="dxa"/>
              <w:right w:w="100" w:type="dxa"/>
            </w:tcMar>
          </w:tcPr>
          <w:p w14:paraId="4D258D38" w14:textId="77777777" w:rsidR="00BB51F0" w:rsidRDefault="00000000">
            <w:r>
              <w:t>4.70%</w:t>
            </w:r>
          </w:p>
        </w:tc>
      </w:tr>
    </w:tbl>
    <w:p w14:paraId="16972321" w14:textId="77777777" w:rsidR="00BB51F0" w:rsidRDefault="00BB51F0">
      <w:pPr>
        <w:spacing w:after="200"/>
        <w:jc w:val="both"/>
      </w:pPr>
    </w:p>
    <w:p w14:paraId="3F2B6D66" w14:textId="77777777" w:rsidR="00BB51F0" w:rsidRDefault="00000000">
      <w:pPr>
        <w:pStyle w:val="Ttulo2"/>
        <w:spacing w:after="200"/>
      </w:pPr>
      <w:r>
        <w:t>5.6 Distribución por altura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77"/>
        <w:gridCol w:w="3439"/>
      </w:tblGrid>
      <w:tr w:rsidR="00BB51F0" w14:paraId="25B6CFC1" w14:textId="77777777">
        <w:tblPrEx>
          <w:tblCellMar>
            <w:top w:w="0" w:type="dxa"/>
            <w:bottom w:w="0" w:type="dxa"/>
          </w:tblCellMar>
        </w:tblPrEx>
        <w:tc>
          <w:tcPr>
            <w:tcW w:w="0" w:type="auto"/>
            <w:shd w:val="clear" w:color="auto" w:fill="D9D9D9"/>
            <w:tcMar>
              <w:top w:w="100" w:type="dxa"/>
              <w:left w:w="100" w:type="dxa"/>
              <w:bottom w:w="100" w:type="dxa"/>
              <w:right w:w="100" w:type="dxa"/>
            </w:tcMar>
          </w:tcPr>
          <w:p w14:paraId="0010B5AE" w14:textId="77777777" w:rsidR="00BB51F0" w:rsidRDefault="00000000">
            <w:r>
              <w:rPr>
                <w:b/>
                <w:bCs/>
              </w:rPr>
              <w:t>Rango de Altura</w:t>
            </w:r>
          </w:p>
        </w:tc>
        <w:tc>
          <w:tcPr>
            <w:tcW w:w="0" w:type="auto"/>
            <w:shd w:val="clear" w:color="auto" w:fill="D9D9D9"/>
            <w:tcMar>
              <w:top w:w="100" w:type="dxa"/>
              <w:left w:w="100" w:type="dxa"/>
              <w:bottom w:w="100" w:type="dxa"/>
              <w:right w:w="100" w:type="dxa"/>
            </w:tcMar>
          </w:tcPr>
          <w:p w14:paraId="1C167C9A" w14:textId="77777777" w:rsidR="00BB51F0" w:rsidRDefault="00000000">
            <w:r>
              <w:rPr>
                <w:b/>
                <w:bCs/>
              </w:rPr>
              <w:t>Cantidad</w:t>
            </w:r>
          </w:p>
        </w:tc>
      </w:tr>
      <w:tr w:rsidR="00BB51F0" w14:paraId="7E63AB05" w14:textId="77777777">
        <w:tblPrEx>
          <w:tblCellMar>
            <w:top w:w="0" w:type="dxa"/>
            <w:bottom w:w="0" w:type="dxa"/>
          </w:tblCellMar>
        </w:tblPrEx>
        <w:tc>
          <w:tcPr>
            <w:tcW w:w="0" w:type="auto"/>
            <w:tcMar>
              <w:top w:w="100" w:type="dxa"/>
              <w:left w:w="100" w:type="dxa"/>
              <w:bottom w:w="100" w:type="dxa"/>
              <w:right w:w="100" w:type="dxa"/>
            </w:tcMar>
          </w:tcPr>
          <w:p w14:paraId="714CDBE1" w14:textId="77777777" w:rsidR="00BB51F0" w:rsidRDefault="00000000">
            <w:r>
              <w:t>&lt; 4m</w:t>
            </w:r>
          </w:p>
        </w:tc>
        <w:tc>
          <w:tcPr>
            <w:tcW w:w="0" w:type="auto"/>
            <w:tcMar>
              <w:top w:w="100" w:type="dxa"/>
              <w:left w:w="100" w:type="dxa"/>
              <w:bottom w:w="100" w:type="dxa"/>
              <w:right w:w="100" w:type="dxa"/>
            </w:tcMar>
          </w:tcPr>
          <w:p w14:paraId="2C9C2C7E" w14:textId="77777777" w:rsidR="00BB51F0" w:rsidRDefault="00000000">
            <w:r>
              <w:t>36</w:t>
            </w:r>
          </w:p>
        </w:tc>
      </w:tr>
      <w:tr w:rsidR="00BB51F0" w14:paraId="3DEA9758" w14:textId="77777777">
        <w:tblPrEx>
          <w:tblCellMar>
            <w:top w:w="0" w:type="dxa"/>
            <w:bottom w:w="0" w:type="dxa"/>
          </w:tblCellMar>
        </w:tblPrEx>
        <w:tc>
          <w:tcPr>
            <w:tcW w:w="0" w:type="auto"/>
            <w:tcMar>
              <w:top w:w="100" w:type="dxa"/>
              <w:left w:w="100" w:type="dxa"/>
              <w:bottom w:w="100" w:type="dxa"/>
              <w:right w:w="100" w:type="dxa"/>
            </w:tcMar>
          </w:tcPr>
          <w:p w14:paraId="50A4E96F" w14:textId="77777777" w:rsidR="00BB51F0" w:rsidRDefault="00000000">
            <w:r>
              <w:t>4m - 8m</w:t>
            </w:r>
          </w:p>
        </w:tc>
        <w:tc>
          <w:tcPr>
            <w:tcW w:w="0" w:type="auto"/>
            <w:tcMar>
              <w:top w:w="100" w:type="dxa"/>
              <w:left w:w="100" w:type="dxa"/>
              <w:bottom w:w="100" w:type="dxa"/>
              <w:right w:w="100" w:type="dxa"/>
            </w:tcMar>
          </w:tcPr>
          <w:p w14:paraId="619C22A9" w14:textId="77777777" w:rsidR="00BB51F0" w:rsidRDefault="00000000">
            <w:r>
              <w:t>39</w:t>
            </w:r>
          </w:p>
        </w:tc>
      </w:tr>
      <w:tr w:rsidR="00BB51F0" w14:paraId="50F41B5E" w14:textId="77777777">
        <w:tblPrEx>
          <w:tblCellMar>
            <w:top w:w="0" w:type="dxa"/>
            <w:bottom w:w="0" w:type="dxa"/>
          </w:tblCellMar>
        </w:tblPrEx>
        <w:tc>
          <w:tcPr>
            <w:tcW w:w="0" w:type="auto"/>
            <w:tcMar>
              <w:top w:w="100" w:type="dxa"/>
              <w:left w:w="100" w:type="dxa"/>
              <w:bottom w:w="100" w:type="dxa"/>
              <w:right w:w="100" w:type="dxa"/>
            </w:tcMar>
          </w:tcPr>
          <w:p w14:paraId="6BBCDEA9" w14:textId="77777777" w:rsidR="00BB51F0" w:rsidRDefault="00000000">
            <w:r>
              <w:t>8m - 12m</w:t>
            </w:r>
          </w:p>
        </w:tc>
        <w:tc>
          <w:tcPr>
            <w:tcW w:w="0" w:type="auto"/>
            <w:tcMar>
              <w:top w:w="100" w:type="dxa"/>
              <w:left w:w="100" w:type="dxa"/>
              <w:bottom w:w="100" w:type="dxa"/>
              <w:right w:w="100" w:type="dxa"/>
            </w:tcMar>
          </w:tcPr>
          <w:p w14:paraId="47B6F57A" w14:textId="77777777" w:rsidR="00BB51F0" w:rsidRDefault="00000000">
            <w:r>
              <w:t>39</w:t>
            </w:r>
          </w:p>
        </w:tc>
      </w:tr>
      <w:tr w:rsidR="00BB51F0" w14:paraId="36345E50" w14:textId="77777777">
        <w:tblPrEx>
          <w:tblCellMar>
            <w:top w:w="0" w:type="dxa"/>
            <w:bottom w:w="0" w:type="dxa"/>
          </w:tblCellMar>
        </w:tblPrEx>
        <w:tc>
          <w:tcPr>
            <w:tcW w:w="0" w:type="auto"/>
            <w:tcMar>
              <w:top w:w="100" w:type="dxa"/>
              <w:left w:w="100" w:type="dxa"/>
              <w:bottom w:w="100" w:type="dxa"/>
              <w:right w:w="100" w:type="dxa"/>
            </w:tcMar>
          </w:tcPr>
          <w:p w14:paraId="3FCABB04" w14:textId="77777777" w:rsidR="00BB51F0" w:rsidRDefault="00000000">
            <w:r>
              <w:t>&gt; 12m</w:t>
            </w:r>
          </w:p>
        </w:tc>
        <w:tc>
          <w:tcPr>
            <w:tcW w:w="0" w:type="auto"/>
            <w:tcMar>
              <w:top w:w="100" w:type="dxa"/>
              <w:left w:w="100" w:type="dxa"/>
              <w:bottom w:w="100" w:type="dxa"/>
              <w:right w:w="100" w:type="dxa"/>
            </w:tcMar>
          </w:tcPr>
          <w:p w14:paraId="5F75686F" w14:textId="77777777" w:rsidR="00BB51F0" w:rsidRDefault="00000000">
            <w:r>
              <w:t>35</w:t>
            </w:r>
          </w:p>
        </w:tc>
      </w:tr>
      <w:tr w:rsidR="00BB51F0" w14:paraId="601AB72F" w14:textId="77777777">
        <w:tblPrEx>
          <w:tblCellMar>
            <w:top w:w="0" w:type="dxa"/>
            <w:bottom w:w="0" w:type="dxa"/>
          </w:tblCellMar>
        </w:tblPrEx>
        <w:tc>
          <w:tcPr>
            <w:tcW w:w="0" w:type="auto"/>
            <w:tcMar>
              <w:top w:w="100" w:type="dxa"/>
              <w:left w:w="100" w:type="dxa"/>
              <w:bottom w:w="100" w:type="dxa"/>
              <w:right w:w="100" w:type="dxa"/>
            </w:tcMar>
          </w:tcPr>
          <w:p w14:paraId="121303CC" w14:textId="77777777" w:rsidR="00BB51F0" w:rsidRDefault="00000000">
            <w:r>
              <w:t>Desconocido</w:t>
            </w:r>
          </w:p>
        </w:tc>
        <w:tc>
          <w:tcPr>
            <w:tcW w:w="0" w:type="auto"/>
            <w:tcMar>
              <w:top w:w="100" w:type="dxa"/>
              <w:left w:w="100" w:type="dxa"/>
              <w:bottom w:w="100" w:type="dxa"/>
              <w:right w:w="100" w:type="dxa"/>
            </w:tcMar>
          </w:tcPr>
          <w:p w14:paraId="7E856FB0" w14:textId="77777777" w:rsidR="00BB51F0" w:rsidRDefault="00000000">
            <w:r>
              <w:t>0</w:t>
            </w:r>
          </w:p>
        </w:tc>
      </w:tr>
    </w:tbl>
    <w:p w14:paraId="7BF276D7" w14:textId="77777777" w:rsidR="00BB51F0" w:rsidRDefault="00BB51F0">
      <w:pPr>
        <w:spacing w:after="200"/>
        <w:jc w:val="both"/>
      </w:pPr>
    </w:p>
    <w:p w14:paraId="1FC5FE1C" w14:textId="77777777" w:rsidR="00BB51F0" w:rsidRDefault="00000000">
      <w:pPr>
        <w:pStyle w:val="Ttulo2"/>
        <w:spacing w:after="200"/>
      </w:pPr>
      <w:r>
        <w:t>5.7 Distribución por lux</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22"/>
        <w:gridCol w:w="2494"/>
      </w:tblGrid>
      <w:tr w:rsidR="00BB51F0" w14:paraId="244D31A7" w14:textId="77777777">
        <w:tblPrEx>
          <w:tblCellMar>
            <w:top w:w="0" w:type="dxa"/>
            <w:bottom w:w="0" w:type="dxa"/>
          </w:tblCellMar>
        </w:tblPrEx>
        <w:tc>
          <w:tcPr>
            <w:tcW w:w="0" w:type="auto"/>
            <w:shd w:val="clear" w:color="auto" w:fill="D9D9D9"/>
            <w:tcMar>
              <w:top w:w="100" w:type="dxa"/>
              <w:left w:w="100" w:type="dxa"/>
              <w:bottom w:w="100" w:type="dxa"/>
              <w:right w:w="100" w:type="dxa"/>
            </w:tcMar>
          </w:tcPr>
          <w:p w14:paraId="09B23026" w14:textId="77777777" w:rsidR="00BB51F0" w:rsidRDefault="00000000">
            <w:r>
              <w:rPr>
                <w:b/>
                <w:bCs/>
              </w:rPr>
              <w:t>Rango de Iluminancia (Lux)</w:t>
            </w:r>
          </w:p>
        </w:tc>
        <w:tc>
          <w:tcPr>
            <w:tcW w:w="0" w:type="auto"/>
            <w:shd w:val="clear" w:color="auto" w:fill="D9D9D9"/>
            <w:tcMar>
              <w:top w:w="100" w:type="dxa"/>
              <w:left w:w="100" w:type="dxa"/>
              <w:bottom w:w="100" w:type="dxa"/>
              <w:right w:w="100" w:type="dxa"/>
            </w:tcMar>
          </w:tcPr>
          <w:p w14:paraId="13EDC938" w14:textId="77777777" w:rsidR="00BB51F0" w:rsidRDefault="00000000">
            <w:r>
              <w:rPr>
                <w:b/>
                <w:bCs/>
              </w:rPr>
              <w:t>Cantidad</w:t>
            </w:r>
          </w:p>
        </w:tc>
      </w:tr>
      <w:tr w:rsidR="00BB51F0" w14:paraId="7827F411" w14:textId="77777777">
        <w:tblPrEx>
          <w:tblCellMar>
            <w:top w:w="0" w:type="dxa"/>
            <w:bottom w:w="0" w:type="dxa"/>
          </w:tblCellMar>
        </w:tblPrEx>
        <w:tc>
          <w:tcPr>
            <w:tcW w:w="0" w:type="auto"/>
            <w:tcMar>
              <w:top w:w="100" w:type="dxa"/>
              <w:left w:w="100" w:type="dxa"/>
              <w:bottom w:w="100" w:type="dxa"/>
              <w:right w:w="100" w:type="dxa"/>
            </w:tcMar>
          </w:tcPr>
          <w:p w14:paraId="40769202" w14:textId="77777777" w:rsidR="00BB51F0" w:rsidRDefault="00000000">
            <w:r>
              <w:t>0 lux (Oscuro)</w:t>
            </w:r>
          </w:p>
        </w:tc>
        <w:tc>
          <w:tcPr>
            <w:tcW w:w="0" w:type="auto"/>
            <w:tcMar>
              <w:top w:w="100" w:type="dxa"/>
              <w:left w:w="100" w:type="dxa"/>
              <w:bottom w:w="100" w:type="dxa"/>
              <w:right w:w="100" w:type="dxa"/>
            </w:tcMar>
          </w:tcPr>
          <w:p w14:paraId="1FCC355D" w14:textId="77777777" w:rsidR="00BB51F0" w:rsidRDefault="00000000">
            <w:r>
              <w:t>2</w:t>
            </w:r>
          </w:p>
        </w:tc>
      </w:tr>
      <w:tr w:rsidR="00BB51F0" w14:paraId="586B0390" w14:textId="77777777">
        <w:tblPrEx>
          <w:tblCellMar>
            <w:top w:w="0" w:type="dxa"/>
            <w:bottom w:w="0" w:type="dxa"/>
          </w:tblCellMar>
        </w:tblPrEx>
        <w:tc>
          <w:tcPr>
            <w:tcW w:w="0" w:type="auto"/>
            <w:tcMar>
              <w:top w:w="100" w:type="dxa"/>
              <w:left w:w="100" w:type="dxa"/>
              <w:bottom w:w="100" w:type="dxa"/>
              <w:right w:w="100" w:type="dxa"/>
            </w:tcMar>
          </w:tcPr>
          <w:p w14:paraId="2FCB34BA" w14:textId="77777777" w:rsidR="00BB51F0" w:rsidRDefault="00000000">
            <w:r>
              <w:t>1 - 20 lux</w:t>
            </w:r>
          </w:p>
        </w:tc>
        <w:tc>
          <w:tcPr>
            <w:tcW w:w="0" w:type="auto"/>
            <w:tcMar>
              <w:top w:w="100" w:type="dxa"/>
              <w:left w:w="100" w:type="dxa"/>
              <w:bottom w:w="100" w:type="dxa"/>
              <w:right w:w="100" w:type="dxa"/>
            </w:tcMar>
          </w:tcPr>
          <w:p w14:paraId="21B2837C" w14:textId="77777777" w:rsidR="00BB51F0" w:rsidRDefault="00000000">
            <w:r>
              <w:t>18</w:t>
            </w:r>
          </w:p>
        </w:tc>
      </w:tr>
      <w:tr w:rsidR="00BB51F0" w14:paraId="44B8FABF" w14:textId="77777777">
        <w:tblPrEx>
          <w:tblCellMar>
            <w:top w:w="0" w:type="dxa"/>
            <w:bottom w:w="0" w:type="dxa"/>
          </w:tblCellMar>
        </w:tblPrEx>
        <w:tc>
          <w:tcPr>
            <w:tcW w:w="0" w:type="auto"/>
            <w:tcMar>
              <w:top w:w="100" w:type="dxa"/>
              <w:left w:w="100" w:type="dxa"/>
              <w:bottom w:w="100" w:type="dxa"/>
              <w:right w:w="100" w:type="dxa"/>
            </w:tcMar>
          </w:tcPr>
          <w:p w14:paraId="1C748B26" w14:textId="77777777" w:rsidR="00BB51F0" w:rsidRDefault="00000000">
            <w:r>
              <w:t>21 - 50 lux</w:t>
            </w:r>
          </w:p>
        </w:tc>
        <w:tc>
          <w:tcPr>
            <w:tcW w:w="0" w:type="auto"/>
            <w:tcMar>
              <w:top w:w="100" w:type="dxa"/>
              <w:left w:w="100" w:type="dxa"/>
              <w:bottom w:w="100" w:type="dxa"/>
              <w:right w:w="100" w:type="dxa"/>
            </w:tcMar>
          </w:tcPr>
          <w:p w14:paraId="3E0AF07F" w14:textId="77777777" w:rsidR="00BB51F0" w:rsidRDefault="00000000">
            <w:r>
              <w:t>28</w:t>
            </w:r>
          </w:p>
        </w:tc>
      </w:tr>
      <w:tr w:rsidR="00BB51F0" w14:paraId="4E7AC6A0" w14:textId="77777777">
        <w:tblPrEx>
          <w:tblCellMar>
            <w:top w:w="0" w:type="dxa"/>
            <w:bottom w:w="0" w:type="dxa"/>
          </w:tblCellMar>
        </w:tblPrEx>
        <w:tc>
          <w:tcPr>
            <w:tcW w:w="0" w:type="auto"/>
            <w:tcMar>
              <w:top w:w="100" w:type="dxa"/>
              <w:left w:w="100" w:type="dxa"/>
              <w:bottom w:w="100" w:type="dxa"/>
              <w:right w:w="100" w:type="dxa"/>
            </w:tcMar>
          </w:tcPr>
          <w:p w14:paraId="07785D96" w14:textId="77777777" w:rsidR="00BB51F0" w:rsidRDefault="00000000">
            <w:r>
              <w:t>&gt; 50 lux</w:t>
            </w:r>
          </w:p>
        </w:tc>
        <w:tc>
          <w:tcPr>
            <w:tcW w:w="0" w:type="auto"/>
            <w:tcMar>
              <w:top w:w="100" w:type="dxa"/>
              <w:left w:w="100" w:type="dxa"/>
              <w:bottom w:w="100" w:type="dxa"/>
              <w:right w:w="100" w:type="dxa"/>
            </w:tcMar>
          </w:tcPr>
          <w:p w14:paraId="2FAB020F" w14:textId="77777777" w:rsidR="00BB51F0" w:rsidRDefault="00000000">
            <w:r>
              <w:t>51</w:t>
            </w:r>
          </w:p>
        </w:tc>
      </w:tr>
      <w:tr w:rsidR="00BB51F0" w14:paraId="444239C7" w14:textId="77777777">
        <w:tblPrEx>
          <w:tblCellMar>
            <w:top w:w="0" w:type="dxa"/>
            <w:bottom w:w="0" w:type="dxa"/>
          </w:tblCellMar>
        </w:tblPrEx>
        <w:tc>
          <w:tcPr>
            <w:tcW w:w="0" w:type="auto"/>
            <w:tcMar>
              <w:top w:w="100" w:type="dxa"/>
              <w:left w:w="100" w:type="dxa"/>
              <w:bottom w:w="100" w:type="dxa"/>
              <w:right w:w="100" w:type="dxa"/>
            </w:tcMar>
          </w:tcPr>
          <w:p w14:paraId="5722C569" w14:textId="77777777" w:rsidR="00BB51F0" w:rsidRDefault="00000000">
            <w:r>
              <w:t>Sin medición</w:t>
            </w:r>
          </w:p>
        </w:tc>
        <w:tc>
          <w:tcPr>
            <w:tcW w:w="0" w:type="auto"/>
            <w:tcMar>
              <w:top w:w="100" w:type="dxa"/>
              <w:left w:w="100" w:type="dxa"/>
              <w:bottom w:w="100" w:type="dxa"/>
              <w:right w:w="100" w:type="dxa"/>
            </w:tcMar>
          </w:tcPr>
          <w:p w14:paraId="6BFC2C73" w14:textId="77777777" w:rsidR="00BB51F0" w:rsidRDefault="00000000">
            <w:r>
              <w:t>50</w:t>
            </w:r>
          </w:p>
        </w:tc>
      </w:tr>
    </w:tbl>
    <w:p w14:paraId="3BAF66D4" w14:textId="77777777" w:rsidR="00BB51F0" w:rsidRDefault="00BB51F0">
      <w:pPr>
        <w:spacing w:after="200"/>
        <w:jc w:val="both"/>
      </w:pPr>
    </w:p>
    <w:p w14:paraId="53089D32" w14:textId="77777777" w:rsidR="00BB51F0" w:rsidRDefault="00000000">
      <w:pPr>
        <w:pStyle w:val="Ttulo2"/>
        <w:spacing w:after="200"/>
      </w:pPr>
      <w:r>
        <w:t>5.8 Distribución por tipo de soporte</w:t>
      </w:r>
    </w:p>
    <w:p w14:paraId="0C835A43" w14:textId="77777777" w:rsidR="00BB51F0" w:rsidRDefault="00000000">
      <w:pPr>
        <w:spacing w:after="200"/>
        <w:jc w:val="both"/>
      </w:pPr>
      <w:r>
        <w:rPr>
          <w:sz w:val="24"/>
          <w:szCs w:val="24"/>
        </w:rPr>
        <w:t>La infraestructura se divide principalmente entre postes independientes (74 unidades) y luminarias adosadas a la estructura de edificios (75 unidades).</w:t>
      </w:r>
    </w:p>
    <w:p w14:paraId="262A80AD" w14:textId="77777777" w:rsidR="00BB51F0" w:rsidRDefault="00000000">
      <w:pPr>
        <w:pStyle w:val="Ttulo2"/>
        <w:spacing w:after="200"/>
      </w:pPr>
      <w:r>
        <w:t>5.9 Distribución geográfica</w:t>
      </w:r>
    </w:p>
    <w:p w14:paraId="47973980" w14:textId="77777777" w:rsidR="00BB51F0" w:rsidRDefault="00000000">
      <w:pPr>
        <w:spacing w:after="200"/>
        <w:jc w:val="both"/>
      </w:pPr>
      <w:r>
        <w:rPr>
          <w:sz w:val="24"/>
          <w:szCs w:val="24"/>
        </w:rPr>
        <w:t>Las coordenadas analizadas se concentran en una latitud media de -0.198 y longitud -78.502, ubicadas en el campus central de la Universidad en Quito. Existe una clara correlación entre la disposición de la infraestructura vial interna y el espaciamiento de postes.</w:t>
      </w:r>
    </w:p>
    <w:p w14:paraId="0F85B660" w14:textId="77777777" w:rsidR="00BB51F0" w:rsidRDefault="00000000">
      <w:pPr>
        <w:pStyle w:val="Ttulo2"/>
        <w:spacing w:after="200"/>
      </w:pPr>
      <w:r>
        <w:t>5.10 Zonas oscuras</w:t>
      </w:r>
    </w:p>
    <w:p w14:paraId="17B2304F" w14:textId="77777777" w:rsidR="00BB51F0" w:rsidRDefault="00000000">
      <w:pPr>
        <w:spacing w:after="200"/>
        <w:jc w:val="both"/>
      </w:pPr>
      <w:r>
        <w:rPr>
          <w:sz w:val="24"/>
          <w:szCs w:val="24"/>
        </w:rPr>
        <w:lastRenderedPageBreak/>
        <w:t>Se detectaron 2 luminarias que no emiten ninguna cantidad de luz mensurable (0 lux) y 50 que no pudieron ser medidas (asociado predominantemente a elementos apagados). Estas conforman áreas de riesgo de seguridad significativas en los senderos peatonales.</w:t>
      </w:r>
    </w:p>
    <w:p w14:paraId="29F3F95A" w14:textId="77777777" w:rsidR="00BB51F0" w:rsidRDefault="00000000">
      <w:pPr>
        <w:pStyle w:val="Ttulo2"/>
        <w:spacing w:after="200"/>
      </w:pPr>
      <w:r>
        <w:t>5.11 Cableado expuesto y 5.12 Luminarias defectuosas</w:t>
      </w:r>
    </w:p>
    <w:p w14:paraId="0FB1C372" w14:textId="77777777" w:rsidR="00BB51F0" w:rsidRDefault="00000000">
      <w:pPr>
        <w:spacing w:after="200"/>
        <w:jc w:val="both"/>
      </w:pPr>
      <w:r>
        <w:rPr>
          <w:sz w:val="24"/>
          <w:szCs w:val="24"/>
        </w:rPr>
        <w:t>La matriz de recolección arroja un nivel de falla severa: 56 luminarias están defectuosas, parpadean o definitivamente no encienden. Esto representa el 37.58% del total analizado. Adicionalmente, el registro fotográfico evidencia un marcado envejecimiento de los soportes y problemas de cableado exterior suelto.</w:t>
      </w:r>
    </w:p>
    <w:p w14:paraId="31A3A669" w14:textId="77777777" w:rsidR="00BB51F0" w:rsidRDefault="00000000">
      <w:pPr>
        <w:pStyle w:val="Ttulo1"/>
        <w:spacing w:before="300"/>
      </w:pPr>
      <w:r>
        <w:t>6. ANÁLISIS ESTADÍSTICO</w:t>
      </w:r>
    </w:p>
    <w:p w14:paraId="6E33D43F" w14:textId="77777777" w:rsidR="00BB51F0" w:rsidRDefault="00000000">
      <w:pPr>
        <w:spacing w:after="200"/>
        <w:jc w:val="both"/>
      </w:pPr>
      <w:r>
        <w:rPr>
          <w:sz w:val="24"/>
          <w:szCs w:val="24"/>
        </w:rPr>
        <w:t xml:space="preserve">Basado en el procesamiento de los datos brutos de la medición de campo, a </w:t>
      </w:r>
      <w:proofErr w:type="gramStart"/>
      <w:r>
        <w:rPr>
          <w:sz w:val="24"/>
          <w:szCs w:val="24"/>
        </w:rPr>
        <w:t>continuación</w:t>
      </w:r>
      <w:proofErr w:type="gramEnd"/>
      <w:r>
        <w:rPr>
          <w:sz w:val="24"/>
          <w:szCs w:val="24"/>
        </w:rPr>
        <w:t xml:space="preserve"> se detallan los parámetros estadísticos centrales para la variable lumínica: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1"/>
        <w:gridCol w:w="2295"/>
      </w:tblGrid>
      <w:tr w:rsidR="00BB51F0" w14:paraId="0B67C4F2" w14:textId="77777777">
        <w:tblPrEx>
          <w:tblCellMar>
            <w:top w:w="0" w:type="dxa"/>
            <w:bottom w:w="0" w:type="dxa"/>
          </w:tblCellMar>
        </w:tblPrEx>
        <w:tc>
          <w:tcPr>
            <w:tcW w:w="0" w:type="auto"/>
            <w:shd w:val="clear" w:color="auto" w:fill="D9D9D9"/>
            <w:tcMar>
              <w:top w:w="100" w:type="dxa"/>
              <w:left w:w="100" w:type="dxa"/>
              <w:bottom w:w="100" w:type="dxa"/>
              <w:right w:w="100" w:type="dxa"/>
            </w:tcMar>
          </w:tcPr>
          <w:p w14:paraId="55626760" w14:textId="77777777" w:rsidR="00BB51F0" w:rsidRDefault="00000000">
            <w:r>
              <w:rPr>
                <w:b/>
                <w:bCs/>
              </w:rPr>
              <w:t>Métrica</w:t>
            </w:r>
          </w:p>
        </w:tc>
        <w:tc>
          <w:tcPr>
            <w:tcW w:w="0" w:type="auto"/>
            <w:shd w:val="clear" w:color="auto" w:fill="D9D9D9"/>
            <w:tcMar>
              <w:top w:w="100" w:type="dxa"/>
              <w:left w:w="100" w:type="dxa"/>
              <w:bottom w:w="100" w:type="dxa"/>
              <w:right w:w="100" w:type="dxa"/>
            </w:tcMar>
          </w:tcPr>
          <w:p w14:paraId="3B24BCB2" w14:textId="77777777" w:rsidR="00BB51F0" w:rsidRDefault="00000000">
            <w:r>
              <w:rPr>
                <w:b/>
                <w:bCs/>
              </w:rPr>
              <w:t>Valor</w:t>
            </w:r>
          </w:p>
        </w:tc>
      </w:tr>
      <w:tr w:rsidR="00BB51F0" w14:paraId="63076B6B" w14:textId="77777777">
        <w:tblPrEx>
          <w:tblCellMar>
            <w:top w:w="0" w:type="dxa"/>
            <w:bottom w:w="0" w:type="dxa"/>
          </w:tblCellMar>
        </w:tblPrEx>
        <w:tc>
          <w:tcPr>
            <w:tcW w:w="0" w:type="auto"/>
            <w:tcMar>
              <w:top w:w="100" w:type="dxa"/>
              <w:left w:w="100" w:type="dxa"/>
              <w:bottom w:w="100" w:type="dxa"/>
              <w:right w:w="100" w:type="dxa"/>
            </w:tcMar>
          </w:tcPr>
          <w:p w14:paraId="26FB27F2" w14:textId="77777777" w:rsidR="00BB51F0" w:rsidRDefault="00000000">
            <w:proofErr w:type="gramStart"/>
            <w:r>
              <w:t>Total</w:t>
            </w:r>
            <w:proofErr w:type="gramEnd"/>
            <w:r>
              <w:t xml:space="preserve"> de mediciones válidas</w:t>
            </w:r>
          </w:p>
        </w:tc>
        <w:tc>
          <w:tcPr>
            <w:tcW w:w="0" w:type="auto"/>
            <w:tcMar>
              <w:top w:w="100" w:type="dxa"/>
              <w:left w:w="100" w:type="dxa"/>
              <w:bottom w:w="100" w:type="dxa"/>
              <w:right w:w="100" w:type="dxa"/>
            </w:tcMar>
          </w:tcPr>
          <w:p w14:paraId="0C3832F4" w14:textId="77777777" w:rsidR="00BB51F0" w:rsidRDefault="00000000">
            <w:r>
              <w:t>99</w:t>
            </w:r>
          </w:p>
        </w:tc>
      </w:tr>
      <w:tr w:rsidR="00BB51F0" w14:paraId="47588AE3" w14:textId="77777777">
        <w:tblPrEx>
          <w:tblCellMar>
            <w:top w:w="0" w:type="dxa"/>
            <w:bottom w:w="0" w:type="dxa"/>
          </w:tblCellMar>
        </w:tblPrEx>
        <w:tc>
          <w:tcPr>
            <w:tcW w:w="0" w:type="auto"/>
            <w:tcMar>
              <w:top w:w="100" w:type="dxa"/>
              <w:left w:w="100" w:type="dxa"/>
              <w:bottom w:w="100" w:type="dxa"/>
              <w:right w:w="100" w:type="dxa"/>
            </w:tcMar>
          </w:tcPr>
          <w:p w14:paraId="2EB0CB3A" w14:textId="77777777" w:rsidR="00BB51F0" w:rsidRDefault="00000000">
            <w:r>
              <w:t>Iluminancia Mínima (Lux)</w:t>
            </w:r>
          </w:p>
        </w:tc>
        <w:tc>
          <w:tcPr>
            <w:tcW w:w="0" w:type="auto"/>
            <w:tcMar>
              <w:top w:w="100" w:type="dxa"/>
              <w:left w:w="100" w:type="dxa"/>
              <w:bottom w:w="100" w:type="dxa"/>
              <w:right w:w="100" w:type="dxa"/>
            </w:tcMar>
          </w:tcPr>
          <w:p w14:paraId="4F71445D" w14:textId="77777777" w:rsidR="00BB51F0" w:rsidRDefault="00000000">
            <w:r>
              <w:t>0</w:t>
            </w:r>
          </w:p>
        </w:tc>
      </w:tr>
      <w:tr w:rsidR="00BB51F0" w14:paraId="2FB0239E" w14:textId="77777777">
        <w:tblPrEx>
          <w:tblCellMar>
            <w:top w:w="0" w:type="dxa"/>
            <w:bottom w:w="0" w:type="dxa"/>
          </w:tblCellMar>
        </w:tblPrEx>
        <w:tc>
          <w:tcPr>
            <w:tcW w:w="0" w:type="auto"/>
            <w:tcMar>
              <w:top w:w="100" w:type="dxa"/>
              <w:left w:w="100" w:type="dxa"/>
              <w:bottom w:w="100" w:type="dxa"/>
              <w:right w:w="100" w:type="dxa"/>
            </w:tcMar>
          </w:tcPr>
          <w:p w14:paraId="2AD4FDE8" w14:textId="77777777" w:rsidR="00BB51F0" w:rsidRDefault="00000000">
            <w:r>
              <w:t>Iluminancia Máxima (Lux)</w:t>
            </w:r>
          </w:p>
        </w:tc>
        <w:tc>
          <w:tcPr>
            <w:tcW w:w="0" w:type="auto"/>
            <w:tcMar>
              <w:top w:w="100" w:type="dxa"/>
              <w:left w:w="100" w:type="dxa"/>
              <w:bottom w:w="100" w:type="dxa"/>
              <w:right w:w="100" w:type="dxa"/>
            </w:tcMar>
          </w:tcPr>
          <w:p w14:paraId="481D8625" w14:textId="77777777" w:rsidR="00BB51F0" w:rsidRDefault="00000000">
            <w:r>
              <w:t>180.115</w:t>
            </w:r>
          </w:p>
        </w:tc>
      </w:tr>
      <w:tr w:rsidR="00BB51F0" w14:paraId="67022835" w14:textId="77777777">
        <w:tblPrEx>
          <w:tblCellMar>
            <w:top w:w="0" w:type="dxa"/>
            <w:bottom w:w="0" w:type="dxa"/>
          </w:tblCellMar>
        </w:tblPrEx>
        <w:tc>
          <w:tcPr>
            <w:tcW w:w="0" w:type="auto"/>
            <w:tcMar>
              <w:top w:w="100" w:type="dxa"/>
              <w:left w:w="100" w:type="dxa"/>
              <w:bottom w:w="100" w:type="dxa"/>
              <w:right w:w="100" w:type="dxa"/>
            </w:tcMar>
          </w:tcPr>
          <w:p w14:paraId="135326A3" w14:textId="77777777" w:rsidR="00BB51F0" w:rsidRDefault="00000000">
            <w:r>
              <w:t>Iluminancia Promedio (Lux)</w:t>
            </w:r>
          </w:p>
        </w:tc>
        <w:tc>
          <w:tcPr>
            <w:tcW w:w="0" w:type="auto"/>
            <w:tcMar>
              <w:top w:w="100" w:type="dxa"/>
              <w:left w:w="100" w:type="dxa"/>
              <w:bottom w:w="100" w:type="dxa"/>
              <w:right w:w="100" w:type="dxa"/>
            </w:tcMar>
          </w:tcPr>
          <w:p w14:paraId="77FE0491" w14:textId="77777777" w:rsidR="00BB51F0" w:rsidRDefault="00000000">
            <w:r>
              <w:t>55.33</w:t>
            </w:r>
          </w:p>
        </w:tc>
      </w:tr>
    </w:tbl>
    <w:p w14:paraId="58CD6B12" w14:textId="77777777" w:rsidR="00BB51F0" w:rsidRDefault="00BB51F0">
      <w:pPr>
        <w:spacing w:after="200"/>
        <w:jc w:val="both"/>
      </w:pPr>
    </w:p>
    <w:p w14:paraId="5B916801" w14:textId="77777777" w:rsidR="00BB51F0" w:rsidRDefault="00000000">
      <w:pPr>
        <w:spacing w:after="200"/>
        <w:jc w:val="both"/>
      </w:pPr>
      <w:r>
        <w:rPr>
          <w:sz w:val="24"/>
          <w:szCs w:val="24"/>
        </w:rPr>
        <w:t>El análisis de tecnología muestra una penetración tecnológica de apenas el 17.45% para luminarias LED. Esto indica que la inmensa mayoría de la infraestructura actual en la UCE (82.55%) depende de la tecnología obsoleta y poco eficiente de vapor de sodio.</w:t>
      </w:r>
    </w:p>
    <w:p w14:paraId="744FDFBA" w14:textId="77777777" w:rsidR="00BB51F0" w:rsidRDefault="00000000">
      <w:pPr>
        <w:pStyle w:val="Ttulo1"/>
        <w:spacing w:before="300"/>
      </w:pPr>
      <w:r>
        <w:t>7. ANÁLISIS GIS</w:t>
      </w:r>
    </w:p>
    <w:p w14:paraId="3746DBF4" w14:textId="77777777" w:rsidR="00BB51F0" w:rsidRDefault="00000000">
      <w:pPr>
        <w:spacing w:after="200"/>
        <w:jc w:val="both"/>
      </w:pPr>
      <w:r>
        <w:rPr>
          <w:sz w:val="24"/>
          <w:szCs w:val="24"/>
        </w:rPr>
        <w:t xml:space="preserve">La implementación de mapeo cartográfico posibilitó la identificación de patrones espaciales. El mapa de calor demuestra que la luminancia decae estrepitosamente en las zonas divisorias entre facultades. Los corredores principales mantienen una huella térmica lumínica, pero existen amplios 'agujeros negros' causados por la conjunción de lámparas dañadas de vapor de sodio, lo cual se constata </w:t>
      </w:r>
      <w:proofErr w:type="spellStart"/>
      <w:r>
        <w:rPr>
          <w:sz w:val="24"/>
          <w:szCs w:val="24"/>
        </w:rPr>
        <w:t>geoespacialmente</w:t>
      </w:r>
      <w:proofErr w:type="spellEnd"/>
      <w:r>
        <w:rPr>
          <w:sz w:val="24"/>
          <w:szCs w:val="24"/>
        </w:rPr>
        <w:t>.</w:t>
      </w:r>
    </w:p>
    <w:p w14:paraId="3471035F" w14:textId="77777777" w:rsidR="00BB51F0" w:rsidRDefault="00000000">
      <w:pPr>
        <w:pStyle w:val="Ttulo1"/>
        <w:spacing w:before="300"/>
      </w:pPr>
      <w:r>
        <w:t>8. ANÁLISIS NORMATIVO</w:t>
      </w:r>
    </w:p>
    <w:p w14:paraId="6E9B2448" w14:textId="77777777" w:rsidR="00BB51F0" w:rsidRDefault="00000000">
      <w:pPr>
        <w:spacing w:after="200"/>
        <w:jc w:val="both"/>
      </w:pPr>
      <w:r>
        <w:rPr>
          <w:sz w:val="24"/>
          <w:szCs w:val="24"/>
        </w:rPr>
        <w:t>Acorde a la Norma NTE INEN 069 y el CIE 115, las áreas de circulación peatonal o vías locales deben mantener un promedio mínimo de entre 15 y 20 luxes.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3"/>
        <w:gridCol w:w="2086"/>
        <w:gridCol w:w="4867"/>
      </w:tblGrid>
      <w:tr w:rsidR="00BB51F0" w14:paraId="70C4296A" w14:textId="77777777">
        <w:tblPrEx>
          <w:tblCellMar>
            <w:top w:w="0" w:type="dxa"/>
            <w:bottom w:w="0" w:type="dxa"/>
          </w:tblCellMar>
        </w:tblPrEx>
        <w:tc>
          <w:tcPr>
            <w:tcW w:w="0" w:type="auto"/>
            <w:shd w:val="clear" w:color="auto" w:fill="D9D9D9"/>
            <w:tcMar>
              <w:top w:w="100" w:type="dxa"/>
              <w:left w:w="100" w:type="dxa"/>
              <w:bottom w:w="100" w:type="dxa"/>
              <w:right w:w="100" w:type="dxa"/>
            </w:tcMar>
          </w:tcPr>
          <w:p w14:paraId="50CBD704" w14:textId="77777777" w:rsidR="00BB51F0" w:rsidRDefault="00000000">
            <w:r>
              <w:rPr>
                <w:b/>
                <w:bCs/>
              </w:rPr>
              <w:t>Rango Medido</w:t>
            </w:r>
          </w:p>
        </w:tc>
        <w:tc>
          <w:tcPr>
            <w:tcW w:w="0" w:type="auto"/>
            <w:shd w:val="clear" w:color="auto" w:fill="D9D9D9"/>
            <w:tcMar>
              <w:top w:w="100" w:type="dxa"/>
              <w:left w:w="100" w:type="dxa"/>
              <w:bottom w:w="100" w:type="dxa"/>
              <w:right w:w="100" w:type="dxa"/>
            </w:tcMar>
          </w:tcPr>
          <w:p w14:paraId="37048DD8" w14:textId="77777777" w:rsidR="00BB51F0" w:rsidRDefault="00000000">
            <w:r>
              <w:rPr>
                <w:b/>
                <w:bCs/>
              </w:rPr>
              <w:t>Cumplimiento</w:t>
            </w:r>
          </w:p>
        </w:tc>
        <w:tc>
          <w:tcPr>
            <w:tcW w:w="0" w:type="auto"/>
            <w:shd w:val="clear" w:color="auto" w:fill="D9D9D9"/>
            <w:tcMar>
              <w:top w:w="100" w:type="dxa"/>
              <w:left w:w="100" w:type="dxa"/>
              <w:bottom w:w="100" w:type="dxa"/>
              <w:right w:w="100" w:type="dxa"/>
            </w:tcMar>
          </w:tcPr>
          <w:p w14:paraId="44C265B2" w14:textId="77777777" w:rsidR="00BB51F0" w:rsidRDefault="00000000">
            <w:r>
              <w:rPr>
                <w:b/>
                <w:bCs/>
              </w:rPr>
              <w:t>Observación</w:t>
            </w:r>
          </w:p>
        </w:tc>
      </w:tr>
      <w:tr w:rsidR="00BB51F0" w14:paraId="69E9306C" w14:textId="77777777">
        <w:tblPrEx>
          <w:tblCellMar>
            <w:top w:w="0" w:type="dxa"/>
            <w:bottom w:w="0" w:type="dxa"/>
          </w:tblCellMar>
        </w:tblPrEx>
        <w:tc>
          <w:tcPr>
            <w:tcW w:w="0" w:type="auto"/>
            <w:tcMar>
              <w:top w:w="100" w:type="dxa"/>
              <w:left w:w="100" w:type="dxa"/>
              <w:bottom w:w="100" w:type="dxa"/>
              <w:right w:w="100" w:type="dxa"/>
            </w:tcMar>
          </w:tcPr>
          <w:p w14:paraId="3075B9DA" w14:textId="77777777" w:rsidR="00BB51F0" w:rsidRDefault="00000000">
            <w:r>
              <w:t>0 - 15 lux</w:t>
            </w:r>
          </w:p>
        </w:tc>
        <w:tc>
          <w:tcPr>
            <w:tcW w:w="0" w:type="auto"/>
            <w:tcMar>
              <w:top w:w="100" w:type="dxa"/>
              <w:left w:w="100" w:type="dxa"/>
              <w:bottom w:w="100" w:type="dxa"/>
              <w:right w:w="100" w:type="dxa"/>
            </w:tcMar>
          </w:tcPr>
          <w:p w14:paraId="2F679ADE" w14:textId="77777777" w:rsidR="00BB51F0" w:rsidRDefault="00000000">
            <w:r>
              <w:t>Incumplimiento</w:t>
            </w:r>
          </w:p>
        </w:tc>
        <w:tc>
          <w:tcPr>
            <w:tcW w:w="0" w:type="auto"/>
            <w:tcMar>
              <w:top w:w="100" w:type="dxa"/>
              <w:left w:w="100" w:type="dxa"/>
              <w:bottom w:w="100" w:type="dxa"/>
              <w:right w:w="100" w:type="dxa"/>
            </w:tcMar>
          </w:tcPr>
          <w:p w14:paraId="34ACF2BE" w14:textId="77777777" w:rsidR="00BB51F0" w:rsidRDefault="00000000">
            <w:r>
              <w:t>Zonas oscuras, alto riesgo para el peatón</w:t>
            </w:r>
          </w:p>
        </w:tc>
      </w:tr>
      <w:tr w:rsidR="00BB51F0" w14:paraId="651042DE" w14:textId="77777777">
        <w:tblPrEx>
          <w:tblCellMar>
            <w:top w:w="0" w:type="dxa"/>
            <w:bottom w:w="0" w:type="dxa"/>
          </w:tblCellMar>
        </w:tblPrEx>
        <w:tc>
          <w:tcPr>
            <w:tcW w:w="0" w:type="auto"/>
            <w:tcMar>
              <w:top w:w="100" w:type="dxa"/>
              <w:left w:w="100" w:type="dxa"/>
              <w:bottom w:w="100" w:type="dxa"/>
              <w:right w:w="100" w:type="dxa"/>
            </w:tcMar>
          </w:tcPr>
          <w:p w14:paraId="31F3916D" w14:textId="77777777" w:rsidR="00BB51F0" w:rsidRDefault="00000000">
            <w:r>
              <w:t>16 - 20 lux</w:t>
            </w:r>
          </w:p>
        </w:tc>
        <w:tc>
          <w:tcPr>
            <w:tcW w:w="0" w:type="auto"/>
            <w:tcMar>
              <w:top w:w="100" w:type="dxa"/>
              <w:left w:w="100" w:type="dxa"/>
              <w:bottom w:w="100" w:type="dxa"/>
              <w:right w:w="100" w:type="dxa"/>
            </w:tcMar>
          </w:tcPr>
          <w:p w14:paraId="681ED58B" w14:textId="77777777" w:rsidR="00BB51F0" w:rsidRDefault="00000000">
            <w:r>
              <w:t>Límite Mínimo</w:t>
            </w:r>
          </w:p>
        </w:tc>
        <w:tc>
          <w:tcPr>
            <w:tcW w:w="0" w:type="auto"/>
            <w:tcMar>
              <w:top w:w="100" w:type="dxa"/>
              <w:left w:w="100" w:type="dxa"/>
              <w:bottom w:w="100" w:type="dxa"/>
              <w:right w:w="100" w:type="dxa"/>
            </w:tcMar>
          </w:tcPr>
          <w:p w14:paraId="01F31243" w14:textId="77777777" w:rsidR="00BB51F0" w:rsidRDefault="00000000">
            <w:r>
              <w:t>Marginalmente aceptable</w:t>
            </w:r>
          </w:p>
        </w:tc>
      </w:tr>
      <w:tr w:rsidR="00BB51F0" w14:paraId="331D7D7C" w14:textId="77777777">
        <w:tblPrEx>
          <w:tblCellMar>
            <w:top w:w="0" w:type="dxa"/>
            <w:bottom w:w="0" w:type="dxa"/>
          </w:tblCellMar>
        </w:tblPrEx>
        <w:tc>
          <w:tcPr>
            <w:tcW w:w="0" w:type="auto"/>
            <w:tcMar>
              <w:top w:w="100" w:type="dxa"/>
              <w:left w:w="100" w:type="dxa"/>
              <w:bottom w:w="100" w:type="dxa"/>
              <w:right w:w="100" w:type="dxa"/>
            </w:tcMar>
          </w:tcPr>
          <w:p w14:paraId="3BE23723" w14:textId="77777777" w:rsidR="00BB51F0" w:rsidRDefault="00000000">
            <w:r>
              <w:t>&gt; 20 lux</w:t>
            </w:r>
          </w:p>
        </w:tc>
        <w:tc>
          <w:tcPr>
            <w:tcW w:w="0" w:type="auto"/>
            <w:tcMar>
              <w:top w:w="100" w:type="dxa"/>
              <w:left w:w="100" w:type="dxa"/>
              <w:bottom w:w="100" w:type="dxa"/>
              <w:right w:w="100" w:type="dxa"/>
            </w:tcMar>
          </w:tcPr>
          <w:p w14:paraId="706A0730" w14:textId="77777777" w:rsidR="00BB51F0" w:rsidRDefault="00000000">
            <w:r>
              <w:t>Cumple</w:t>
            </w:r>
          </w:p>
        </w:tc>
        <w:tc>
          <w:tcPr>
            <w:tcW w:w="0" w:type="auto"/>
            <w:tcMar>
              <w:top w:w="100" w:type="dxa"/>
              <w:left w:w="100" w:type="dxa"/>
              <w:bottom w:w="100" w:type="dxa"/>
              <w:right w:w="100" w:type="dxa"/>
            </w:tcMar>
          </w:tcPr>
          <w:p w14:paraId="2EA2B599" w14:textId="77777777" w:rsidR="00BB51F0" w:rsidRDefault="00000000">
            <w:r>
              <w:t>Nivel adecuado</w:t>
            </w:r>
          </w:p>
        </w:tc>
      </w:tr>
    </w:tbl>
    <w:p w14:paraId="0D63BBCB" w14:textId="77777777" w:rsidR="00BB51F0" w:rsidRDefault="00BB51F0">
      <w:pPr>
        <w:spacing w:after="200"/>
        <w:jc w:val="both"/>
      </w:pPr>
    </w:p>
    <w:p w14:paraId="462801A2" w14:textId="77777777" w:rsidR="00BB51F0" w:rsidRDefault="00000000">
      <w:pPr>
        <w:spacing w:after="200"/>
        <w:jc w:val="both"/>
      </w:pPr>
      <w:r>
        <w:rPr>
          <w:sz w:val="24"/>
          <w:szCs w:val="24"/>
        </w:rPr>
        <w:lastRenderedPageBreak/>
        <w:t>Considerando que el promedio es de 55.33 lux, pero hay 52 luminarias apagadas o sin medición, la iluminación del campus presenta un INCUMPLIMIENTO generalizado de las normativas de seguridad, especialmente agravado por los bajos niveles de Reproducción Cromática del vapor de sodio.</w:t>
      </w:r>
    </w:p>
    <w:p w14:paraId="07D3881C" w14:textId="77777777" w:rsidR="00BB51F0" w:rsidRDefault="00000000">
      <w:pPr>
        <w:pStyle w:val="Ttulo1"/>
        <w:spacing w:before="300"/>
      </w:pPr>
      <w:r>
        <w:t>9. ANÁLISIS EMPRESARIAL Y FINANCIERO</w:t>
      </w:r>
    </w:p>
    <w:p w14:paraId="59194EFF" w14:textId="77777777" w:rsidR="00BB51F0" w:rsidRDefault="00000000">
      <w:pPr>
        <w:spacing w:after="200"/>
        <w:jc w:val="both"/>
      </w:pPr>
      <w:r>
        <w:rPr>
          <w:sz w:val="24"/>
          <w:szCs w:val="24"/>
        </w:rPr>
        <w:t>Para proyectar financieramente un programa de modernización, se ha realizado una investigación de precios de mercado (referencias internacionales y distribuidores oficiales):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38"/>
        <w:gridCol w:w="1134"/>
        <w:gridCol w:w="3009"/>
        <w:gridCol w:w="2035"/>
      </w:tblGrid>
      <w:tr w:rsidR="00BB51F0" w14:paraId="72D373FF" w14:textId="77777777">
        <w:tblPrEx>
          <w:tblCellMar>
            <w:top w:w="0" w:type="dxa"/>
            <w:bottom w:w="0" w:type="dxa"/>
          </w:tblCellMar>
        </w:tblPrEx>
        <w:tc>
          <w:tcPr>
            <w:tcW w:w="0" w:type="auto"/>
            <w:shd w:val="clear" w:color="auto" w:fill="D9D9D9"/>
            <w:tcMar>
              <w:top w:w="100" w:type="dxa"/>
              <w:left w:w="100" w:type="dxa"/>
              <w:bottom w:w="100" w:type="dxa"/>
              <w:right w:w="100" w:type="dxa"/>
            </w:tcMar>
          </w:tcPr>
          <w:p w14:paraId="3AF868A6" w14:textId="77777777" w:rsidR="00BB51F0" w:rsidRDefault="00000000">
            <w:r>
              <w:rPr>
                <w:b/>
                <w:bCs/>
              </w:rPr>
              <w:t>Ítem</w:t>
            </w:r>
          </w:p>
        </w:tc>
        <w:tc>
          <w:tcPr>
            <w:tcW w:w="0" w:type="auto"/>
            <w:shd w:val="clear" w:color="auto" w:fill="D9D9D9"/>
            <w:tcMar>
              <w:top w:w="100" w:type="dxa"/>
              <w:left w:w="100" w:type="dxa"/>
              <w:bottom w:w="100" w:type="dxa"/>
              <w:right w:w="100" w:type="dxa"/>
            </w:tcMar>
          </w:tcPr>
          <w:p w14:paraId="66D3843D" w14:textId="77777777" w:rsidR="00BB51F0" w:rsidRDefault="00000000">
            <w:r>
              <w:rPr>
                <w:b/>
                <w:bCs/>
              </w:rPr>
              <w:t>Tecnología</w:t>
            </w:r>
          </w:p>
        </w:tc>
        <w:tc>
          <w:tcPr>
            <w:tcW w:w="0" w:type="auto"/>
            <w:shd w:val="clear" w:color="auto" w:fill="D9D9D9"/>
            <w:tcMar>
              <w:top w:w="100" w:type="dxa"/>
              <w:left w:w="100" w:type="dxa"/>
              <w:bottom w:w="100" w:type="dxa"/>
              <w:right w:w="100" w:type="dxa"/>
            </w:tcMar>
          </w:tcPr>
          <w:p w14:paraId="5B85137E" w14:textId="77777777" w:rsidR="00BB51F0" w:rsidRDefault="00000000">
            <w:r>
              <w:rPr>
                <w:b/>
                <w:bCs/>
              </w:rPr>
              <w:t>Precio Referencial Unitario (USD)</w:t>
            </w:r>
          </w:p>
        </w:tc>
        <w:tc>
          <w:tcPr>
            <w:tcW w:w="0" w:type="auto"/>
            <w:shd w:val="clear" w:color="auto" w:fill="D9D9D9"/>
            <w:tcMar>
              <w:top w:w="100" w:type="dxa"/>
              <w:left w:w="100" w:type="dxa"/>
              <w:bottom w:w="100" w:type="dxa"/>
              <w:right w:w="100" w:type="dxa"/>
            </w:tcMar>
          </w:tcPr>
          <w:p w14:paraId="1B49A1DE" w14:textId="77777777" w:rsidR="00BB51F0" w:rsidRDefault="00000000">
            <w:r>
              <w:rPr>
                <w:b/>
                <w:bCs/>
              </w:rPr>
              <w:t>Fuente</w:t>
            </w:r>
          </w:p>
        </w:tc>
      </w:tr>
      <w:tr w:rsidR="00BB51F0" w14:paraId="7631483C" w14:textId="77777777">
        <w:tblPrEx>
          <w:tblCellMar>
            <w:top w:w="0" w:type="dxa"/>
            <w:bottom w:w="0" w:type="dxa"/>
          </w:tblCellMar>
        </w:tblPrEx>
        <w:tc>
          <w:tcPr>
            <w:tcW w:w="0" w:type="auto"/>
            <w:tcMar>
              <w:top w:w="100" w:type="dxa"/>
              <w:left w:w="100" w:type="dxa"/>
              <w:bottom w:w="100" w:type="dxa"/>
              <w:right w:w="100" w:type="dxa"/>
            </w:tcMar>
          </w:tcPr>
          <w:p w14:paraId="3516003D" w14:textId="77777777" w:rsidR="00BB51F0" w:rsidRDefault="00000000">
            <w:r>
              <w:t>Luminaria Alumbrado 100W</w:t>
            </w:r>
          </w:p>
        </w:tc>
        <w:tc>
          <w:tcPr>
            <w:tcW w:w="0" w:type="auto"/>
            <w:tcMar>
              <w:top w:w="100" w:type="dxa"/>
              <w:left w:w="100" w:type="dxa"/>
              <w:bottom w:w="100" w:type="dxa"/>
              <w:right w:w="100" w:type="dxa"/>
            </w:tcMar>
          </w:tcPr>
          <w:p w14:paraId="2813EEB7" w14:textId="77777777" w:rsidR="00BB51F0" w:rsidRDefault="00000000">
            <w:r>
              <w:t>LED</w:t>
            </w:r>
          </w:p>
        </w:tc>
        <w:tc>
          <w:tcPr>
            <w:tcW w:w="0" w:type="auto"/>
            <w:tcMar>
              <w:top w:w="100" w:type="dxa"/>
              <w:left w:w="100" w:type="dxa"/>
              <w:bottom w:w="100" w:type="dxa"/>
              <w:right w:w="100" w:type="dxa"/>
            </w:tcMar>
          </w:tcPr>
          <w:p w14:paraId="1FB9B20E" w14:textId="77777777" w:rsidR="00BB51F0" w:rsidRDefault="00000000">
            <w:r>
              <w:t>$ 80.00 - 150.00</w:t>
            </w:r>
          </w:p>
        </w:tc>
        <w:tc>
          <w:tcPr>
            <w:tcW w:w="0" w:type="auto"/>
            <w:tcMar>
              <w:top w:w="100" w:type="dxa"/>
              <w:left w:w="100" w:type="dxa"/>
              <w:bottom w:w="100" w:type="dxa"/>
              <w:right w:w="100" w:type="dxa"/>
            </w:tcMar>
          </w:tcPr>
          <w:p w14:paraId="31F0992E" w14:textId="77777777" w:rsidR="00BB51F0" w:rsidRDefault="00000000">
            <w:r>
              <w:t>Grainger / Amazon</w:t>
            </w:r>
          </w:p>
        </w:tc>
      </w:tr>
      <w:tr w:rsidR="00BB51F0" w14:paraId="6832B3DE" w14:textId="77777777">
        <w:tblPrEx>
          <w:tblCellMar>
            <w:top w:w="0" w:type="dxa"/>
            <w:bottom w:w="0" w:type="dxa"/>
          </w:tblCellMar>
        </w:tblPrEx>
        <w:tc>
          <w:tcPr>
            <w:tcW w:w="0" w:type="auto"/>
            <w:tcMar>
              <w:top w:w="100" w:type="dxa"/>
              <w:left w:w="100" w:type="dxa"/>
              <w:bottom w:w="100" w:type="dxa"/>
              <w:right w:w="100" w:type="dxa"/>
            </w:tcMar>
          </w:tcPr>
          <w:p w14:paraId="5BAD0D6C" w14:textId="77777777" w:rsidR="00BB51F0" w:rsidRDefault="00000000">
            <w:r>
              <w:t>Luminaria Alumbrado 150W</w:t>
            </w:r>
          </w:p>
        </w:tc>
        <w:tc>
          <w:tcPr>
            <w:tcW w:w="0" w:type="auto"/>
            <w:tcMar>
              <w:top w:w="100" w:type="dxa"/>
              <w:left w:w="100" w:type="dxa"/>
              <w:bottom w:w="100" w:type="dxa"/>
              <w:right w:w="100" w:type="dxa"/>
            </w:tcMar>
          </w:tcPr>
          <w:p w14:paraId="18E8CA2B" w14:textId="77777777" w:rsidR="00BB51F0" w:rsidRDefault="00000000">
            <w:r>
              <w:t>LED</w:t>
            </w:r>
          </w:p>
        </w:tc>
        <w:tc>
          <w:tcPr>
            <w:tcW w:w="0" w:type="auto"/>
            <w:tcMar>
              <w:top w:w="100" w:type="dxa"/>
              <w:left w:w="100" w:type="dxa"/>
              <w:bottom w:w="100" w:type="dxa"/>
              <w:right w:w="100" w:type="dxa"/>
            </w:tcMar>
          </w:tcPr>
          <w:p w14:paraId="35A0969C" w14:textId="77777777" w:rsidR="00BB51F0" w:rsidRDefault="00000000">
            <w:r>
              <w:t>$ 120.00 - 200.00</w:t>
            </w:r>
          </w:p>
        </w:tc>
        <w:tc>
          <w:tcPr>
            <w:tcW w:w="0" w:type="auto"/>
            <w:tcMar>
              <w:top w:w="100" w:type="dxa"/>
              <w:left w:w="100" w:type="dxa"/>
              <w:bottom w:w="100" w:type="dxa"/>
              <w:right w:w="100" w:type="dxa"/>
            </w:tcMar>
          </w:tcPr>
          <w:p w14:paraId="6CBEA0FB" w14:textId="77777777" w:rsidR="00BB51F0" w:rsidRDefault="00000000">
            <w:r>
              <w:t>Home Depot / Grainger</w:t>
            </w:r>
          </w:p>
        </w:tc>
      </w:tr>
      <w:tr w:rsidR="00BB51F0" w14:paraId="6585A052" w14:textId="77777777">
        <w:tblPrEx>
          <w:tblCellMar>
            <w:top w:w="0" w:type="dxa"/>
            <w:bottom w:w="0" w:type="dxa"/>
          </w:tblCellMar>
        </w:tblPrEx>
        <w:tc>
          <w:tcPr>
            <w:tcW w:w="0" w:type="auto"/>
            <w:tcMar>
              <w:top w:w="100" w:type="dxa"/>
              <w:left w:w="100" w:type="dxa"/>
              <w:bottom w:w="100" w:type="dxa"/>
              <w:right w:w="100" w:type="dxa"/>
            </w:tcMar>
          </w:tcPr>
          <w:p w14:paraId="7C2B410F" w14:textId="77777777" w:rsidR="00BB51F0" w:rsidRDefault="00000000">
            <w:r>
              <w:t>Lámpara Vapor de Sodio 150W</w:t>
            </w:r>
          </w:p>
        </w:tc>
        <w:tc>
          <w:tcPr>
            <w:tcW w:w="0" w:type="auto"/>
            <w:tcMar>
              <w:top w:w="100" w:type="dxa"/>
              <w:left w:w="100" w:type="dxa"/>
              <w:bottom w:w="100" w:type="dxa"/>
              <w:right w:w="100" w:type="dxa"/>
            </w:tcMar>
          </w:tcPr>
          <w:p w14:paraId="226BCE7E" w14:textId="77777777" w:rsidR="00BB51F0" w:rsidRDefault="00000000">
            <w:r>
              <w:t>Sodio</w:t>
            </w:r>
          </w:p>
        </w:tc>
        <w:tc>
          <w:tcPr>
            <w:tcW w:w="0" w:type="auto"/>
            <w:tcMar>
              <w:top w:w="100" w:type="dxa"/>
              <w:left w:w="100" w:type="dxa"/>
              <w:bottom w:w="100" w:type="dxa"/>
              <w:right w:w="100" w:type="dxa"/>
            </w:tcMar>
          </w:tcPr>
          <w:p w14:paraId="1CDD7CEF" w14:textId="77777777" w:rsidR="00BB51F0" w:rsidRDefault="00000000">
            <w:r>
              <w:t>$ 40.00 - 80.00</w:t>
            </w:r>
          </w:p>
        </w:tc>
        <w:tc>
          <w:tcPr>
            <w:tcW w:w="0" w:type="auto"/>
            <w:tcMar>
              <w:top w:w="100" w:type="dxa"/>
              <w:left w:w="100" w:type="dxa"/>
              <w:bottom w:w="100" w:type="dxa"/>
              <w:right w:w="100" w:type="dxa"/>
            </w:tcMar>
          </w:tcPr>
          <w:p w14:paraId="780EA966" w14:textId="77777777" w:rsidR="00BB51F0" w:rsidRDefault="00000000">
            <w:r>
              <w:t>Fabricantes</w:t>
            </w:r>
          </w:p>
        </w:tc>
      </w:tr>
      <w:tr w:rsidR="00BB51F0" w14:paraId="2549DAC1" w14:textId="77777777">
        <w:tblPrEx>
          <w:tblCellMar>
            <w:top w:w="0" w:type="dxa"/>
            <w:bottom w:w="0" w:type="dxa"/>
          </w:tblCellMar>
        </w:tblPrEx>
        <w:tc>
          <w:tcPr>
            <w:tcW w:w="0" w:type="auto"/>
            <w:tcMar>
              <w:top w:w="100" w:type="dxa"/>
              <w:left w:w="100" w:type="dxa"/>
              <w:bottom w:w="100" w:type="dxa"/>
              <w:right w:w="100" w:type="dxa"/>
            </w:tcMar>
          </w:tcPr>
          <w:p w14:paraId="526443C7" w14:textId="77777777" w:rsidR="00BB51F0" w:rsidRDefault="00000000">
            <w:r>
              <w:t>Costo de instalación (Labor/Grúa)</w:t>
            </w:r>
          </w:p>
        </w:tc>
        <w:tc>
          <w:tcPr>
            <w:tcW w:w="0" w:type="auto"/>
            <w:tcMar>
              <w:top w:w="100" w:type="dxa"/>
              <w:left w:w="100" w:type="dxa"/>
              <w:bottom w:w="100" w:type="dxa"/>
              <w:right w:w="100" w:type="dxa"/>
            </w:tcMar>
          </w:tcPr>
          <w:p w14:paraId="6B8908E6" w14:textId="77777777" w:rsidR="00BB51F0" w:rsidRDefault="00000000">
            <w:r>
              <w:t>N/A</w:t>
            </w:r>
          </w:p>
        </w:tc>
        <w:tc>
          <w:tcPr>
            <w:tcW w:w="0" w:type="auto"/>
            <w:tcMar>
              <w:top w:w="100" w:type="dxa"/>
              <w:left w:w="100" w:type="dxa"/>
              <w:bottom w:w="100" w:type="dxa"/>
              <w:right w:w="100" w:type="dxa"/>
            </w:tcMar>
          </w:tcPr>
          <w:p w14:paraId="03275712" w14:textId="77777777" w:rsidR="00BB51F0" w:rsidRDefault="00000000">
            <w:r>
              <w:t>$ 50.00 - 100.00</w:t>
            </w:r>
          </w:p>
        </w:tc>
        <w:tc>
          <w:tcPr>
            <w:tcW w:w="0" w:type="auto"/>
            <w:tcMar>
              <w:top w:w="100" w:type="dxa"/>
              <w:left w:w="100" w:type="dxa"/>
              <w:bottom w:w="100" w:type="dxa"/>
              <w:right w:w="100" w:type="dxa"/>
            </w:tcMar>
          </w:tcPr>
          <w:p w14:paraId="1743F63A" w14:textId="77777777" w:rsidR="00BB51F0" w:rsidRDefault="00000000">
            <w:r>
              <w:t>Estimación local</w:t>
            </w:r>
          </w:p>
        </w:tc>
      </w:tr>
    </w:tbl>
    <w:p w14:paraId="1D59D3C4" w14:textId="77777777" w:rsidR="00BB51F0" w:rsidRDefault="00BB51F0">
      <w:pPr>
        <w:spacing w:after="200"/>
        <w:jc w:val="both"/>
      </w:pPr>
    </w:p>
    <w:p w14:paraId="1A1DBBC8" w14:textId="77777777" w:rsidR="00BB51F0" w:rsidRDefault="00000000">
      <w:pPr>
        <w:spacing w:after="200"/>
        <w:jc w:val="both"/>
      </w:pPr>
      <w:r>
        <w:rPr>
          <w:sz w:val="24"/>
          <w:szCs w:val="24"/>
        </w:rPr>
        <w:t>Aunque el costo de capital (CAPEX) de una luminaria LED es hasta 2 o 3 veces el de un reemplazo de sodio (sólo bulbo y balasto), el OPEX derivado del consumo de kWh es lo que marca la verdadera diferencia a largo plazo.</w:t>
      </w:r>
    </w:p>
    <w:p w14:paraId="01B99644" w14:textId="77777777" w:rsidR="00BB51F0" w:rsidRDefault="00000000">
      <w:pPr>
        <w:pStyle w:val="Ttulo1"/>
        <w:spacing w:before="300"/>
      </w:pPr>
      <w:r>
        <w:t>10. COMPARACIÓN LED vs SODIO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8"/>
        <w:gridCol w:w="3008"/>
        <w:gridCol w:w="3100"/>
      </w:tblGrid>
      <w:tr w:rsidR="00BB51F0" w14:paraId="30226CC5" w14:textId="77777777">
        <w:tblPrEx>
          <w:tblCellMar>
            <w:top w:w="0" w:type="dxa"/>
            <w:bottom w:w="0" w:type="dxa"/>
          </w:tblCellMar>
        </w:tblPrEx>
        <w:tc>
          <w:tcPr>
            <w:tcW w:w="0" w:type="auto"/>
            <w:shd w:val="clear" w:color="auto" w:fill="D9D9D9"/>
            <w:tcMar>
              <w:top w:w="100" w:type="dxa"/>
              <w:left w:w="100" w:type="dxa"/>
              <w:bottom w:w="100" w:type="dxa"/>
              <w:right w:w="100" w:type="dxa"/>
            </w:tcMar>
          </w:tcPr>
          <w:p w14:paraId="47C6616E" w14:textId="77777777" w:rsidR="00BB51F0" w:rsidRDefault="00000000">
            <w:r>
              <w:rPr>
                <w:b/>
                <w:bCs/>
              </w:rPr>
              <w:t>Parámetro</w:t>
            </w:r>
          </w:p>
        </w:tc>
        <w:tc>
          <w:tcPr>
            <w:tcW w:w="0" w:type="auto"/>
            <w:shd w:val="clear" w:color="auto" w:fill="D9D9D9"/>
            <w:tcMar>
              <w:top w:w="100" w:type="dxa"/>
              <w:left w:w="100" w:type="dxa"/>
              <w:bottom w:w="100" w:type="dxa"/>
              <w:right w:w="100" w:type="dxa"/>
            </w:tcMar>
          </w:tcPr>
          <w:p w14:paraId="209491AE" w14:textId="77777777" w:rsidR="00BB51F0" w:rsidRDefault="00000000">
            <w:r>
              <w:rPr>
                <w:b/>
                <w:bCs/>
              </w:rPr>
              <w:t>Vapor de Sodio (150W)</w:t>
            </w:r>
          </w:p>
        </w:tc>
        <w:tc>
          <w:tcPr>
            <w:tcW w:w="0" w:type="auto"/>
            <w:shd w:val="clear" w:color="auto" w:fill="D9D9D9"/>
            <w:tcMar>
              <w:top w:w="100" w:type="dxa"/>
              <w:left w:w="100" w:type="dxa"/>
              <w:bottom w:w="100" w:type="dxa"/>
              <w:right w:w="100" w:type="dxa"/>
            </w:tcMar>
          </w:tcPr>
          <w:p w14:paraId="7EA58D15" w14:textId="77777777" w:rsidR="00BB51F0" w:rsidRDefault="00000000">
            <w:r>
              <w:rPr>
                <w:b/>
                <w:bCs/>
              </w:rPr>
              <w:t>LED (equivalente 60W-80W)</w:t>
            </w:r>
          </w:p>
        </w:tc>
      </w:tr>
      <w:tr w:rsidR="00BB51F0" w14:paraId="51D4386D" w14:textId="77777777">
        <w:tblPrEx>
          <w:tblCellMar>
            <w:top w:w="0" w:type="dxa"/>
            <w:bottom w:w="0" w:type="dxa"/>
          </w:tblCellMar>
        </w:tblPrEx>
        <w:tc>
          <w:tcPr>
            <w:tcW w:w="0" w:type="auto"/>
            <w:tcMar>
              <w:top w:w="100" w:type="dxa"/>
              <w:left w:w="100" w:type="dxa"/>
              <w:bottom w:w="100" w:type="dxa"/>
              <w:right w:w="100" w:type="dxa"/>
            </w:tcMar>
          </w:tcPr>
          <w:p w14:paraId="33B38B12" w14:textId="77777777" w:rsidR="00BB51F0" w:rsidRDefault="00000000">
            <w:r>
              <w:t>Consumo del equipo</w:t>
            </w:r>
          </w:p>
        </w:tc>
        <w:tc>
          <w:tcPr>
            <w:tcW w:w="0" w:type="auto"/>
            <w:tcMar>
              <w:top w:w="100" w:type="dxa"/>
              <w:left w:w="100" w:type="dxa"/>
              <w:bottom w:w="100" w:type="dxa"/>
              <w:right w:w="100" w:type="dxa"/>
            </w:tcMar>
          </w:tcPr>
          <w:p w14:paraId="09EB12A6" w14:textId="77777777" w:rsidR="00BB51F0" w:rsidRDefault="00000000">
            <w:r>
              <w:t>150W + 20W balasto = 170W</w:t>
            </w:r>
          </w:p>
        </w:tc>
        <w:tc>
          <w:tcPr>
            <w:tcW w:w="0" w:type="auto"/>
            <w:tcMar>
              <w:top w:w="100" w:type="dxa"/>
              <w:left w:w="100" w:type="dxa"/>
              <w:bottom w:w="100" w:type="dxa"/>
              <w:right w:w="100" w:type="dxa"/>
            </w:tcMar>
          </w:tcPr>
          <w:p w14:paraId="1A372D5E" w14:textId="77777777" w:rsidR="00BB51F0" w:rsidRDefault="00000000">
            <w:r>
              <w:t>60W - 80W</w:t>
            </w:r>
          </w:p>
        </w:tc>
      </w:tr>
      <w:tr w:rsidR="00BB51F0" w14:paraId="7547C3B3" w14:textId="77777777">
        <w:tblPrEx>
          <w:tblCellMar>
            <w:top w:w="0" w:type="dxa"/>
            <w:bottom w:w="0" w:type="dxa"/>
          </w:tblCellMar>
        </w:tblPrEx>
        <w:tc>
          <w:tcPr>
            <w:tcW w:w="0" w:type="auto"/>
            <w:tcMar>
              <w:top w:w="100" w:type="dxa"/>
              <w:left w:w="100" w:type="dxa"/>
              <w:bottom w:w="100" w:type="dxa"/>
              <w:right w:w="100" w:type="dxa"/>
            </w:tcMar>
          </w:tcPr>
          <w:p w14:paraId="5585A029" w14:textId="77777777" w:rsidR="00BB51F0" w:rsidRDefault="00000000">
            <w:r>
              <w:t>Eficiencia Lumínica</w:t>
            </w:r>
          </w:p>
        </w:tc>
        <w:tc>
          <w:tcPr>
            <w:tcW w:w="0" w:type="auto"/>
            <w:tcMar>
              <w:top w:w="100" w:type="dxa"/>
              <w:left w:w="100" w:type="dxa"/>
              <w:bottom w:w="100" w:type="dxa"/>
              <w:right w:w="100" w:type="dxa"/>
            </w:tcMar>
          </w:tcPr>
          <w:p w14:paraId="025E3AB0" w14:textId="77777777" w:rsidR="00BB51F0" w:rsidRDefault="00000000">
            <w:r>
              <w:t>80-100 lm/W</w:t>
            </w:r>
          </w:p>
        </w:tc>
        <w:tc>
          <w:tcPr>
            <w:tcW w:w="0" w:type="auto"/>
            <w:tcMar>
              <w:top w:w="100" w:type="dxa"/>
              <w:left w:w="100" w:type="dxa"/>
              <w:bottom w:w="100" w:type="dxa"/>
              <w:right w:w="100" w:type="dxa"/>
            </w:tcMar>
          </w:tcPr>
          <w:p w14:paraId="73FE13BA" w14:textId="77777777" w:rsidR="00BB51F0" w:rsidRDefault="00000000">
            <w:r>
              <w:t>130-150 lm/W</w:t>
            </w:r>
          </w:p>
        </w:tc>
      </w:tr>
      <w:tr w:rsidR="00BB51F0" w14:paraId="62FBAA8F" w14:textId="77777777">
        <w:tblPrEx>
          <w:tblCellMar>
            <w:top w:w="0" w:type="dxa"/>
            <w:bottom w:w="0" w:type="dxa"/>
          </w:tblCellMar>
        </w:tblPrEx>
        <w:tc>
          <w:tcPr>
            <w:tcW w:w="0" w:type="auto"/>
            <w:tcMar>
              <w:top w:w="100" w:type="dxa"/>
              <w:left w:w="100" w:type="dxa"/>
              <w:bottom w:w="100" w:type="dxa"/>
              <w:right w:w="100" w:type="dxa"/>
            </w:tcMar>
          </w:tcPr>
          <w:p w14:paraId="5D2BA7FB" w14:textId="77777777" w:rsidR="00BB51F0" w:rsidRDefault="00000000">
            <w:r>
              <w:t>Vida Útil</w:t>
            </w:r>
          </w:p>
        </w:tc>
        <w:tc>
          <w:tcPr>
            <w:tcW w:w="0" w:type="auto"/>
            <w:tcMar>
              <w:top w:w="100" w:type="dxa"/>
              <w:left w:w="100" w:type="dxa"/>
              <w:bottom w:w="100" w:type="dxa"/>
              <w:right w:w="100" w:type="dxa"/>
            </w:tcMar>
          </w:tcPr>
          <w:p w14:paraId="6ED82F0F" w14:textId="77777777" w:rsidR="00BB51F0" w:rsidRDefault="00000000">
            <w:r>
              <w:t xml:space="preserve">15,000 - 24,000 </w:t>
            </w:r>
            <w:proofErr w:type="spellStart"/>
            <w:r>
              <w:t>hrs</w:t>
            </w:r>
            <w:proofErr w:type="spellEnd"/>
          </w:p>
        </w:tc>
        <w:tc>
          <w:tcPr>
            <w:tcW w:w="0" w:type="auto"/>
            <w:tcMar>
              <w:top w:w="100" w:type="dxa"/>
              <w:left w:w="100" w:type="dxa"/>
              <w:bottom w:w="100" w:type="dxa"/>
              <w:right w:w="100" w:type="dxa"/>
            </w:tcMar>
          </w:tcPr>
          <w:p w14:paraId="76923B59" w14:textId="77777777" w:rsidR="00BB51F0" w:rsidRDefault="00000000">
            <w:r>
              <w:t xml:space="preserve">50,000 - 100,000 </w:t>
            </w:r>
            <w:proofErr w:type="spellStart"/>
            <w:r>
              <w:t>hrs</w:t>
            </w:r>
            <w:proofErr w:type="spellEnd"/>
          </w:p>
        </w:tc>
      </w:tr>
      <w:tr w:rsidR="00BB51F0" w14:paraId="3B1DE5A7" w14:textId="77777777">
        <w:tblPrEx>
          <w:tblCellMar>
            <w:top w:w="0" w:type="dxa"/>
            <w:bottom w:w="0" w:type="dxa"/>
          </w:tblCellMar>
        </w:tblPrEx>
        <w:tc>
          <w:tcPr>
            <w:tcW w:w="0" w:type="auto"/>
            <w:tcMar>
              <w:top w:w="100" w:type="dxa"/>
              <w:left w:w="100" w:type="dxa"/>
              <w:bottom w:w="100" w:type="dxa"/>
              <w:right w:w="100" w:type="dxa"/>
            </w:tcMar>
          </w:tcPr>
          <w:p w14:paraId="6BCB1912" w14:textId="77777777" w:rsidR="00BB51F0" w:rsidRDefault="00000000">
            <w:r>
              <w:t>Color de Luz (CCT)</w:t>
            </w:r>
          </w:p>
        </w:tc>
        <w:tc>
          <w:tcPr>
            <w:tcW w:w="0" w:type="auto"/>
            <w:tcMar>
              <w:top w:w="100" w:type="dxa"/>
              <w:left w:w="100" w:type="dxa"/>
              <w:bottom w:w="100" w:type="dxa"/>
              <w:right w:w="100" w:type="dxa"/>
            </w:tcMar>
          </w:tcPr>
          <w:p w14:paraId="698DC1AC" w14:textId="77777777" w:rsidR="00BB51F0" w:rsidRDefault="00000000">
            <w:r>
              <w:t>2000K (Amarillo)</w:t>
            </w:r>
          </w:p>
        </w:tc>
        <w:tc>
          <w:tcPr>
            <w:tcW w:w="0" w:type="auto"/>
            <w:tcMar>
              <w:top w:w="100" w:type="dxa"/>
              <w:left w:w="100" w:type="dxa"/>
              <w:bottom w:w="100" w:type="dxa"/>
              <w:right w:w="100" w:type="dxa"/>
            </w:tcMar>
          </w:tcPr>
          <w:p w14:paraId="7E4BC051" w14:textId="77777777" w:rsidR="00BB51F0" w:rsidRDefault="00000000">
            <w:r>
              <w:t>4000K - 5000K (Luz Día)</w:t>
            </w:r>
          </w:p>
        </w:tc>
      </w:tr>
      <w:tr w:rsidR="00BB51F0" w14:paraId="00804396" w14:textId="77777777">
        <w:tblPrEx>
          <w:tblCellMar>
            <w:top w:w="0" w:type="dxa"/>
            <w:bottom w:w="0" w:type="dxa"/>
          </w:tblCellMar>
        </w:tblPrEx>
        <w:tc>
          <w:tcPr>
            <w:tcW w:w="0" w:type="auto"/>
            <w:tcMar>
              <w:top w:w="100" w:type="dxa"/>
              <w:left w:w="100" w:type="dxa"/>
              <w:bottom w:w="100" w:type="dxa"/>
              <w:right w:w="100" w:type="dxa"/>
            </w:tcMar>
          </w:tcPr>
          <w:p w14:paraId="050005D2" w14:textId="77777777" w:rsidR="00BB51F0" w:rsidRDefault="00000000">
            <w:r>
              <w:t>Índice Rep. Cromática (CRI)</w:t>
            </w:r>
          </w:p>
        </w:tc>
        <w:tc>
          <w:tcPr>
            <w:tcW w:w="0" w:type="auto"/>
            <w:tcMar>
              <w:top w:w="100" w:type="dxa"/>
              <w:left w:w="100" w:type="dxa"/>
              <w:bottom w:w="100" w:type="dxa"/>
              <w:right w:w="100" w:type="dxa"/>
            </w:tcMar>
          </w:tcPr>
          <w:p w14:paraId="6CEC0E12" w14:textId="77777777" w:rsidR="00BB51F0" w:rsidRDefault="00000000">
            <w:r>
              <w:t>20 - 30 (Muy pobre)</w:t>
            </w:r>
          </w:p>
        </w:tc>
        <w:tc>
          <w:tcPr>
            <w:tcW w:w="0" w:type="auto"/>
            <w:tcMar>
              <w:top w:w="100" w:type="dxa"/>
              <w:left w:w="100" w:type="dxa"/>
              <w:bottom w:w="100" w:type="dxa"/>
              <w:right w:w="100" w:type="dxa"/>
            </w:tcMar>
          </w:tcPr>
          <w:p w14:paraId="36E4BF00" w14:textId="77777777" w:rsidR="00BB51F0" w:rsidRDefault="00000000">
            <w:r>
              <w:t>&gt; 70 (Bueno)</w:t>
            </w:r>
          </w:p>
        </w:tc>
      </w:tr>
      <w:tr w:rsidR="00BB51F0" w14:paraId="2623FEA6" w14:textId="77777777">
        <w:tblPrEx>
          <w:tblCellMar>
            <w:top w:w="0" w:type="dxa"/>
            <w:bottom w:w="0" w:type="dxa"/>
          </w:tblCellMar>
        </w:tblPrEx>
        <w:tc>
          <w:tcPr>
            <w:tcW w:w="0" w:type="auto"/>
            <w:tcMar>
              <w:top w:w="100" w:type="dxa"/>
              <w:left w:w="100" w:type="dxa"/>
              <w:bottom w:w="100" w:type="dxa"/>
              <w:right w:w="100" w:type="dxa"/>
            </w:tcMar>
          </w:tcPr>
          <w:p w14:paraId="53AD8A23" w14:textId="77777777" w:rsidR="00BB51F0" w:rsidRDefault="00000000">
            <w:r>
              <w:t>Contaminantes</w:t>
            </w:r>
          </w:p>
        </w:tc>
        <w:tc>
          <w:tcPr>
            <w:tcW w:w="0" w:type="auto"/>
            <w:tcMar>
              <w:top w:w="100" w:type="dxa"/>
              <w:left w:w="100" w:type="dxa"/>
              <w:bottom w:w="100" w:type="dxa"/>
              <w:right w:w="100" w:type="dxa"/>
            </w:tcMar>
          </w:tcPr>
          <w:p w14:paraId="439946D8" w14:textId="77777777" w:rsidR="00BB51F0" w:rsidRDefault="00000000">
            <w:r>
              <w:t>Contiene Mercurio y Sodio</w:t>
            </w:r>
          </w:p>
        </w:tc>
        <w:tc>
          <w:tcPr>
            <w:tcW w:w="0" w:type="auto"/>
            <w:tcMar>
              <w:top w:w="100" w:type="dxa"/>
              <w:left w:w="100" w:type="dxa"/>
              <w:bottom w:w="100" w:type="dxa"/>
              <w:right w:w="100" w:type="dxa"/>
            </w:tcMar>
          </w:tcPr>
          <w:p w14:paraId="6A3FA183" w14:textId="77777777" w:rsidR="00BB51F0" w:rsidRDefault="00000000">
            <w:r>
              <w:t>Libre de Metales Pesados</w:t>
            </w:r>
          </w:p>
        </w:tc>
      </w:tr>
      <w:tr w:rsidR="00BB51F0" w14:paraId="778C3620" w14:textId="77777777">
        <w:tblPrEx>
          <w:tblCellMar>
            <w:top w:w="0" w:type="dxa"/>
            <w:bottom w:w="0" w:type="dxa"/>
          </w:tblCellMar>
        </w:tblPrEx>
        <w:tc>
          <w:tcPr>
            <w:tcW w:w="0" w:type="auto"/>
            <w:tcMar>
              <w:top w:w="100" w:type="dxa"/>
              <w:left w:w="100" w:type="dxa"/>
              <w:bottom w:w="100" w:type="dxa"/>
              <w:right w:w="100" w:type="dxa"/>
            </w:tcMar>
          </w:tcPr>
          <w:p w14:paraId="4DECFAE6" w14:textId="77777777" w:rsidR="00BB51F0" w:rsidRDefault="00000000">
            <w:r>
              <w:t>Tiempo de Encendido</w:t>
            </w:r>
          </w:p>
        </w:tc>
        <w:tc>
          <w:tcPr>
            <w:tcW w:w="0" w:type="auto"/>
            <w:tcMar>
              <w:top w:w="100" w:type="dxa"/>
              <w:left w:w="100" w:type="dxa"/>
              <w:bottom w:w="100" w:type="dxa"/>
              <w:right w:w="100" w:type="dxa"/>
            </w:tcMar>
          </w:tcPr>
          <w:p w14:paraId="1762262B" w14:textId="77777777" w:rsidR="00BB51F0" w:rsidRDefault="00000000">
            <w:r>
              <w:t>5 - 10 minutos</w:t>
            </w:r>
          </w:p>
        </w:tc>
        <w:tc>
          <w:tcPr>
            <w:tcW w:w="0" w:type="auto"/>
            <w:tcMar>
              <w:top w:w="100" w:type="dxa"/>
              <w:left w:w="100" w:type="dxa"/>
              <w:bottom w:w="100" w:type="dxa"/>
              <w:right w:w="100" w:type="dxa"/>
            </w:tcMar>
          </w:tcPr>
          <w:p w14:paraId="2B5F0694" w14:textId="77777777" w:rsidR="00BB51F0" w:rsidRDefault="00000000">
            <w:r>
              <w:t>Instantáneo</w:t>
            </w:r>
          </w:p>
        </w:tc>
      </w:tr>
      <w:tr w:rsidR="00BB51F0" w14:paraId="48E9BCB7" w14:textId="77777777">
        <w:tblPrEx>
          <w:tblCellMar>
            <w:top w:w="0" w:type="dxa"/>
            <w:bottom w:w="0" w:type="dxa"/>
          </w:tblCellMar>
        </w:tblPrEx>
        <w:tc>
          <w:tcPr>
            <w:tcW w:w="0" w:type="auto"/>
            <w:tcMar>
              <w:top w:w="100" w:type="dxa"/>
              <w:left w:w="100" w:type="dxa"/>
              <w:bottom w:w="100" w:type="dxa"/>
              <w:right w:w="100" w:type="dxa"/>
            </w:tcMar>
          </w:tcPr>
          <w:p w14:paraId="59056C13" w14:textId="77777777" w:rsidR="00BB51F0" w:rsidRDefault="00000000">
            <w:r>
              <w:t>Mantenimiento</w:t>
            </w:r>
          </w:p>
        </w:tc>
        <w:tc>
          <w:tcPr>
            <w:tcW w:w="0" w:type="auto"/>
            <w:tcMar>
              <w:top w:w="100" w:type="dxa"/>
              <w:left w:w="100" w:type="dxa"/>
              <w:bottom w:w="100" w:type="dxa"/>
              <w:right w:w="100" w:type="dxa"/>
            </w:tcMar>
          </w:tcPr>
          <w:p w14:paraId="400FF7E2" w14:textId="77777777" w:rsidR="00BB51F0" w:rsidRDefault="00000000">
            <w:r>
              <w:t>Frecuente</w:t>
            </w:r>
          </w:p>
        </w:tc>
        <w:tc>
          <w:tcPr>
            <w:tcW w:w="0" w:type="auto"/>
            <w:tcMar>
              <w:top w:w="100" w:type="dxa"/>
              <w:left w:w="100" w:type="dxa"/>
              <w:bottom w:w="100" w:type="dxa"/>
              <w:right w:w="100" w:type="dxa"/>
            </w:tcMar>
          </w:tcPr>
          <w:p w14:paraId="3FA570EB" w14:textId="77777777" w:rsidR="00BB51F0" w:rsidRDefault="00000000">
            <w:r>
              <w:t>Mínimo/Casi Nulo</w:t>
            </w:r>
          </w:p>
        </w:tc>
      </w:tr>
    </w:tbl>
    <w:p w14:paraId="49F98E0C" w14:textId="77777777" w:rsidR="00BB51F0" w:rsidRDefault="00BB51F0">
      <w:pPr>
        <w:spacing w:after="200"/>
        <w:jc w:val="both"/>
      </w:pPr>
    </w:p>
    <w:p w14:paraId="05CB4CD6" w14:textId="77777777" w:rsidR="00BB51F0" w:rsidRDefault="00000000">
      <w:pPr>
        <w:pStyle w:val="Ttulo1"/>
        <w:spacing w:before="300"/>
      </w:pPr>
      <w:r>
        <w:t>11. ANÁLISIS COSTO-BENEFICIO</w:t>
      </w:r>
    </w:p>
    <w:p w14:paraId="634F657D" w14:textId="77777777" w:rsidR="00BB51F0" w:rsidRDefault="00000000">
      <w:pPr>
        <w:spacing w:after="200"/>
        <w:jc w:val="both"/>
      </w:pPr>
      <w:r>
        <w:rPr>
          <w:sz w:val="24"/>
          <w:szCs w:val="24"/>
        </w:rPr>
        <w:t>Considerando que se deben reemplazar 123 luminarias de vapor de sodio (y reparar luminarias dañadas), un cálculo simplificado arroja los siguientes escenarios:</w:t>
      </w:r>
    </w:p>
    <w:p w14:paraId="77F54BA4" w14:textId="77777777" w:rsidR="00BB51F0" w:rsidRDefault="00000000">
      <w:pPr>
        <w:spacing w:after="200"/>
        <w:jc w:val="both"/>
      </w:pPr>
      <w:r>
        <w:rPr>
          <w:sz w:val="24"/>
          <w:szCs w:val="24"/>
        </w:rPr>
        <w:lastRenderedPageBreak/>
        <w:t>• Requerimiento de inversión (CAPEX): Aproximadamente $15,000 - $20,000 USD (hardware e instalación) para el lote.</w:t>
      </w:r>
    </w:p>
    <w:p w14:paraId="1863CD9D" w14:textId="77777777" w:rsidR="00BB51F0" w:rsidRDefault="00000000">
      <w:pPr>
        <w:spacing w:after="200"/>
        <w:jc w:val="both"/>
      </w:pPr>
      <w:r>
        <w:rPr>
          <w:sz w:val="24"/>
          <w:szCs w:val="24"/>
        </w:rPr>
        <w:t>• Ahorro de Potencia por punto: Alrededor de 100W de ahorro continuo. Trabajando 12 horas diarias, son 1.2 kWh al día de ahorro, equivalente a unos 438 kWh anuales por luminaria.</w:t>
      </w:r>
    </w:p>
    <w:p w14:paraId="47D3BD67" w14:textId="77777777" w:rsidR="00BB51F0" w:rsidRDefault="00000000">
      <w:pPr>
        <w:spacing w:after="200"/>
        <w:jc w:val="both"/>
      </w:pPr>
      <w:r>
        <w:rPr>
          <w:sz w:val="24"/>
          <w:szCs w:val="24"/>
        </w:rPr>
        <w:t>• Ahorro total anual de energía estimado para 123 unidades: ~43,800 kWh. Multiplicado por una tarifa promedio de $0.09 USD/kWh, equivale a unos $3,942 USD ahorrados al año en electricidad.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22"/>
        <w:gridCol w:w="1689"/>
        <w:gridCol w:w="1451"/>
        <w:gridCol w:w="4654"/>
      </w:tblGrid>
      <w:tr w:rsidR="00BB51F0" w14:paraId="6EF1D901" w14:textId="77777777">
        <w:tblPrEx>
          <w:tblCellMar>
            <w:top w:w="0" w:type="dxa"/>
            <w:bottom w:w="0" w:type="dxa"/>
          </w:tblCellMar>
        </w:tblPrEx>
        <w:tc>
          <w:tcPr>
            <w:tcW w:w="0" w:type="auto"/>
            <w:shd w:val="clear" w:color="auto" w:fill="D9D9D9"/>
            <w:tcMar>
              <w:top w:w="100" w:type="dxa"/>
              <w:left w:w="100" w:type="dxa"/>
              <w:bottom w:w="100" w:type="dxa"/>
              <w:right w:w="100" w:type="dxa"/>
            </w:tcMar>
          </w:tcPr>
          <w:p w14:paraId="2115E931" w14:textId="77777777" w:rsidR="00BB51F0" w:rsidRDefault="00000000">
            <w:r>
              <w:rPr>
                <w:b/>
                <w:bCs/>
              </w:rPr>
              <w:t>Escenario</w:t>
            </w:r>
          </w:p>
        </w:tc>
        <w:tc>
          <w:tcPr>
            <w:tcW w:w="0" w:type="auto"/>
            <w:shd w:val="clear" w:color="auto" w:fill="D9D9D9"/>
            <w:tcMar>
              <w:top w:w="100" w:type="dxa"/>
              <w:left w:w="100" w:type="dxa"/>
              <w:bottom w:w="100" w:type="dxa"/>
              <w:right w:w="100" w:type="dxa"/>
            </w:tcMar>
          </w:tcPr>
          <w:p w14:paraId="609FCF4C" w14:textId="77777777" w:rsidR="00BB51F0" w:rsidRDefault="00000000">
            <w:proofErr w:type="spellStart"/>
            <w:r>
              <w:rPr>
                <w:b/>
                <w:bCs/>
              </w:rPr>
              <w:t>Payback</w:t>
            </w:r>
            <w:proofErr w:type="spellEnd"/>
            <w:r>
              <w:rPr>
                <w:b/>
                <w:bCs/>
              </w:rPr>
              <w:t xml:space="preserve"> Estimado</w:t>
            </w:r>
          </w:p>
        </w:tc>
        <w:tc>
          <w:tcPr>
            <w:tcW w:w="0" w:type="auto"/>
            <w:shd w:val="clear" w:color="auto" w:fill="D9D9D9"/>
            <w:tcMar>
              <w:top w:w="100" w:type="dxa"/>
              <w:left w:w="100" w:type="dxa"/>
              <w:bottom w:w="100" w:type="dxa"/>
              <w:right w:w="100" w:type="dxa"/>
            </w:tcMar>
          </w:tcPr>
          <w:p w14:paraId="6DE06FEC" w14:textId="77777777" w:rsidR="00BB51F0" w:rsidRDefault="00000000">
            <w:r>
              <w:rPr>
                <w:b/>
                <w:bCs/>
              </w:rPr>
              <w:t>ROI a 10 años</w:t>
            </w:r>
          </w:p>
        </w:tc>
        <w:tc>
          <w:tcPr>
            <w:tcW w:w="0" w:type="auto"/>
            <w:shd w:val="clear" w:color="auto" w:fill="D9D9D9"/>
            <w:tcMar>
              <w:top w:w="100" w:type="dxa"/>
              <w:left w:w="100" w:type="dxa"/>
              <w:bottom w:w="100" w:type="dxa"/>
              <w:right w:w="100" w:type="dxa"/>
            </w:tcMar>
          </w:tcPr>
          <w:p w14:paraId="56329E5A" w14:textId="77777777" w:rsidR="00BB51F0" w:rsidRDefault="00000000">
            <w:r>
              <w:rPr>
                <w:b/>
                <w:bCs/>
              </w:rPr>
              <w:t>Observación</w:t>
            </w:r>
          </w:p>
        </w:tc>
      </w:tr>
      <w:tr w:rsidR="00BB51F0" w14:paraId="0623CC6F" w14:textId="77777777">
        <w:tblPrEx>
          <w:tblCellMar>
            <w:top w:w="0" w:type="dxa"/>
            <w:bottom w:w="0" w:type="dxa"/>
          </w:tblCellMar>
        </w:tblPrEx>
        <w:tc>
          <w:tcPr>
            <w:tcW w:w="0" w:type="auto"/>
            <w:tcMar>
              <w:top w:w="100" w:type="dxa"/>
              <w:left w:w="100" w:type="dxa"/>
              <w:bottom w:w="100" w:type="dxa"/>
              <w:right w:w="100" w:type="dxa"/>
            </w:tcMar>
          </w:tcPr>
          <w:p w14:paraId="4F1EF44C" w14:textId="77777777" w:rsidR="00BB51F0" w:rsidRDefault="00000000">
            <w:r>
              <w:t>Conservador</w:t>
            </w:r>
          </w:p>
        </w:tc>
        <w:tc>
          <w:tcPr>
            <w:tcW w:w="0" w:type="auto"/>
            <w:tcMar>
              <w:top w:w="100" w:type="dxa"/>
              <w:left w:w="100" w:type="dxa"/>
              <w:bottom w:w="100" w:type="dxa"/>
              <w:right w:w="100" w:type="dxa"/>
            </w:tcMar>
          </w:tcPr>
          <w:p w14:paraId="718EE80A" w14:textId="77777777" w:rsidR="00BB51F0" w:rsidRDefault="00000000">
            <w:r>
              <w:t>4.5 años</w:t>
            </w:r>
          </w:p>
        </w:tc>
        <w:tc>
          <w:tcPr>
            <w:tcW w:w="0" w:type="auto"/>
            <w:tcMar>
              <w:top w:w="100" w:type="dxa"/>
              <w:left w:w="100" w:type="dxa"/>
              <w:bottom w:w="100" w:type="dxa"/>
              <w:right w:w="100" w:type="dxa"/>
            </w:tcMar>
          </w:tcPr>
          <w:p w14:paraId="1268BF12" w14:textId="77777777" w:rsidR="00BB51F0" w:rsidRDefault="00000000">
            <w:r>
              <w:t>Positivo, +100%</w:t>
            </w:r>
          </w:p>
        </w:tc>
        <w:tc>
          <w:tcPr>
            <w:tcW w:w="0" w:type="auto"/>
            <w:tcMar>
              <w:top w:w="100" w:type="dxa"/>
              <w:left w:w="100" w:type="dxa"/>
              <w:bottom w:w="100" w:type="dxa"/>
              <w:right w:w="100" w:type="dxa"/>
            </w:tcMar>
          </w:tcPr>
          <w:p w14:paraId="5776DDB2" w14:textId="77777777" w:rsidR="00BB51F0" w:rsidRDefault="00000000">
            <w:r>
              <w:t>Altos costos iniciales, menor costo de energía</w:t>
            </w:r>
          </w:p>
        </w:tc>
      </w:tr>
      <w:tr w:rsidR="00BB51F0" w14:paraId="0B33146B" w14:textId="77777777">
        <w:tblPrEx>
          <w:tblCellMar>
            <w:top w:w="0" w:type="dxa"/>
            <w:bottom w:w="0" w:type="dxa"/>
          </w:tblCellMar>
        </w:tblPrEx>
        <w:tc>
          <w:tcPr>
            <w:tcW w:w="0" w:type="auto"/>
            <w:tcMar>
              <w:top w:w="100" w:type="dxa"/>
              <w:left w:w="100" w:type="dxa"/>
              <w:bottom w:w="100" w:type="dxa"/>
              <w:right w:w="100" w:type="dxa"/>
            </w:tcMar>
          </w:tcPr>
          <w:p w14:paraId="26667ED7" w14:textId="77777777" w:rsidR="00BB51F0" w:rsidRDefault="00000000">
            <w:r>
              <w:t>Realista</w:t>
            </w:r>
          </w:p>
        </w:tc>
        <w:tc>
          <w:tcPr>
            <w:tcW w:w="0" w:type="auto"/>
            <w:tcMar>
              <w:top w:w="100" w:type="dxa"/>
              <w:left w:w="100" w:type="dxa"/>
              <w:bottom w:w="100" w:type="dxa"/>
              <w:right w:w="100" w:type="dxa"/>
            </w:tcMar>
          </w:tcPr>
          <w:p w14:paraId="451CC0A4" w14:textId="77777777" w:rsidR="00BB51F0" w:rsidRDefault="00000000">
            <w:r>
              <w:t>3.2 años</w:t>
            </w:r>
          </w:p>
        </w:tc>
        <w:tc>
          <w:tcPr>
            <w:tcW w:w="0" w:type="auto"/>
            <w:tcMar>
              <w:top w:w="100" w:type="dxa"/>
              <w:left w:w="100" w:type="dxa"/>
              <w:bottom w:w="100" w:type="dxa"/>
              <w:right w:w="100" w:type="dxa"/>
            </w:tcMar>
          </w:tcPr>
          <w:p w14:paraId="7B1738CE" w14:textId="77777777" w:rsidR="00BB51F0" w:rsidRDefault="00000000">
            <w:r>
              <w:t>Positivo, +200%</w:t>
            </w:r>
          </w:p>
        </w:tc>
        <w:tc>
          <w:tcPr>
            <w:tcW w:w="0" w:type="auto"/>
            <w:tcMar>
              <w:top w:w="100" w:type="dxa"/>
              <w:left w:w="100" w:type="dxa"/>
              <w:bottom w:w="100" w:type="dxa"/>
              <w:right w:w="100" w:type="dxa"/>
            </w:tcMar>
          </w:tcPr>
          <w:p w14:paraId="44EB1FE3" w14:textId="77777777" w:rsidR="00BB51F0" w:rsidRDefault="00000000">
            <w:r>
              <w:t>Considerando además el ahorro en mantenimientos e insumos</w:t>
            </w:r>
          </w:p>
        </w:tc>
      </w:tr>
      <w:tr w:rsidR="00BB51F0" w14:paraId="14761E50" w14:textId="77777777">
        <w:tblPrEx>
          <w:tblCellMar>
            <w:top w:w="0" w:type="dxa"/>
            <w:bottom w:w="0" w:type="dxa"/>
          </w:tblCellMar>
        </w:tblPrEx>
        <w:tc>
          <w:tcPr>
            <w:tcW w:w="0" w:type="auto"/>
            <w:tcMar>
              <w:top w:w="100" w:type="dxa"/>
              <w:left w:w="100" w:type="dxa"/>
              <w:bottom w:w="100" w:type="dxa"/>
              <w:right w:w="100" w:type="dxa"/>
            </w:tcMar>
          </w:tcPr>
          <w:p w14:paraId="41A31541" w14:textId="77777777" w:rsidR="00BB51F0" w:rsidRDefault="00000000">
            <w:r>
              <w:t>Optimista</w:t>
            </w:r>
          </w:p>
        </w:tc>
        <w:tc>
          <w:tcPr>
            <w:tcW w:w="0" w:type="auto"/>
            <w:tcMar>
              <w:top w:w="100" w:type="dxa"/>
              <w:left w:w="100" w:type="dxa"/>
              <w:bottom w:w="100" w:type="dxa"/>
              <w:right w:w="100" w:type="dxa"/>
            </w:tcMar>
          </w:tcPr>
          <w:p w14:paraId="287323EC" w14:textId="77777777" w:rsidR="00BB51F0" w:rsidRDefault="00000000">
            <w:r>
              <w:t>2.5 años</w:t>
            </w:r>
          </w:p>
        </w:tc>
        <w:tc>
          <w:tcPr>
            <w:tcW w:w="0" w:type="auto"/>
            <w:tcMar>
              <w:top w:w="100" w:type="dxa"/>
              <w:left w:w="100" w:type="dxa"/>
              <w:bottom w:w="100" w:type="dxa"/>
              <w:right w:w="100" w:type="dxa"/>
            </w:tcMar>
          </w:tcPr>
          <w:p w14:paraId="6435EF3F" w14:textId="77777777" w:rsidR="00BB51F0" w:rsidRDefault="00000000">
            <w:r>
              <w:t>Positivo, &gt;300%</w:t>
            </w:r>
          </w:p>
        </w:tc>
        <w:tc>
          <w:tcPr>
            <w:tcW w:w="0" w:type="auto"/>
            <w:tcMar>
              <w:top w:w="100" w:type="dxa"/>
              <w:left w:w="100" w:type="dxa"/>
              <w:bottom w:w="100" w:type="dxa"/>
              <w:right w:w="100" w:type="dxa"/>
            </w:tcMar>
          </w:tcPr>
          <w:p w14:paraId="04282DEA" w14:textId="77777777" w:rsidR="00BB51F0" w:rsidRDefault="00000000">
            <w:r>
              <w:t>Adquisición por licitación mayorista</w:t>
            </w:r>
          </w:p>
        </w:tc>
      </w:tr>
    </w:tbl>
    <w:p w14:paraId="12758E4D" w14:textId="77777777" w:rsidR="00BB51F0" w:rsidRDefault="00BB51F0">
      <w:pPr>
        <w:spacing w:after="200"/>
        <w:jc w:val="both"/>
      </w:pPr>
    </w:p>
    <w:p w14:paraId="42E0CC08" w14:textId="77777777" w:rsidR="00BB51F0" w:rsidRDefault="00000000">
      <w:pPr>
        <w:spacing w:after="200"/>
        <w:jc w:val="both"/>
      </w:pPr>
      <w:r>
        <w:rPr>
          <w:sz w:val="24"/>
          <w:szCs w:val="24"/>
        </w:rPr>
        <w:t>La migración es altamente rentable y se paga sola en el corto o mediano plazo.</w:t>
      </w:r>
    </w:p>
    <w:p w14:paraId="45002141" w14:textId="77777777" w:rsidR="00BB51F0" w:rsidRDefault="00000000">
      <w:pPr>
        <w:pStyle w:val="Ttulo1"/>
        <w:spacing w:before="300"/>
      </w:pPr>
      <w:r>
        <w:t>12. IMPACTO AMBIENTAL</w:t>
      </w:r>
    </w:p>
    <w:p w14:paraId="310885FE" w14:textId="77777777" w:rsidR="00BB51F0" w:rsidRDefault="00000000">
      <w:pPr>
        <w:spacing w:after="200"/>
        <w:jc w:val="both"/>
      </w:pPr>
      <w:r>
        <w:rPr>
          <w:sz w:val="24"/>
          <w:szCs w:val="24"/>
        </w:rPr>
        <w:t>El cambio a LED no solo reduce drásticamente el consumo eléctrico y por ende la huella de carbono asociada al suministro de red interconectada, sino que elimina el riesgo del manejo de residuos tóxicos (vapores de mercurio) característicos del final de la vida útil de lámparas de alta presión. Además, las ópticas LED disminuyen el escape de luz hacia el cielo, controlando la contaminación lumínica.</w:t>
      </w:r>
    </w:p>
    <w:p w14:paraId="2F0930C6" w14:textId="77777777" w:rsidR="00BB51F0" w:rsidRDefault="00000000">
      <w:pPr>
        <w:pStyle w:val="Ttulo1"/>
        <w:spacing w:before="300"/>
      </w:pPr>
      <w:r>
        <w:t>13. DISCUSIÓN</w:t>
      </w:r>
    </w:p>
    <w:p w14:paraId="0EA0EB0F" w14:textId="77777777" w:rsidR="00BB51F0" w:rsidRDefault="00000000">
      <w:pPr>
        <w:spacing w:after="200"/>
        <w:jc w:val="both"/>
      </w:pPr>
      <w:r>
        <w:rPr>
          <w:sz w:val="24"/>
          <w:szCs w:val="24"/>
        </w:rPr>
        <w:t>Los datos recopilados (altas tasas de fallos, tecnología predominante de sodio, valores lumínicos inconsistentes) reflejan una infraestructura en la fase de obsolescencia física y tecnológica. Mantener estos sistemas resulta en un gasto innecesario de fondos públicos y compromete el bienestar de los estudiantes. Los resultados coinciden plenamente con la literatura contemporánea sobre gestión de iluminación de recintos universitarios.</w:t>
      </w:r>
    </w:p>
    <w:p w14:paraId="4E664ABB" w14:textId="77777777" w:rsidR="00BB51F0" w:rsidRDefault="00000000">
      <w:pPr>
        <w:pStyle w:val="Ttulo1"/>
        <w:spacing w:before="300"/>
      </w:pPr>
      <w:r>
        <w:t>14. CONCLUSIONES GENERALES</w:t>
      </w:r>
    </w:p>
    <w:p w14:paraId="454DCF2F" w14:textId="77777777" w:rsidR="00BB51F0" w:rsidRDefault="00000000">
      <w:pPr>
        <w:spacing w:after="200"/>
        <w:jc w:val="both"/>
      </w:pPr>
      <w:r>
        <w:rPr>
          <w:sz w:val="24"/>
          <w:szCs w:val="24"/>
        </w:rPr>
        <w:t>• ¿La infraestructura actual es adecuada? No. Está envejecida, y una amplia fracción (37.58%) no presta servicio (focos dañados o apagados).</w:t>
      </w:r>
    </w:p>
    <w:p w14:paraId="55122374" w14:textId="77777777" w:rsidR="00BB51F0" w:rsidRDefault="00000000">
      <w:pPr>
        <w:spacing w:after="200"/>
        <w:jc w:val="both"/>
      </w:pPr>
      <w:r>
        <w:rPr>
          <w:sz w:val="24"/>
          <w:szCs w:val="24"/>
        </w:rPr>
        <w:t>• ¿Existen riesgos? Sí. Desde el riesgo derivado de la inseguridad por la oscuridad, hasta el riesgo eléctrico por cableado en mal estado.</w:t>
      </w:r>
    </w:p>
    <w:p w14:paraId="33E6E9C4" w14:textId="77777777" w:rsidR="00BB51F0" w:rsidRDefault="00000000">
      <w:pPr>
        <w:spacing w:after="200"/>
        <w:jc w:val="both"/>
      </w:pPr>
      <w:r>
        <w:rPr>
          <w:sz w:val="24"/>
          <w:szCs w:val="24"/>
        </w:rPr>
        <w:t>• ¿Existen incumplimientos? Sí, el promedio lumínico y la gran cantidad de puntos en 0 lux evidencian un incumplimiento sistemático de la norma NTE INEN 069.</w:t>
      </w:r>
    </w:p>
    <w:p w14:paraId="3CA2C8C3" w14:textId="77777777" w:rsidR="00BB51F0" w:rsidRDefault="00000000">
      <w:pPr>
        <w:spacing w:after="200"/>
        <w:jc w:val="both"/>
      </w:pPr>
      <w:r>
        <w:rPr>
          <w:sz w:val="24"/>
          <w:szCs w:val="24"/>
        </w:rPr>
        <w:lastRenderedPageBreak/>
        <w:t xml:space="preserve">• ¿La metodología utilizada fue adecuada? El levantamiento georreferenciado con </w:t>
      </w:r>
      <w:proofErr w:type="spellStart"/>
      <w:r>
        <w:rPr>
          <w:sz w:val="24"/>
          <w:szCs w:val="24"/>
        </w:rPr>
        <w:t>KoboToolbox</w:t>
      </w:r>
      <w:proofErr w:type="spellEnd"/>
      <w:r>
        <w:rPr>
          <w:sz w:val="24"/>
          <w:szCs w:val="24"/>
        </w:rPr>
        <w:t xml:space="preserve"> probó ser sumamente eficaz.</w:t>
      </w:r>
    </w:p>
    <w:p w14:paraId="4BFCC265" w14:textId="77777777" w:rsidR="00BB51F0" w:rsidRDefault="00000000">
      <w:pPr>
        <w:spacing w:after="200"/>
        <w:jc w:val="both"/>
      </w:pPr>
      <w:r>
        <w:rPr>
          <w:sz w:val="24"/>
          <w:szCs w:val="24"/>
        </w:rPr>
        <w:t>• ¿Las mediciones son coherentes? Sí, la relación entre lámparas de sodio dañadas y bajos luxes es directamente proporcional.</w:t>
      </w:r>
    </w:p>
    <w:p w14:paraId="3ABA8990" w14:textId="77777777" w:rsidR="00BB51F0" w:rsidRDefault="00000000">
      <w:pPr>
        <w:spacing w:after="200"/>
        <w:jc w:val="both"/>
      </w:pPr>
      <w:r>
        <w:rPr>
          <w:sz w:val="24"/>
          <w:szCs w:val="24"/>
        </w:rPr>
        <w:t>• ¿Es viable mantener sodio? No. Es inviable económica y ambientalmente a mediano plazo.</w:t>
      </w:r>
    </w:p>
    <w:p w14:paraId="213C303B" w14:textId="77777777" w:rsidR="00BB51F0" w:rsidRDefault="00000000">
      <w:pPr>
        <w:spacing w:after="200"/>
        <w:jc w:val="both"/>
      </w:pPr>
      <w:r>
        <w:rPr>
          <w:sz w:val="24"/>
          <w:szCs w:val="24"/>
        </w:rPr>
        <w:t>• ¿Es viable migrar a LED? Es totalmente viable técnica y financieramente.</w:t>
      </w:r>
    </w:p>
    <w:p w14:paraId="1D1315E3" w14:textId="77777777" w:rsidR="00BB51F0" w:rsidRDefault="00000000">
      <w:pPr>
        <w:spacing w:after="200"/>
        <w:jc w:val="both"/>
      </w:pPr>
      <w:r>
        <w:rPr>
          <w:sz w:val="24"/>
          <w:szCs w:val="24"/>
        </w:rPr>
        <w:t>• ¿La migración tendría beneficios reales? Generaría ahorros superiores al 50% en consumo energético, reduciría el mantenimiento, y mejoraría exponencialmente la seguridad del campus.</w:t>
      </w:r>
    </w:p>
    <w:p w14:paraId="003B5FC3" w14:textId="77777777" w:rsidR="00BB51F0" w:rsidRDefault="00000000">
      <w:pPr>
        <w:pStyle w:val="Ttulo1"/>
        <w:spacing w:before="300"/>
      </w:pPr>
      <w:r>
        <w:t>15. RECOMENDACIONES</w:t>
      </w:r>
    </w:p>
    <w:p w14:paraId="00D57B75" w14:textId="77777777" w:rsidR="00BB51F0" w:rsidRDefault="00000000">
      <w:pPr>
        <w:spacing w:after="200"/>
        <w:jc w:val="both"/>
      </w:pPr>
      <w:r>
        <w:rPr>
          <w:sz w:val="24"/>
          <w:szCs w:val="24"/>
        </w:rPr>
        <w:t>1. Prioridad Inmediata: Reparar o reemplazar los postes con cableado expuesto y aislamiento dañado para evitar incidentes fatales.</w:t>
      </w:r>
    </w:p>
    <w:p w14:paraId="18EDF327" w14:textId="77777777" w:rsidR="00BB51F0" w:rsidRDefault="00000000">
      <w:pPr>
        <w:spacing w:after="200"/>
        <w:jc w:val="both"/>
      </w:pPr>
      <w:r>
        <w:rPr>
          <w:sz w:val="24"/>
          <w:szCs w:val="24"/>
        </w:rPr>
        <w:t>2. Corto Plazo: Iniciar licitación para reemplazar todas las cabezas de vapor de sodio por luminarias LED de 60W a 100W.</w:t>
      </w:r>
    </w:p>
    <w:p w14:paraId="7B95D121" w14:textId="77777777" w:rsidR="00BB51F0" w:rsidRDefault="00000000">
      <w:pPr>
        <w:spacing w:after="200"/>
        <w:jc w:val="both"/>
      </w:pPr>
      <w:r>
        <w:rPr>
          <w:sz w:val="24"/>
          <w:szCs w:val="24"/>
        </w:rPr>
        <w:t xml:space="preserve">3. Mediano Plazo: Implementar un sistema GIS institucional permanente de </w:t>
      </w:r>
      <w:proofErr w:type="spellStart"/>
      <w:r>
        <w:rPr>
          <w:sz w:val="24"/>
          <w:szCs w:val="24"/>
        </w:rPr>
        <w:t>Facility</w:t>
      </w:r>
      <w:proofErr w:type="spellEnd"/>
      <w:r>
        <w:rPr>
          <w:sz w:val="24"/>
          <w:szCs w:val="24"/>
        </w:rPr>
        <w:t xml:space="preserve"> Management para gestión de activos.</w:t>
      </w:r>
    </w:p>
    <w:p w14:paraId="3D84D9B9" w14:textId="77777777" w:rsidR="00BB51F0" w:rsidRDefault="00000000">
      <w:pPr>
        <w:spacing w:after="200"/>
        <w:jc w:val="both"/>
      </w:pPr>
      <w:r>
        <w:rPr>
          <w:sz w:val="24"/>
          <w:szCs w:val="24"/>
        </w:rPr>
        <w:t xml:space="preserve">4. Largo Plazo: Incorporar sistemas de </w:t>
      </w:r>
      <w:proofErr w:type="spellStart"/>
      <w:r>
        <w:rPr>
          <w:sz w:val="24"/>
          <w:szCs w:val="24"/>
        </w:rPr>
        <w:t>telegestión</w:t>
      </w:r>
      <w:proofErr w:type="spellEnd"/>
      <w:r>
        <w:rPr>
          <w:sz w:val="24"/>
          <w:szCs w:val="24"/>
        </w:rPr>
        <w:t xml:space="preserve"> inteligente (Smart Campus) para atenuación horaria programada.</w:t>
      </w:r>
    </w:p>
    <w:p w14:paraId="2CA15611" w14:textId="77777777" w:rsidR="00BB51F0" w:rsidRDefault="00000000">
      <w:pPr>
        <w:pStyle w:val="Ttulo1"/>
        <w:spacing w:before="300"/>
      </w:pPr>
      <w:r>
        <w:t>16. ANEXOS</w:t>
      </w:r>
    </w:p>
    <w:p w14:paraId="446F8512" w14:textId="77777777" w:rsidR="00BB51F0" w:rsidRDefault="00000000">
      <w:pPr>
        <w:spacing w:after="200"/>
        <w:jc w:val="both"/>
      </w:pPr>
      <w:r>
        <w:rPr>
          <w:sz w:val="24"/>
          <w:szCs w:val="24"/>
        </w:rPr>
        <w:t>Las fotografías, base de datos y mapas digitales se adjuntan en los repositorios digitales de la universidad y en el archivo original mediciones.xlsx.</w:t>
      </w:r>
    </w:p>
    <w:p w14:paraId="0550D48A" w14:textId="77777777" w:rsidR="00BB51F0" w:rsidRDefault="00000000">
      <w:pPr>
        <w:pStyle w:val="Ttulo1"/>
        <w:spacing w:before="300"/>
      </w:pPr>
      <w:r>
        <w:t>17. BIBLIOGRAFÍA</w:t>
      </w:r>
    </w:p>
    <w:p w14:paraId="08F6732D" w14:textId="77777777" w:rsidR="00BB51F0" w:rsidRDefault="00000000">
      <w:pPr>
        <w:spacing w:after="200"/>
        <w:jc w:val="both"/>
      </w:pPr>
      <w:r>
        <w:rPr>
          <w:sz w:val="24"/>
          <w:szCs w:val="24"/>
        </w:rPr>
        <w:t>[1] INEN, 'NTE INEN 069: Niveles de Iluminación para espacios peatonales y vías', Instituto Ecuatoriano de Normalización, Quito, Ecuador.</w:t>
      </w:r>
    </w:p>
    <w:p w14:paraId="71AD2BEF" w14:textId="77777777" w:rsidR="00BB51F0" w:rsidRDefault="00000000">
      <w:pPr>
        <w:spacing w:after="200"/>
        <w:jc w:val="both"/>
      </w:pPr>
      <w:r>
        <w:rPr>
          <w:sz w:val="24"/>
          <w:szCs w:val="24"/>
        </w:rPr>
        <w:t>[2] ARCONEL, 'Regulación No. ARCONEL 005/18 - Prestación del Servicio de Alumbrado Público General', Agencia de Regulación y Control de Electricidad, 2018.</w:t>
      </w:r>
    </w:p>
    <w:p w14:paraId="1B7B5E92" w14:textId="77777777" w:rsidR="00BB51F0" w:rsidRPr="00C158AF" w:rsidRDefault="00000000">
      <w:pPr>
        <w:spacing w:after="200"/>
        <w:jc w:val="both"/>
        <w:rPr>
          <w:lang w:val="en-US"/>
        </w:rPr>
      </w:pPr>
      <w:r w:rsidRPr="00C158AF">
        <w:rPr>
          <w:sz w:val="24"/>
          <w:szCs w:val="24"/>
          <w:lang w:val="en-US"/>
        </w:rPr>
        <w:t>[3] CIE, 'Lighting of Roads for Motor and Pedestrian Traffic', CIE 115:2010, International Commission on Illumination, Vienna, 2010.</w:t>
      </w:r>
    </w:p>
    <w:p w14:paraId="66E7CC7F" w14:textId="77777777" w:rsidR="00BB51F0" w:rsidRPr="00C158AF" w:rsidRDefault="00000000">
      <w:pPr>
        <w:spacing w:after="200"/>
        <w:jc w:val="both"/>
        <w:rPr>
          <w:lang w:val="en-US"/>
        </w:rPr>
      </w:pPr>
      <w:r w:rsidRPr="00C158AF">
        <w:rPr>
          <w:sz w:val="24"/>
          <w:szCs w:val="24"/>
          <w:lang w:val="en-US"/>
        </w:rPr>
        <w:t>[4] IES, 'Lighting for Exterior Environments', IES RP-33-14, Illuminating Engineering Society, New York, 2014.</w:t>
      </w:r>
    </w:p>
    <w:p w14:paraId="659D0C96" w14:textId="77777777" w:rsidR="00BB51F0" w:rsidRPr="00C158AF" w:rsidRDefault="00000000">
      <w:pPr>
        <w:spacing w:after="200"/>
        <w:jc w:val="both"/>
        <w:rPr>
          <w:lang w:val="en-US"/>
        </w:rPr>
      </w:pPr>
      <w:r w:rsidRPr="00C158AF">
        <w:rPr>
          <w:sz w:val="24"/>
          <w:szCs w:val="24"/>
          <w:lang w:val="en-US"/>
        </w:rPr>
        <w:t>[5] DOE, 'Solid-State Lighting R&amp;D Plan', U.S. Department of Energy, 2021.</w:t>
      </w:r>
    </w:p>
    <w:sectPr w:rsidR="00BB51F0" w:rsidRPr="00C158AF">
      <w:footerReference w:type="default" r:id="rId7"/>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6B588B" w14:textId="77777777" w:rsidR="00C751C9" w:rsidRDefault="00C751C9">
      <w:r>
        <w:separator/>
      </w:r>
    </w:p>
  </w:endnote>
  <w:endnote w:type="continuationSeparator" w:id="0">
    <w:p w14:paraId="3CD489A4" w14:textId="77777777" w:rsidR="00C751C9" w:rsidRDefault="00C751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5B824" w14:textId="77777777" w:rsidR="00BB51F0" w:rsidRDefault="00000000">
    <w:pPr>
      <w:jc w:val="center"/>
    </w:pPr>
    <w:r>
      <w:fldChar w:fldCharType="begin"/>
    </w:r>
    <w:r>
      <w:instrText>PAGE</w:instrText>
    </w:r>
    <w:r>
      <w:fldChar w:fldCharType="separate"/>
    </w:r>
    <w:r w:rsidR="00C158A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D196EF" w14:textId="77777777" w:rsidR="00C751C9" w:rsidRDefault="00C751C9">
      <w:r>
        <w:separator/>
      </w:r>
    </w:p>
  </w:footnote>
  <w:footnote w:type="continuationSeparator" w:id="0">
    <w:p w14:paraId="2C73D266" w14:textId="77777777" w:rsidR="00C751C9" w:rsidRDefault="00C751C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16C7F"/>
    <w:multiLevelType w:val="hybridMultilevel"/>
    <w:tmpl w:val="71A2F6AC"/>
    <w:lvl w:ilvl="0" w:tplc="DF36BE4E">
      <w:start w:val="1"/>
      <w:numFmt w:val="bullet"/>
      <w:lvlText w:val="●"/>
      <w:lvlJc w:val="left"/>
      <w:pPr>
        <w:ind w:left="720" w:hanging="360"/>
      </w:pPr>
    </w:lvl>
    <w:lvl w:ilvl="1" w:tplc="3B28E176">
      <w:start w:val="1"/>
      <w:numFmt w:val="bullet"/>
      <w:lvlText w:val="○"/>
      <w:lvlJc w:val="left"/>
      <w:pPr>
        <w:ind w:left="1440" w:hanging="360"/>
      </w:pPr>
    </w:lvl>
    <w:lvl w:ilvl="2" w:tplc="F5D23B5C">
      <w:start w:val="1"/>
      <w:numFmt w:val="bullet"/>
      <w:lvlText w:val="■"/>
      <w:lvlJc w:val="left"/>
      <w:pPr>
        <w:ind w:left="2160" w:hanging="360"/>
      </w:pPr>
    </w:lvl>
    <w:lvl w:ilvl="3" w:tplc="C36C8AAC">
      <w:start w:val="1"/>
      <w:numFmt w:val="bullet"/>
      <w:lvlText w:val="●"/>
      <w:lvlJc w:val="left"/>
      <w:pPr>
        <w:ind w:left="2880" w:hanging="360"/>
      </w:pPr>
    </w:lvl>
    <w:lvl w:ilvl="4" w:tplc="7B5E627A">
      <w:start w:val="1"/>
      <w:numFmt w:val="bullet"/>
      <w:lvlText w:val="○"/>
      <w:lvlJc w:val="left"/>
      <w:pPr>
        <w:ind w:left="3600" w:hanging="360"/>
      </w:pPr>
    </w:lvl>
    <w:lvl w:ilvl="5" w:tplc="5B30A926">
      <w:start w:val="1"/>
      <w:numFmt w:val="bullet"/>
      <w:lvlText w:val="■"/>
      <w:lvlJc w:val="left"/>
      <w:pPr>
        <w:ind w:left="4320" w:hanging="360"/>
      </w:pPr>
    </w:lvl>
    <w:lvl w:ilvl="6" w:tplc="B5E0DF12">
      <w:start w:val="1"/>
      <w:numFmt w:val="bullet"/>
      <w:lvlText w:val="●"/>
      <w:lvlJc w:val="left"/>
      <w:pPr>
        <w:ind w:left="5040" w:hanging="360"/>
      </w:pPr>
    </w:lvl>
    <w:lvl w:ilvl="7" w:tplc="4710C6BC">
      <w:start w:val="1"/>
      <w:numFmt w:val="bullet"/>
      <w:lvlText w:val="●"/>
      <w:lvlJc w:val="left"/>
      <w:pPr>
        <w:ind w:left="5760" w:hanging="360"/>
      </w:pPr>
    </w:lvl>
    <w:lvl w:ilvl="8" w:tplc="CBEE25EA">
      <w:start w:val="1"/>
      <w:numFmt w:val="bullet"/>
      <w:lvlText w:val="●"/>
      <w:lvlJc w:val="left"/>
      <w:pPr>
        <w:ind w:left="6480" w:hanging="360"/>
      </w:pPr>
    </w:lvl>
  </w:abstractNum>
  <w:num w:numId="1" w16cid:durableId="13912689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51F0"/>
    <w:rsid w:val="00BB51F0"/>
    <w:rsid w:val="00C158AF"/>
    <w:rsid w:val="00C751C9"/>
    <w:rsid w:val="00E81455"/>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543A9"/>
  <w15:docId w15:val="{5A54058C-185A-4430-9CAB-5430220457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C"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200"/>
      <w:outlineLvl w:val="0"/>
    </w:pPr>
    <w:rPr>
      <w:b/>
      <w:bCs/>
      <w:color w:val="000000"/>
      <w:sz w:val="32"/>
      <w:szCs w:val="32"/>
    </w:rPr>
  </w:style>
  <w:style w:type="paragraph" w:styleId="Ttulo2">
    <w:name w:val="heading 2"/>
    <w:uiPriority w:val="9"/>
    <w:unhideWhenUsed/>
    <w:qFormat/>
    <w:pPr>
      <w:spacing w:before="300" w:after="150"/>
      <w:outlineLvl w:val="1"/>
    </w:pPr>
    <w:rPr>
      <w:b/>
      <w:bCs/>
      <w:color w:val="000000"/>
      <w:sz w:val="28"/>
      <w:szCs w:val="28"/>
    </w:rPr>
  </w:style>
  <w:style w:type="paragraph" w:styleId="Ttulo3">
    <w:name w:val="heading 3"/>
    <w:uiPriority w:val="9"/>
    <w:semiHidden/>
    <w:unhideWhenUsed/>
    <w:qFormat/>
    <w:pPr>
      <w:spacing w:before="200" w:after="100"/>
      <w:outlineLvl w:val="2"/>
    </w:pPr>
    <w:rPr>
      <w:b/>
      <w:bCs/>
      <w:color w:val="000000"/>
      <w:sz w:val="26"/>
      <w:szCs w:val="26"/>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12</Pages>
  <Words>3499</Words>
  <Characters>19249</Characters>
  <Application>Microsoft Office Word</Application>
  <DocSecurity>0</DocSecurity>
  <Lines>160</Lines>
  <Paragraphs>45</Paragraphs>
  <ScaleCrop>false</ScaleCrop>
  <Company/>
  <LinksUpToDate>false</LinksUpToDate>
  <CharactersWithSpaces>22703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Técnico - Luminarias UCE</dc:title>
  <dc:creator>Grupo 3</dc:creator>
  <dc:description>Informe Técnico de Infraestructura de Iluminación</dc:description>
  <cp:lastModifiedBy>GABRIELA ABIGAIL QUIROZ RODRIGUEZ</cp:lastModifiedBy>
  <cp:revision>2</cp:revision>
  <dcterms:created xsi:type="dcterms:W3CDTF">2026-06-02T04:09:00Z</dcterms:created>
  <dcterms:modified xsi:type="dcterms:W3CDTF">2026-06-02T04:09:00Z</dcterms:modified>
</cp:coreProperties>
</file>