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CAMALOV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6"/>
                <w:szCs w:val="16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IT Business Analyst with 3+ years of experience in E-Commerce and Fintech, skilled in stakeholder discovery, BRD/FRD authoring, BPMN process modeling, REST API documentation (Swagger), SQL analytics, and end-to-end delivery coordination through UAT sign-off. Software engineering background enables precise technical translation of business requirements and efficient collaboration with development teams.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(Credit Bureau &amp; Financial Data Integration, Process Modeling)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(External Loan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(Loan Portfolio Monitoring, Digital E-Signature, SMS Notifications)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Partner Onboarding &amp; Loan Application Management  </w:t>
      </w:r>
      <w:r>
        <w:rPr>
          <w:rFonts w:ascii="Calibri" w:eastAsia="Microsoft YaHei"/>
          <w:color w:val="777777"/>
          <w:sz w:val="16"/>
          <w:szCs w:val="16"/>
        </w:rPr>
        <w:t xml:space="preserve">(Full Requirements Documentation, 8+ REST API Endpoints)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Conducted structured discovery sessions with risk, sales, and operations stakeholders to map As-Is workflows, design To-Be BPMN process models, and align on scope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Authored detailed FRDs with numbered requirements (REQ-101 format) and designed REST API specifications using Swagger/OpenAPI 3.0 for seamless handoff to development teams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Wrote User Stories with Gherkin Acceptance Criteria, coordinated UAT execution, and led bug triage meetings — achieving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2026-04-24T17:06:58.674Z</dcterms:created>
  <dcterms:modified xsi:type="dcterms:W3CDTF">2026-04-24T17:06:58.674Z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