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8506"/>
      </w:tblGrid>
      <w:tr>
        <w:trPr>
          <w:trHeight w:val="16038" w:hRule="exac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F36" w:val="clear"/>
            <w:tcMar>
              <w:top w:type="dxa" w:w="200"/>
              <w:left w:type="dxa" w:w="250"/>
              <w:bottom w:type="dxa" w:w="200"/>
              <w:right w:type="dxa" w:w="200"/>
            </w:tcMar>
            <w:vAlign w:val="top"/>
          </w:tcPr>
          <w:p>
            <w:pPr>
              <w:spacing w:after="60" w:before="20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Zamir</w:t>
            </w:r>
          </w:p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Camalov</w:t>
            </w:r>
          </w:p>
          <w:p>
            <w:pPr>
              <w:spacing w:after="120" w:before="40"/>
            </w:pPr>
            <w:r>
              <w:rPr>
                <w:rFonts w:ascii="Calibri" w:cs="Calibri" w:eastAsia="Calibri" w:hAnsi="Calibri"/>
                <w:b/>
                <w:bCs/>
                <w:color w:val="667eea"/>
                <w:sz w:val="22"/>
                <w:szCs w:val="22"/>
              </w:rPr>
              <w:t xml:space="preserve">IT Business Analyst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6"/>
                <w:szCs w:val="16"/>
              </w:rPr>
              <w:t xml:space="preserve">CONTACT</w:t>
            </w:r>
          </w:p>
          <w:p>
            <w:pPr>
              <w:spacing w:after="25" w:before="25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6"/>
                <w:szCs w:val="16"/>
              </w:rPr>
              <w:t xml:space="preserve">Phone  </w:t>
            </w: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+994 55 207 7228</w:t>
            </w:r>
          </w:p>
          <w:p>
            <w:pPr>
              <w:spacing w:after="25" w:before="25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6"/>
                <w:szCs w:val="16"/>
              </w:rPr>
              <w:t xml:space="preserve">Email  </w:t>
            </w: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jamalov.zamir@gmail.com</w:t>
            </w:r>
          </w:p>
          <w:p>
            <w:pPr>
              <w:spacing w:after="25" w:before="25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6"/>
                <w:szCs w:val="16"/>
              </w:rPr>
              <w:t xml:space="preserve">Location  </w:t>
            </w: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Baku, Azerbaijan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6"/>
                <w:szCs w:val="16"/>
              </w:rPr>
              <w:t xml:space="preserve">CORE SKILLS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BRD / FRD / SRS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BPMN Modeling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REST API / Swagger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Postman Testing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●●●●○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SQL (Oracle, MSSQL)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Agile / Scrum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Jira / Confluence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UAT Coordination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SDLC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●●●●○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6"/>
                <w:szCs w:val="16"/>
              </w:rPr>
              <w:t xml:space="preserve">TECHNICAL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C# / T-SQL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●●●●○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Python / Power BI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●●●●○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JSON / XML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●●●●●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Figma / Prototyping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●●●●○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D8E2E8"/>
                <w:sz w:val="16"/>
                <w:szCs w:val="16"/>
              </w:rPr>
              <w:t xml:space="preserve">ELK Stack / Logging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1"/>
                <w:szCs w:val="11"/>
              </w:rPr>
              <w:t xml:space="preserve">  ●●●○○</w:t>
            </w:r>
            <w:r>
              <w:rPr>
                <w:sz w:val="10"/>
                <w:szCs w:val="10"/>
              </w:rPr>
              <w:t xml:space="preserve"/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6"/>
                <w:szCs w:val="16"/>
              </w:rPr>
              <w:t xml:space="preserve">LANGUAGES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Azerbaijani — Native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Russian — Professional (Fluent)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English — Professional</w:t>
            </w:r>
          </w:p>
          <w:p>
            <w:pPr>
              <w:spacing w:after="60" w:before="160"/>
            </w:pPr>
            <w:r>
              <w:rPr>
                <w:rFonts w:ascii="Calibri" w:cs="Calibri" w:eastAsia="Calibri" w:hAnsi="Calibri"/>
                <w:b/>
                <w:bCs/>
                <w:color w:val="667eea"/>
                <w:spacing w:val="60"/>
                <w:sz w:val="16"/>
                <w:szCs w:val="16"/>
              </w:rPr>
              <w:t xml:space="preserve">EDUCATION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D8E2E8"/>
                <w:sz w:val="16"/>
                <w:szCs w:val="16"/>
              </w:rPr>
              <w:t xml:space="preserve">Baku State University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8BA0AD"/>
                <w:sz w:val="15"/>
                <w:szCs w:val="15"/>
              </w:rPr>
              <w:t xml:space="preserve">Applied Mathematics (BSc)</w:t>
            </w:r>
          </w:p>
        </w:tc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200"/>
              <w:left w:type="dxa" w:w="280"/>
              <w:bottom w:type="dxa" w:w="200"/>
              <w:right w:type="dxa" w:w="250"/>
            </w:tcMar>
            <w:vAlign w:val="top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506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67eea" w:val="clear"/>
                  <w:tcMar>
                    <w:top w:type="dxa" w:w="40"/>
                    <w:left w:type="dxa" w:w="180"/>
                    <w:bottom w:type="dxa" w:w="4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1"/>
                      <w:szCs w:val="21"/>
                    </w:rPr>
                    <w:t xml:space="preserve">PROFILE SUMMARY</w:t>
                  </w:r>
                </w:p>
              </w:tc>
            </w:tr>
          </w:tbl>
          <w:p>
            <w:pPr>
              <w:spacing w:after="8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Results-driven IT Business Analyst with 15+ years of cross-functional experience spanning fintech, e-commerce, and public sector digital transformation. Proven ability to bridge business requirements and technical implementation through BRD/FRD documentation, BPMN process modeling, and REST API specifications. Former backend developer background enables precise translation of business needs into technical specifications (SRS) with 100% requirement coverage. Skilled in end-to-end SDLC management, UAT coordination, and data-driven decision making using SQL and Power BI. Experienced in multi-stakeholder vendor integrations (PayTabs, Sima, ASAN) and cross-functional team leadership across international environments.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506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67eea" w:val="clear"/>
                  <w:tcMar>
                    <w:top w:type="dxa" w:w="40"/>
                    <w:left w:type="dxa" w:w="180"/>
                    <w:bottom w:type="dxa" w:w="40"/>
                    <w:right w:type="dxa" w:w="10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1"/>
                      <w:szCs w:val="21"/>
                    </w:rPr>
                    <w:t xml:space="preserve">WORK EXPERIENCE</w:t>
                  </w:r>
                </w:p>
              </w:tc>
            </w:tr>
          </w:tbl>
          <w:p>
            <w:pPr>
              <w:tabs>
                <w:tab w:val="right" w:pos="8200"/>
              </w:tabs>
              <w:spacing w:after="30" w:before="1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Embafinans</w:t>
            </w:r>
            <w:r>
              <w:rPr>
                <w:rFonts w:ascii="Calibri" w:cs="Calibri" w:eastAsia="Calibri" w:hAnsi="Calibri"/>
                <w:b w:val="false"/>
                <w:bCs w:val="false"/>
                <w:color w:val="6B6B6B"/>
                <w:sz w:val="18"/>
                <w:szCs w:val="18"/>
              </w:rPr>
              <w:t xml:space="preserve">  |  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9"/>
                <w:szCs w:val="19"/>
              </w:rPr>
              <w:t xml:space="preserve">IT Business Analyst</w:t>
            </w:r>
            <w:r>
              <w:rPr>
                <w:rFonts w:ascii="Calibri" w:cs="Calibri" w:eastAsia="Calibri" w:hAnsi="Calibri"/>
                <w:color w:val="6B6B6B"/>
                <w:sz w:val="17"/>
                <w:szCs w:val="17"/>
              </w:rPr>
              <w:t xml:space="preserve">	2025 – Present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Led BNPL and 1C system integration for “OnePoint” platform, aligning technical specifications with finance, sales, and risk stakeholders to automate credit financial reporting workflows.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Automated credit scoring with cut-off threshold approach, redesigned BPMN workflows, and improved overall credit processing speed by 25%.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Managed product backlog using WSJF and RICE prioritization frameworks, directing IT resources toward high-impact strategic initiatives.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Designed REST API (JSON) technical specifications and sequence diagrams for vendor integrations including PayTabs, Sima, and ASAN, coordinating end-to-end testing via Postman.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Acted as technical bridge between business and development teams, leveraging former backend developer experience to ensure 100% requirement-to-SRS translation accuracy.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Designed end-to-end digital customer journey from credit application to payment, including card top-up mechanisms and fund distribution logic.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Integrated video-call (Sima) and digital signature flows to transition the credit process to a fully paperless (paperless) model.</w:t>
            </w:r>
          </w:p>
          <w:p>
            <w:pPr>
              <w:tabs>
                <w:tab w:val="right" w:pos="8200"/>
              </w:tabs>
              <w:spacing w:after="30" w:before="1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BirMarket (E-Commerce)</w:t>
            </w:r>
            <w:r>
              <w:rPr>
                <w:rFonts w:ascii="Calibri" w:cs="Calibri" w:eastAsia="Calibri" w:hAnsi="Calibri"/>
                <w:b w:val="false"/>
                <w:bCs w:val="false"/>
                <w:color w:val="6B6B6B"/>
                <w:sz w:val="18"/>
                <w:szCs w:val="18"/>
              </w:rPr>
              <w:t xml:space="preserve">  |  </w:t>
            </w: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9"/>
                <w:szCs w:val="19"/>
              </w:rPr>
              <w:t xml:space="preserve">Business &amp; System Analyst</w:t>
            </w:r>
            <w:r>
              <w:rPr>
                <w:rFonts w:ascii="Calibri" w:cs="Calibri" w:eastAsia="Calibri" w:hAnsi="Calibri"/>
                <w:color w:val="6B6B6B"/>
                <w:sz w:val="17"/>
                <w:szCs w:val="17"/>
              </w:rPr>
              <w:t xml:space="preserve">	2022 – 2025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Onboarded new marketplace partners (sellers and logistics companies) by defining business and technical requirements (FRD), documenting processes from scratch, and coordinating technical integrations.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Built database-level business logic to ensure accurate transfer of business requirements to the development team, supporting Oracle RDBMS, MSSQL, and PostgreSQL environments.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Conducted L2 support-level monitoring and root cause analysis using ELK Stack and Logstash, analyzing system logs and code repositories to identify production incidents at the code level.</w:t>
            </w:r>
          </w:p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667eea"/>
                <w:sz w:val="14"/>
                <w:szCs w:val="14"/>
              </w:rPr>
              <w:t xml:space="preserve">▸ </w:t>
            </w:r>
            <w:r>
              <w:rPr>
                <w:rFonts w:ascii="Calibri" w:cs="Calibri" w:eastAsia="Calibri" w:hAnsi="Calibri"/>
                <w:b w:val="false"/>
                <w:bCs w:val="false"/>
                <w:color w:val="2C2C2C"/>
                <w:sz w:val="18"/>
                <w:szCs w:val="18"/>
              </w:rPr>
              <w:t xml:space="preserve">Coordinated with developers for rapid issue resolution, reducing mean-time-to-resolution for critical production incidents.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F3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Zamir Camalov</w:t>
            </w:r>
            <w:r>
              <w:rPr>
                <w:rFonts w:ascii="Calibri" w:cs="Calibri" w:eastAsia="Calibri" w:hAnsi="Calibri"/>
                <w:color w:val="667eea"/>
                <w:sz w:val="17"/>
                <w:szCs w:val="17"/>
              </w:rPr>
              <w:t xml:space="preserve">  |  IT Business Analyst</w:t>
            </w:r>
          </w:p>
        </w:tc>
      </w:tr>
    </w:tbl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67eea" w:val="clear"/>
            <w:tcMar>
              <w:top w:type="dxa" w:w="40"/>
              <w:left w:type="dxa" w:w="18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WORK EXPERIENCE (continued)</w:t>
            </w:r>
          </w:p>
        </w:tc>
      </w:tr>
    </w:tbl>
    <w:p>
      <w:pPr>
        <w:tabs>
          <w:tab w:val="right" w:pos="8200"/>
        </w:tabs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Central Bank / Unibank / ASAN Service</w:t>
      </w:r>
      <w:r>
        <w:rPr>
          <w:rFonts w:ascii="Calibri" w:cs="Calibri" w:eastAsia="Calibri" w:hAnsi="Calibri"/>
          <w:b w:val="false"/>
          <w:bCs w:val="false"/>
          <w:color w:val="6B6B6B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667eea"/>
          <w:sz w:val="19"/>
          <w:szCs w:val="19"/>
        </w:rPr>
        <w:t xml:space="preserve">Technical Project Specialist / Developer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	2007 – 2022</w:t>
      </w:r>
    </w:p>
    <w:p>
      <w:pPr>
        <w:spacing w:after="2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Localized system requirements for global vendors (CheckFree, CMA) at the Central Bank, managing cross-team coordination across international development teams.</w:t>
      </w:r>
    </w:p>
    <w:p>
      <w:pPr>
        <w:spacing w:after="2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Contributed to technical development and QA for Unibank’s UMobile mobile application.</w:t>
      </w:r>
    </w:p>
    <w:p>
      <w:pPr>
        <w:spacing w:after="2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Optimized citizen service processes at ASAN Service through data analysis, supporting public-sector digital transformation initiatives.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67eea" w:val="clear"/>
            <w:tcMar>
              <w:top w:type="dxa" w:w="40"/>
              <w:left w:type="dxa" w:w="18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TRAINING &amp; CORPORATE EDUCATION</w:t>
            </w:r>
          </w:p>
        </w:tc>
      </w:tr>
    </w:tbl>
    <w:p>
      <w:pPr>
        <w:tabs>
          <w:tab w:val="right" w:pos="8200"/>
        </w:tabs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DIV Academy &amp; Innab Training Center</w:t>
      </w:r>
      <w:r>
        <w:rPr>
          <w:rFonts w:ascii="Calibri" w:cs="Calibri" w:eastAsia="Calibri" w:hAnsi="Calibri"/>
          <w:b w:val="false"/>
          <w:bCs w:val="false"/>
          <w:color w:val="6B6B6B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667eea"/>
          <w:sz w:val="19"/>
          <w:szCs w:val="19"/>
        </w:rPr>
        <w:t xml:space="preserve">Data Analytics Instructor (Part-time)</w:t>
      </w:r>
      <w:r>
        <w:rPr>
          <w:rFonts w:ascii="Calibri" w:cs="Calibri" w:eastAsia="Calibri" w:hAnsi="Calibri"/>
          <w:color w:val="6B6B6B"/>
          <w:sz w:val="17"/>
          <w:szCs w:val="17"/>
        </w:rPr>
        <w:t xml:space="preserve">	2022 – 2026</w:t>
      </w:r>
    </w:p>
    <w:p>
      <w:pPr>
        <w:spacing w:after="2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Delivered SQL and Python courses using real-world business case studies, developing strong stakeholder management and presentation skills.</w:t>
      </w:r>
    </w:p>
    <w:p>
      <w:pPr>
        <w:spacing w:after="2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Conducted corporate training programs for Bank of Baku, SOCAR, and other organizations, performing root cause analysis using their internal 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67eea" w:val="clear"/>
            <w:tcMar>
              <w:top w:type="dxa" w:w="40"/>
              <w:left w:type="dxa" w:w="18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Baku State University</w:t>
      </w:r>
      <w:r>
        <w:rPr>
          <w:rFonts w:ascii="Calibri" w:cs="Calibri" w:eastAsia="Calibri" w:hAnsi="Calibri"/>
          <w:b w:val="false"/>
          <w:bCs w:val="false"/>
          <w:color w:val="6B6B6B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color w:val="667eea"/>
          <w:sz w:val="19"/>
          <w:szCs w:val="19"/>
        </w:rPr>
        <w:t xml:space="preserve">Bachelor of Science in Applied Mathematics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67eea" w:val="clear"/>
            <w:tcMar>
              <w:top w:type="dxa" w:w="40"/>
              <w:left w:type="dxa" w:w="18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KEY STRENGTHS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/>
          <w:bCs/>
          <w:color w:val="2C2C2C"/>
          <w:sz w:val="18"/>
          <w:szCs w:val="18"/>
        </w:rPr>
        <w:t xml:space="preserve">Unique hybrid profile: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Combines deep technical skills (C#, T-SQL, API design, ELK Stack log analysis) with business analysis expertise (BRD/FRD, BPMN, UAT, stakeholder management).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/>
          <w:bCs/>
          <w:color w:val="2C2C2C"/>
          <w:sz w:val="18"/>
          <w:szCs w:val="18"/>
        </w:rPr>
        <w:t xml:space="preserve">End-to-end ownership: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From requirements gathering through API specification, Postman testing, UAT coordination, and production incident root cause analysis.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/>
          <w:bCs/>
          <w:color w:val="2C2C2C"/>
          <w:sz w:val="18"/>
          <w:szCs w:val="18"/>
        </w:rPr>
        <w:t xml:space="preserve">Vendor integration experience: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Successfully coordinated multi-stakeholder integrations with PayTabs, Sima, ASAN, CheckFree, and CMA across fintech and public sector.</w:t>
      </w:r>
    </w:p>
    <w:p>
      <w:pPr>
        <w:spacing w:after="40" w:before="20"/>
      </w:pPr>
      <w:r>
        <w:rPr>
          <w:rFonts w:ascii="Calibri" w:cs="Calibri" w:eastAsia="Calibri" w:hAnsi="Calibri"/>
          <w:b w:val="false"/>
          <w:bCs w:val="false"/>
          <w:color w:val="667eea"/>
          <w:sz w:val="14"/>
          <w:szCs w:val="14"/>
        </w:rPr>
        <w:t xml:space="preserve">▸ </w:t>
      </w:r>
      <w:r>
        <w:rPr>
          <w:rFonts w:ascii="Calibri" w:cs="Calibri" w:eastAsia="Calibri" w:hAnsi="Calibri"/>
          <w:b/>
          <w:bCs/>
          <w:color w:val="2C2C2C"/>
          <w:sz w:val="18"/>
          <w:szCs w:val="18"/>
        </w:rPr>
        <w:t xml:space="preserve">Bilingual communication: </w:t>
      </w:r>
      <w:r>
        <w:rPr>
          <w:rFonts w:ascii="Calibri" w:cs="Calibri" w:eastAsia="Calibri" w:hAnsi="Calibri"/>
          <w:b w:val="false"/>
          <w:bCs w:val="false"/>
          <w:color w:val="2C2C2C"/>
          <w:sz w:val="18"/>
          <w:szCs w:val="18"/>
        </w:rPr>
        <w:t xml:space="preserve">Professional proficiency in Azerbaijani, Russian, and English — experienced in cross-cultural and international team coordination.</w:t>
      </w:r>
    </w:p>
    <w:sectPr>
      <w:pgSz w:w="11906" w:h="16838" w:orient="portrait"/>
      <w:pgMar w:top="600" w:right="800" w:bottom="6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C2C2C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2026-04-24T02:57:34.452Z</dcterms:created>
  <dcterms:modified xsi:type="dcterms:W3CDTF">2026-04-24T02:57:34.453Z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