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A6496"/>
          <w:sz w:val="48"/>
          <w:szCs w:val="48"/>
        </w:rPr>
        <w:t xml:space="preserve">Business Requirements Document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BNPL Credit Scoring &amp; Pre-Screen Risk Assessment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A6496"/>
          <w:sz w:val="26"/>
          <w:szCs w:val="26"/>
        </w:rP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Project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Credit Scoring System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Document Version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Date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2026-04-25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BA Team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Draft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Confidentiality Notice: This document contains confidential information belonging to Embafinans. Unauthorized distribution is prohibited.</w:t>
      </w:r>
    </w:p>
    <w:p>
      <w:r>
        <w:br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Table of Contents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Executive Summary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Business Goals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Scope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Stakeholders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Business Requirements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Assumptions &amp; Constraints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Glossary</w:t>
      </w:r>
    </w:p>
    <w:p>
      <w:r>
        <w:br w:type="page"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Embafinans seeks to implement an automated credit scoring and pre-screen risk assessment system to support its Buy-Now-Pay-Later (BNPL) and goods loan products. The current manual credit assessment process is time-consuming, inconsistent, and unable to scale with growing application volumes. This Business Requirements Document (BRD) defines the strategic objectives, functional scope, and key requirements for the proposed automated credit scoring system.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will leverage multi-factor risk assessment methodologies including credit bureau scores, income verification, debt-to-income ratios, employment stability, and existing loan obligations to produce a standardized credit score. Based on predefined thresholds, the system will automatically approve, route for manual review, or reject credit applications, significantly reducing processing time and improving decision consistency.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serves as the authoritative source of business requirements and will be used as the foundation for the subsequent Functional Requirements Document (FRD), technical design, and implementation planning.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2. Business Goals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business goals have been identified for the credit scoring system: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2.1 Speed of Credit Decisions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Reduce average credit decision time from 5-7 business days to under 60 seconds for automated decisions.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Achieve 2x faster credit decisions compared to the current manual process.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2.2 Reduce Manual Review Burden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Decrease manual review workload by at least 60% through automated pre-screening and scoring.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Enable credit analysts to focus on borderline cases that genuinely require human judgment.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2.3 Increase Approval Rate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Increase overall application approval rate by 15-20% through consistent and objective scoring.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Reduce false rejections caused by subjective manual assessment.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2.4 Risk Management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 or improve current default rates while increasing throughput.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 a standardized, auditable risk assessment framework.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2.5 Operational Efficiency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Eliminate dependency on physical committee meetings for standard approvals.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Enable 24/7 credit decisioning capability.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3. Scope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3.1 In-Scope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BNPL (Buy-Now-Pay-Later) credit scoring for partner store purchases.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Goods loan credit scoring for product financing.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Pre-screen risk assessment for quick initial filtering.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Integration with national Credit Bureau for real-time score retrieval.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Automated decision engine with configurable thresholds.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Manual review queue management for borderline applications.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Scoring analytics dashboard for risk monitoring.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SMS notification system for applicant decision communication.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3.2 Out-of-Scope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Post-loan monitoring and early warning systems.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Collection and recovery management.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Customer onboarding and KYC verification (handled by separate systems).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Accounting and general ledger integration.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Mobile application development (separate project).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Partner store management portal enhancements.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4.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 Level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Concerns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Risk 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 accuracy, risk thresholds, regulatory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Sales 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Key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Approval rates, speed of decisions, customer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 Development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Implementer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Technical feasibility, integration complexity, system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Committee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Override capability, manual review queue,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 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turnaround time, approval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Compliance/Legal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privacy, consent management, regulatory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Beneficiary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 decision, transparent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Finance 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Cost of implementation, ROI tracking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5. Business Requirements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5.1 Automated Scoring (BR-101)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BR-101: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automatically score all incoming credit applications within 60 seconds of submission. The scoring process must be fully automated with no manual intervention required for standard applications.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Speed is the primary competitive advantage. Customers expect instant decisions for BNPL purchases.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5.2 Multi-Factor Assessment (BR-102)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BR-102: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support multi-factor risk assessment incorporating the following factors: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Credit Bureau Score (weight: 30%) — External credit history and rating.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Income Level (weight: 25%) — Verified monthly income in AZN.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Debt-to-Income Ratio (weight: 20%) — Total existing obligations vs. income.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Employment Stability (weight: 15%) — Duration and type of current employment.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Existing Loan Obligations (weight: 10%) — Number and status of active loans.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Multi-factor assessment provides a holistic view of applicant creditworthiness.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5.3 Auto-Approve Threshold (BR-103)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BR-103: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automatically approve credit applications with a composite score of 80 or above (on a 0-100 scale). Auto-approved applications must bypass manual review entirely and proceed directly to loan disbursement preparation.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High-score applicants represent low risk and should be processed immediately.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5.4 Manual Review Routing (BR-104)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BR-104: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route credit applications with a composite score between 50 and 79 (inclusive) to the manual review queue. The system must prioritize the queue by score (highest first) and assign applications to available credit analysts.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Borderline cases require human judgment to evaluate contextual factors not captured by the scoring model.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5.5 Auto-Reject Threshold (BR-105)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BR-105: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automatically reject credit applications with a composite score below 50. Rejected applications must be recorded with the reason code and score breakdown for audit purposes.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Low-score applicants present unacceptable risk levels and should not consume manual review resources.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5.6 Credit Bureau Integration (BR-106)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BR-106: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integrate with the national Credit Bureau via a secure API to retrieve applicant credit scores in real-time. The integration must handle timeouts gracefully and fall back to alternative assessment if the bureau is unavailable.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Bureau data is a critical input for accurate credit scoring.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5.7 Scoring Dashboard (BR-107)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BR-107: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provide a real-time analytics dashboard for monitoring scoring performance. The dashboard must display: total applications processed, approval/review/rejection rates, average processing time, score distribution, and daily/weekly/monthly trends.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Rationale: Management visibility into scoring performance is essential for ongoing optimization.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6. Assumptions &amp; Constraints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6.1 Assumptions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Credit Bureau API will be available 99.5% of the time with response times under 5 seconds.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Applicant data (name, PIN, income, employment) will be pre-populated by the partner store or mobile app.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scoring model weights are configurable by the Risk Department without code changes.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SMS gateway service is already available and can be integrated via API.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All applicants have provided valid consent for credit bureau inquiry.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6.2 Constraints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must comply with Azerbaijani data protection regulations and banking supervision requirements.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response time for automated scoring is 60 seconds (including bureau lookup).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must support a minimum of 500 concurrent application submissions.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All scoring decisions must be logged and retained for a minimum of 7 years for audit purposes.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Budget for the initial implementation phase is fixed and non-negotiable.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7.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BNPL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Buy-Now-Pay-Later — A short-term credit facility allowing customers to purchase goods and pay in installments.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Bureau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centralized agency that collects and maintains consumer credit information.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numerical representation (0-100) of an applicant's creditworthiness.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 Ratio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Debt-to-Income Ratio — The percentage of monthly income allocated to debt payments.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Pre-Screen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initial quick assessment to filter out obviously ineligible applicants.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software component that applies business rules to determine credit outcomes.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 Review Queue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prioritized list of applications requiring human analyst evaluation.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Identification Number — A unique 7-character identifier for Azerbaijani citizens.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AZN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Azerbaijani Manat — The official currency of Azerbaijan.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release of funds to the borrower or merchant after loan approval.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Embafinans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2026-04-25T08:51:42.710Z</dcterms:created>
  <dcterms:modified xsi:type="dcterms:W3CDTF">2026-04-25T08:51:42.710Z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