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A6496"/>
          <w:sz w:val="48"/>
          <w:szCs w:val="48"/>
        </w:rPr>
        <w:t xml:space="preserve">Gap Analysis Report</w:t>
      </w:r>
    </w:p>
    <w:p>
      <w:pPr>
        <w:spacing w:after="200"/>
      </w:pPr>
      <w:r>
        <w:rPr>
          <w:rFonts w:ascii="Calibri" w:cs="Calibri" w:eastAsia="Calibri" w:hAnsi="Calibri"/>
          <w:color w:val="666666"/>
          <w:sz w:val="28"/>
          <w:szCs w:val="28"/>
        </w:rPr>
        <w:t xml:space="preserve">Manual vs Automated Credit Assessment</w:t>
      </w:r>
    </w:p>
    <w:p>
      <w:pPr>
        <w:spacing w:after="200" w:before="200"/>
      </w:pPr>
      <w:r>
        <w:rPr>
          <w:rFonts w:ascii="Calibri" w:cs="Calibri" w:eastAsia="Calibri" w:hAnsi="Calibri"/>
          <w:b/>
          <w:bCs/>
          <w:color w:val="2A6496"/>
          <w:sz w:val="26"/>
          <w:szCs w:val="2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Project</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Credit Scoring System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Document Version</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1.0</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Date</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2026-04-25</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Author</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BA Team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Status</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Draft</w:t>
            </w:r>
          </w:p>
        </w:tc>
      </w:tr>
    </w:tbl>
    <w:p>
      <w:pPr>
        <w:spacing w:after="100" w:before="100"/>
      </w:pPr>
      <w:r>
        <w:rPr>
          <w:rFonts w:ascii="Calibri" w:cs="Calibri" w:eastAsia="Calibri" w:hAnsi="Calibri"/>
          <w:i/>
          <w:iCs/>
          <w:color w:val="666666"/>
          <w:sz w:val="18"/>
          <w:szCs w:val="18"/>
        </w:rPr>
        <w:t xml:space="preserve">Confidentiality Notice: This document contains confidential information belonging to Embafinans. Unauthorized distribution is prohibited.</w:t>
      </w:r>
    </w:p>
    <w:p>
      <w:r>
        <w:br/>
      </w:r>
    </w:p>
    <w:p>
      <w:pPr>
        <w:spacing w:after="200" w:before="400" w:line="276"/>
      </w:pPr>
      <w:r>
        <w:rPr>
          <w:rFonts w:ascii="Calibri" w:cs="Calibri" w:eastAsia="Calibri" w:hAnsi="Calibri"/>
          <w:b/>
          <w:bCs/>
          <w:color w:val="2A6496"/>
          <w:sz w:val="32"/>
          <w:szCs w:val="32"/>
        </w:rPr>
        <w:t xml:space="preserve">Table of Contents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Introduction</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Methodology</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Gap Analysis Matrix</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Priority Summary</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Recommendations</w:t>
      </w:r>
    </w:p>
    <w:p>
      <w:r>
        <w:br w:type="page"/>
      </w:r>
    </w:p>
    <w:p>
      <w:pPr>
        <w:spacing w:after="200" w:before="400" w:line="276"/>
      </w:pPr>
      <w:r>
        <w:rPr>
          <w:rFonts w:ascii="Calibri" w:cs="Calibri" w:eastAsia="Calibri" w:hAnsi="Calibri"/>
          <w:b/>
          <w:bCs/>
          <w:color w:val="2A6496"/>
          <w:sz w:val="32"/>
          <w:szCs w:val="32"/>
        </w:rPr>
        <w:t xml:space="preserve">1. Introduction</w:t>
      </w:r>
    </w:p>
    <w:p>
      <w:pPr>
        <w:spacing w:after="120" w:line="276"/>
      </w:pPr>
      <w:r>
        <w:rPr>
          <w:rFonts w:ascii="Calibri" w:cs="Calibri" w:eastAsia="Calibri" w:hAnsi="Calibri"/>
          <w:color w:val="333333"/>
          <w:sz w:val="21"/>
          <w:szCs w:val="21"/>
        </w:rPr>
        <w:t xml:space="preserve">This Gap Analysis document compares the current manual credit assessment process with the proposed automated credit scoring system. The analysis identifies gaps across key operational areas and provides prioritized recommendations to guide the implementation roadmap.</w:t>
      </w:r>
    </w:p>
    <w:p>
      <w:pPr>
        <w:spacing w:after="120" w:line="276"/>
      </w:pPr>
      <w:r>
        <w:rPr>
          <w:rFonts w:ascii="Calibri" w:cs="Calibri" w:eastAsia="Calibri" w:hAnsi="Calibri"/>
          <w:color w:val="333333"/>
          <w:sz w:val="21"/>
          <w:szCs w:val="21"/>
        </w:rPr>
        <w:t xml:space="preserve">The current state analysis is based on interviews with the Risk Department, Sales team, and IT Development, as well as process observation sessions conducted during Q4 2024. The future state reflects the capabilities defined in the BRD and FRD for the Embafinans Credit Scoring System.</w:t>
      </w:r>
    </w:p>
    <w:p>
      <w:pPr>
        <w:spacing w:after="200" w:before="400" w:line="276"/>
      </w:pPr>
      <w:r>
        <w:rPr>
          <w:rFonts w:ascii="Calibri" w:cs="Calibri" w:eastAsia="Calibri" w:hAnsi="Calibri"/>
          <w:b/>
          <w:bCs/>
          <w:color w:val="2A6496"/>
          <w:sz w:val="32"/>
          <w:szCs w:val="32"/>
        </w:rPr>
        <w:t xml:space="preserve">2. Methodology</w:t>
      </w:r>
    </w:p>
    <w:p>
      <w:pPr>
        <w:spacing w:after="120" w:line="276"/>
      </w:pPr>
      <w:r>
        <w:rPr>
          <w:rFonts w:ascii="Calibri" w:cs="Calibri" w:eastAsia="Calibri" w:hAnsi="Calibri"/>
          <w:color w:val="333333"/>
          <w:sz w:val="21"/>
          <w:szCs w:val="21"/>
        </w:rPr>
        <w:t xml:space="preserve">The gap analysis follows a structured approach:</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Process Mapping: Document current (As-Is) credit assessment workflows.</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Target Definition: Define desired (To-Be) automated capabilities based on BRD/FRD.</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Gap Identification: Compare As-Is vs To-Be across all functional areas.</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Priority Assessment: Rate each gap based on business impact and urgency.</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Recommendation: Propose actionable solutions for each identified gap.</w:t>
      </w:r>
    </w:p>
    <w:p>
      <w:pPr>
        <w:spacing w:after="120" w:line="276"/>
      </w:pPr>
      <w:r>
        <w:rPr>
          <w:rFonts w:ascii="Calibri" w:cs="Calibri" w:eastAsia="Calibri" w:hAnsi="Calibri"/>
          <w:color w:val="333333"/>
          <w:sz w:val="21"/>
          <w:szCs w:val="21"/>
        </w:rPr>
        <w:t xml:space="preserve">Priority levels are defined as: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High: Critical business impact; must be addressed in Phase 1.</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Medium: Significant improvement opportunity; addressed in Phase 2.</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Low: Nice-to-have enhancement; addressed in Phase 3 or later.</w:t>
      </w:r>
    </w:p>
    <w:p>
      <w:pPr>
        <w:spacing w:after="200" w:before="400" w:line="276"/>
      </w:pPr>
      <w:r>
        <w:rPr>
          <w:rFonts w:ascii="Calibri" w:cs="Calibri" w:eastAsia="Calibri" w:hAnsi="Calibri"/>
          <w:b/>
          <w:bCs/>
          <w:color w:val="2A6496"/>
          <w:sz w:val="32"/>
          <w:szCs w:val="32"/>
        </w:rPr>
        <w:t xml:space="preserve">3. Gap Analysis Matrix</w:t>
      </w:r>
    </w:p>
    <w:p>
      <w:pPr>
        <w:spacing w:after="120" w:line="276"/>
      </w:pPr>
      <w:r>
        <w:rPr>
          <w:rFonts w:ascii="Calibri" w:cs="Calibri" w:eastAsia="Calibri" w:hAnsi="Calibri"/>
          <w:color w:val="333333"/>
          <w:sz w:val="21"/>
          <w:szCs w:val="21"/>
        </w:rPr>
        <w:t xml:space="preserve">The following table presents the comprehensive gap analysis across all identified areas:</w:t>
      </w:r>
    </w:p>
    <w:p>
      <w:pPr>
        <w:spacing w:after="6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tcW w:type="dxa" w:w="13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Area</w:t>
            </w:r>
          </w:p>
        </w:tc>
        <w:tc>
          <w:tcPr>
            <w:tcW w:type="dxa" w:w="19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Current State (As-Is)</w:t>
            </w:r>
          </w:p>
        </w:tc>
        <w:tc>
          <w:tcPr>
            <w:tcW w:type="dxa" w:w="19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Future State (To-Be)</w:t>
            </w:r>
          </w:p>
        </w:tc>
        <w:tc>
          <w:tcPr>
            <w:tcW w:type="dxa" w:w="19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Gap Description</w:t>
            </w:r>
          </w:p>
        </w:tc>
        <w:tc>
          <w:tcPr>
            <w:tcW w:type="dxa" w:w="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Priority</w:t>
            </w:r>
          </w:p>
        </w:tc>
        <w:tc>
          <w:tcPr>
            <w:tcW w:type="dxa" w:w="31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Recommendation</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Decision Speed</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5-7 business days manual processing through committee review</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60 seconds automated scoring with instant decision</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Critical speed bottleneck: current manual process cannot scale with growing application volumes and loses customers to competitors</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automated scoring engine with real-time bureau integration and configurable decision rules</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Risk Assessment Methodology</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Subjective manual evaluation by individual analysts with varying experience levels</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Multi-factor weighted scoring model with 5 standardized factors</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Inconsistent risk evaluation leading to variable approval standards and potential bias in decision-making</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Deploy scoring model with 5 weighted factors: bureau score (30%), income (25%), DTI (20%), employment (15%), loans (10%)</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Bureau Integration</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Phone and fax requests to bureau with 1-3 day turnaround</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 API integration with &lt; 5 second response time</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Delayed bureau data forces analysts to make decisions without complete information</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Integrate with Credit Bureau REST API using OAuth 2.0 authentication with retry logic</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Approval Workflow</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committee meeting required for all applications (weekly schedule)</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Auto-approve for score &gt;= 80; manual review queue for score 50-79</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Committee bottleneck creates delay; unnecessary for clear-cut approval and rejection cases</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automated decision engine with configurable thresholds and manual review queue management</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Tracking &amp; Reporting</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Excel spreadsheets maintained manually by each analyst</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 web-based analytics dashboard with drill-down capabilities</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real-time visibility into scoring performance; delayed and error-prone manual reporting</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Build analytics dashboard with KPI cards, trend charts, score distribution, and queue monitoring</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Communication</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Phone call notifications by sales agents after committee decision</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SMS notifications sent immediately upon decision</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Slow notification process; inconsistent messaging; no delivery tracking</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Low</w:t>
            </w:r>
          </w:p>
        </w:tc>
        <w:tc>
          <w:tcPr>
            <w:tcW w:type="dxa" w:w="3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SMS service integration with automated templates for approve/review/reject decisions</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Audit Trail</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Paper-based files stored in physical cabinets</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Digital audit trail with full scoring context retained for 7 years</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centralized digital record; difficult to retrieve historical decisions for compliance review</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comprehensive logging system with encrypted storage and compliance retention policy</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Scalability</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Maximum ~50 applications per week with current team</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Support 5,000+ applications per day with automated system</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Cannot handle projected growth; seasonal peaks cause significant backlogs</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Design horizontally scalable architecture with queue-based processing and auto-scaling</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Pre-Screening</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formal pre-screening; all applications go through full manual review</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pre-screen filtering based on minimum eligibility criteria</w:t>
            </w:r>
          </w:p>
        </w:tc>
        <w:tc>
          <w:tcPr>
            <w:tcW w:type="dxa" w:w="19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Resource waste on clearly ineligible applications; analysts spend time on obvious rejections</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pre-screen rules engine to reject applications failing minimum criteria before bureau inquiry</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Score Configuration</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Scoring criteria defined informally and vary by analyst</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Configurable scoring weights and thresholds managed by Risk Department</w:t>
            </w:r>
          </w:p>
        </w:tc>
        <w:tc>
          <w:tcPr>
            <w:tcW w:type="dxa" w:w="19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formalized scoring framework; inability to quickly adjust risk appetite</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Build admin interface for Risk team to configure scoring weights, thresholds, and decision rules</w:t>
            </w:r>
          </w:p>
        </w:tc>
      </w:tr>
    </w:tbl>
    <w:p>
      <w:r>
        <w:br w:type="page"/>
      </w:r>
    </w:p>
    <w:p>
      <w:pPr>
        <w:spacing w:after="200" w:before="400" w:line="276"/>
      </w:pPr>
      <w:r>
        <w:rPr>
          <w:rFonts w:ascii="Calibri" w:cs="Calibri" w:eastAsia="Calibri" w:hAnsi="Calibri"/>
          <w:b/>
          <w:bCs/>
          <w:color w:val="2A6496"/>
          <w:sz w:val="32"/>
          <w:szCs w:val="32"/>
        </w:rPr>
        <w:t xml:space="preserve">4. Priority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Count</w:t>
            </w:r>
          </w:p>
        </w:tc>
        <w:tc>
          <w:tcPr>
            <w:tcW w:type="dxa" w:w="44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Areas</w:t>
            </w:r>
          </w:p>
        </w:tc>
        <w:tc>
          <w:tcPr>
            <w:tcW w:type="dxa" w:w="31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Implementation Phase</w:t>
            </w:r>
          </w:p>
        </w:tc>
      </w:tr>
      <w:tr>
        <w:tc>
          <w:tcPr>
            <w:tcW w:type="dxa" w:w="1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7</w:t>
            </w:r>
          </w:p>
        </w:tc>
        <w:tc>
          <w:tcPr>
            <w:tcW w:type="dxa" w:w="4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Decision Speed, Risk Assessment, Bureau Integration, Approval Workflow, Scalability, Score Configuration, Pre-Screening*</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Phase 1 (Q1 2025)</w:t>
            </w:r>
          </w:p>
        </w:tc>
      </w:tr>
      <w:tr>
        <w:tc>
          <w:tcPr>
            <w:tcW w:type="dxa" w:w="1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3</w:t>
            </w:r>
          </w:p>
        </w:tc>
        <w:tc>
          <w:tcPr>
            <w:tcW w:type="dxa" w:w="4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Tracking &amp; Reporting, Audit Trail, Pre-Screening</w:t>
            </w:r>
          </w:p>
        </w:tc>
        <w:tc>
          <w:tcPr>
            <w:tcW w:type="dxa" w:w="3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Phase 2 (Q2 2025)</w:t>
            </w:r>
          </w:p>
        </w:tc>
      </w:tr>
      <w:tr>
        <w:tc>
          <w:tcPr>
            <w:tcW w:type="dxa" w:w="1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1</w:t>
            </w:r>
          </w:p>
        </w:tc>
        <w:tc>
          <w:tcPr>
            <w:tcW w:type="dxa" w:w="4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Communication (SMS)</w:t>
            </w:r>
          </w:p>
        </w:tc>
        <w:tc>
          <w:tcPr>
            <w:tcW w:type="dxa" w:w="3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Phase 3 (Q3 2025)</w:t>
            </w:r>
          </w:p>
        </w:tc>
      </w:tr>
    </w:tbl>
    <w:p>
      <w:pPr>
        <w:spacing w:after="120" w:line="276"/>
      </w:pPr>
      <w:r>
        <w:rPr>
          <w:rFonts w:ascii="Calibri" w:cs="Calibri" w:eastAsia="Calibri" w:hAnsi="Calibri"/>
          <w:color w:val="333333"/>
          <w:sz w:val="21"/>
          <w:szCs w:val="21"/>
        </w:rPr>
        <w:t xml:space="preserve">*Pre-Screening spans Medium priority for full implementation and High priority for basic rules.</w:t>
      </w:r>
    </w:p>
    <w:p>
      <w:pPr>
        <w:spacing w:after="200" w:before="400" w:line="276"/>
      </w:pPr>
      <w:r>
        <w:rPr>
          <w:rFonts w:ascii="Calibri" w:cs="Calibri" w:eastAsia="Calibri" w:hAnsi="Calibri"/>
          <w:b/>
          <w:bCs/>
          <w:color w:val="2A6496"/>
          <w:sz w:val="32"/>
          <w:szCs w:val="32"/>
        </w:rPr>
        <w:t xml:space="preserve">5. Recommendations</w:t>
      </w:r>
    </w:p>
    <w:p>
      <w:pPr>
        <w:spacing w:after="150" w:before="300" w:line="276"/>
      </w:pPr>
      <w:r>
        <w:rPr>
          <w:rFonts w:ascii="Calibri" w:cs="Calibri" w:eastAsia="Calibri" w:hAnsi="Calibri"/>
          <w:b/>
          <w:bCs/>
          <w:color w:val="1B3A5C"/>
          <w:sz w:val="26"/>
          <w:szCs w:val="26"/>
        </w:rPr>
        <w:t xml:space="preserve">5.1 Immediate Actions (Phase 1)</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Finalize credit scoring model design with Risk Department sign-off on factor weights and thresholds.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Establish Credit Bureau API integration agreement and complete technical onboarding.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Develop and deploy the core automated scoring engine with decision automation.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Implement manual review queue with analyst assignment and prioritization logic.</w:t>
      </w:r>
    </w:p>
    <w:p>
      <w:pPr>
        <w:spacing w:after="150" w:before="300" w:line="276"/>
      </w:pPr>
      <w:r>
        <w:rPr>
          <w:rFonts w:ascii="Calibri" w:cs="Calibri" w:eastAsia="Calibri" w:hAnsi="Calibri"/>
          <w:b/>
          <w:bCs/>
          <w:color w:val="1B3A5C"/>
          <w:sz w:val="26"/>
          <w:szCs w:val="26"/>
        </w:rPr>
        <w:t xml:space="preserve">5.2 Short-Term Actions (Phase 2)</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Build and deploy the real-time analytics dashboard for risk monitoring.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Implement digital audit trail system with 7-year retention policy.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Enhance pre-screening with additional eligibility rules based on initial operational data.</w:t>
      </w:r>
    </w:p>
    <w:p>
      <w:pPr>
        <w:spacing w:after="150" w:before="300" w:line="276"/>
      </w:pPr>
      <w:r>
        <w:rPr>
          <w:rFonts w:ascii="Calibri" w:cs="Calibri" w:eastAsia="Calibri" w:hAnsi="Calibri"/>
          <w:b/>
          <w:bCs/>
          <w:color w:val="1B3A5C"/>
          <w:sz w:val="26"/>
          <w:szCs w:val="26"/>
        </w:rPr>
        <w:t xml:space="preserve">5.3 Medium-Term Actions (Phase 3)</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Deploy automated SMS notification system with Azerbaijani-language templates.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Integrate dashboard with CRM for unified customer view.</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Implement machine learning model enhancement based on 6+ months of scoring data.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Embafinans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2026-04-25T08:51:42.852Z</dcterms:created>
  <dcterms:modified xsi:type="dcterms:W3CDTF">2026-04-25T08:51:42.852Z</dcterms:modified>
</cp:coreProperties>
</file>

<file path=docProps/custom.xml><?xml version="1.0" encoding="utf-8"?>
<Properties xmlns="http://schemas.openxmlformats.org/officeDocument/2006/custom-properties" xmlns:vt="http://schemas.openxmlformats.org/officeDocument/2006/docPropsVTypes"/>
</file>