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rFonts w:ascii="Calibri" w:cs="Calibri" w:eastAsia="Calibri" w:hAnsi="Calibri"/>
          <w:b/>
          <w:bCs/>
          <w:color w:val="2A6496"/>
          <w:sz w:val="48"/>
          <w:szCs w:val="48"/>
        </w:rPr>
        <w:t xml:space="preserve">Data Mapping Document</w:t>
      </w:r>
    </w:p>
    <w:p>
      <w:pPr>
        <w:spacing w:after="200"/>
      </w:pPr>
      <w:r>
        <w:rPr>
          <w:rFonts w:ascii="Calibri" w:cs="Calibri" w:eastAsia="Calibri" w:hAnsi="Calibri"/>
          <w:color w:val="666666"/>
          <w:sz w:val="28"/>
          <w:szCs w:val="28"/>
        </w:rPr>
        <w:t xml:space="preserve">Payment Gateway Integration</w:t>
      </w:r>
    </w:p>
    <w:p>
      <w:pPr>
        <w:spacing w:after="200" w:before="200"/>
      </w:pPr>
      <w:r>
        <w:rPr>
          <w:rFonts w:ascii="Calibri" w:cs="Calibri" w:eastAsia="Calibri" w:hAnsi="Calibri"/>
          <w:b/>
          <w:bCs/>
          <w:color w:val="2A6496"/>
          <w:sz w:val="26"/>
          <w:szCs w:val="26"/>
        </w:rPr>
        <w:t xml:space="preserve">Document Information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A5C"/>
                <w:sz w:val="21"/>
                <w:szCs w:val="21"/>
              </w:rPr>
              <w:t xml:space="preserve">Project</w:t>
            </w:r>
          </w:p>
        </w:tc>
        <w:tc>
          <w:tcPr>
            <w:tcW w:type="pct" w:w="7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Embafinans B2C Sales Channel</w:t>
            </w:r>
          </w:p>
        </w:tc>
      </w:tr>
      <w:tr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A5C"/>
                <w:sz w:val="21"/>
                <w:szCs w:val="21"/>
              </w:rPr>
              <w:t xml:space="preserve">Document Version</w:t>
            </w:r>
          </w:p>
        </w:tc>
        <w:tc>
          <w:tcPr>
            <w:tcW w:type="pct" w:w="7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1.0</w:t>
            </w:r>
          </w:p>
        </w:tc>
      </w:tr>
      <w:tr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A5C"/>
                <w:sz w:val="21"/>
                <w:szCs w:val="21"/>
              </w:rPr>
              <w:t xml:space="preserve">Date</w:t>
            </w:r>
          </w:p>
        </w:tc>
        <w:tc>
          <w:tcPr>
            <w:tcW w:type="pct" w:w="7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2026-04-25</w:t>
            </w:r>
          </w:p>
        </w:tc>
      </w:tr>
      <w:tr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A5C"/>
                <w:sz w:val="21"/>
                <w:szCs w:val="21"/>
              </w:rPr>
              <w:t xml:space="preserve">Author</w:t>
            </w:r>
          </w:p>
        </w:tc>
        <w:tc>
          <w:tcPr>
            <w:tcW w:type="pct" w:w="7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Embafinans BA Team</w:t>
            </w:r>
          </w:p>
        </w:tc>
      </w:tr>
      <w:tr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A5C"/>
                <w:sz w:val="21"/>
                <w:szCs w:val="21"/>
              </w:rPr>
              <w:t xml:space="preserve">Status</w:t>
            </w:r>
          </w:p>
        </w:tc>
        <w:tc>
          <w:tcPr>
            <w:tcW w:type="pct" w:w="7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Draft</w:t>
            </w:r>
          </w:p>
        </w:tc>
      </w:tr>
    </w:tbl>
    <w:p>
      <w:pPr>
        <w:spacing w:after="100" w:before="100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Confidentiality Notice: This document contains confidential information belonging to Embafinans. Unauthorized distribution is prohibited.</w:t>
      </w:r>
    </w:p>
    <w:p>
      <w:r>
        <w:br/>
      </w:r>
    </w:p>
    <w:p>
      <w:pPr>
        <w:spacing w:after="200" w:before="400" w:line="276"/>
      </w:pPr>
      <w:r>
        <w:rPr>
          <w:rFonts w:ascii="Calibri" w:cs="Calibri" w:eastAsia="Calibri" w:hAnsi="Calibri"/>
          <w:b/>
          <w:bCs/>
          <w:color w:val="2A6496"/>
          <w:sz w:val="32"/>
          <w:szCs w:val="32"/>
        </w:rPr>
        <w:t xml:space="preserve">Table of Contents</w:t>
      </w:r>
    </w:p>
    <w:p>
      <w:pPr>
        <w:spacing w:after="100" w:line="276"/>
        <w:ind w:left="360"/>
      </w:pPr>
      <w:r>
        <w:rPr>
          <w:rFonts w:ascii="Calibri" w:cs="Calibri" w:eastAsia="Calibri" w:hAnsi="Calibri"/>
          <w:b/>
          <w:bCs/>
          <w:color w:val="2A6496"/>
          <w:sz w:val="21"/>
          <w:szCs w:val="21"/>
        </w:rPr>
        <w:t xml:space="preserve">1. 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Introduction</w:t>
      </w:r>
    </w:p>
    <w:p>
      <w:pPr>
        <w:spacing w:after="100" w:line="276"/>
        <w:ind w:left="360"/>
      </w:pPr>
      <w:r>
        <w:rPr>
          <w:rFonts w:ascii="Calibri" w:cs="Calibri" w:eastAsia="Calibri" w:hAnsi="Calibri"/>
          <w:b/>
          <w:bCs/>
          <w:color w:val="2A6496"/>
          <w:sz w:val="21"/>
          <w:szCs w:val="21"/>
        </w:rPr>
        <w:t xml:space="preserve">2. 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Source &amp; Target Systems</w:t>
      </w:r>
    </w:p>
    <w:p>
      <w:pPr>
        <w:spacing w:after="100" w:line="276"/>
        <w:ind w:left="360"/>
      </w:pPr>
      <w:r>
        <w:rPr>
          <w:rFonts w:ascii="Calibri" w:cs="Calibri" w:eastAsia="Calibri" w:hAnsi="Calibri"/>
          <w:b/>
          <w:bCs/>
          <w:color w:val="2A6496"/>
          <w:sz w:val="21"/>
          <w:szCs w:val="21"/>
        </w:rPr>
        <w:t xml:space="preserve">3. 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Payment Request Mapping</w:t>
      </w:r>
    </w:p>
    <w:p>
      <w:pPr>
        <w:spacing w:after="100" w:line="276"/>
        <w:ind w:left="360"/>
      </w:pPr>
      <w:r>
        <w:rPr>
          <w:rFonts w:ascii="Calibri" w:cs="Calibri" w:eastAsia="Calibri" w:hAnsi="Calibri"/>
          <w:b/>
          <w:bCs/>
          <w:color w:val="2A6496"/>
          <w:sz w:val="21"/>
          <w:szCs w:val="21"/>
        </w:rPr>
        <w:t xml:space="preserve">4. 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Payment Response Mapping</w:t>
      </w:r>
    </w:p>
    <w:p>
      <w:pPr>
        <w:spacing w:after="100" w:line="276"/>
        <w:ind w:left="360"/>
      </w:pPr>
      <w:r>
        <w:rPr>
          <w:rFonts w:ascii="Calibri" w:cs="Calibri" w:eastAsia="Calibri" w:hAnsi="Calibri"/>
          <w:b/>
          <w:bCs/>
          <w:color w:val="2A6496"/>
          <w:sz w:val="21"/>
          <w:szCs w:val="21"/>
        </w:rPr>
        <w:t xml:space="preserve">5. 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Webhook / Callback Mapping</w:t>
      </w:r>
    </w:p>
    <w:p>
      <w:pPr>
        <w:spacing w:after="100" w:line="276"/>
        <w:ind w:left="360"/>
      </w:pPr>
      <w:r>
        <w:rPr>
          <w:rFonts w:ascii="Calibri" w:cs="Calibri" w:eastAsia="Calibri" w:hAnsi="Calibri"/>
          <w:b/>
          <w:bCs/>
          <w:color w:val="2A6496"/>
          <w:sz w:val="21"/>
          <w:szCs w:val="21"/>
        </w:rPr>
        <w:t xml:space="preserve">6. 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Error Code Mapping</w:t>
      </w:r>
    </w:p>
    <w:p>
      <w:r>
        <w:br w:type="page"/>
      </w:r>
    </w:p>
    <w:p>
      <w:pPr>
        <w:spacing w:after="200" w:before="400" w:line="276"/>
      </w:pPr>
      <w:r>
        <w:rPr>
          <w:rFonts w:ascii="Calibri" w:cs="Calibri" w:eastAsia="Calibri" w:hAnsi="Calibri"/>
          <w:b/>
          <w:bCs/>
          <w:color w:val="2A6496"/>
          <w:sz w:val="32"/>
          <w:szCs w:val="32"/>
        </w:rPr>
        <w:t xml:space="preserve">1. Introduction</w:t>
      </w:r>
    </w:p>
    <w:p>
      <w:pPr>
        <w:spacing w:after="12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This Data Mapping Document defines the field-level data exchange between the Embafinans B2C platform and the Payment Gateway. It covers payment requests, responses, webhook notifications, and error code translations required for seamless payment processing.</w:t>
      </w:r>
    </w:p>
    <w:p>
      <w:pPr>
        <w:spacing w:after="12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The payment gateway acts as the intermediary between the customer's bank and Embafinans, handling card authorization, capture, and settlement processes.</w:t>
      </w:r>
    </w:p>
    <w:p>
      <w:pPr>
        <w:spacing w:after="200" w:before="400" w:line="276"/>
      </w:pPr>
      <w:r>
        <w:rPr>
          <w:rFonts w:ascii="Calibri" w:cs="Calibri" w:eastAsia="Calibri" w:hAnsi="Calibri"/>
          <w:b/>
          <w:bCs/>
          <w:color w:val="2A6496"/>
          <w:sz w:val="32"/>
          <w:szCs w:val="32"/>
        </w:rPr>
        <w:t xml:space="preserve">2. Source &amp; Target Systems</w:t>
      </w:r>
    </w:p>
    <w:p>
      <w:pPr>
        <w:spacing w:after="150" w:before="300" w:line="276"/>
      </w:pPr>
      <w:r>
        <w:rPr>
          <w:rFonts w:ascii="Calibri" w:cs="Calibri" w:eastAsia="Calibri" w:hAnsi="Calibri"/>
          <w:b/>
          <w:bCs/>
          <w:color w:val="1B3A5C"/>
          <w:sz w:val="26"/>
          <w:szCs w:val="26"/>
        </w:rPr>
        <w:t xml:space="preserve">2.1 Payment Request Flow</w:t>
      </w:r>
    </w:p>
    <w:p>
      <w:pPr>
        <w:spacing w:after="80" w:line="276"/>
        <w:ind w:left="720"/>
      </w:pPr>
      <w:r>
        <w:rPr>
          <w:rFonts w:ascii="Calibri" w:cs="Calibri" w:eastAsia="Calibri" w:hAnsi="Calibri"/>
          <w:color w:val="2A6496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Source: Embafinans B2C Platform (Order Service)</w:t>
      </w:r>
    </w:p>
    <w:p>
      <w:pPr>
        <w:spacing w:after="80" w:line="276"/>
        <w:ind w:left="720"/>
      </w:pPr>
      <w:r>
        <w:rPr>
          <w:rFonts w:ascii="Calibri" w:cs="Calibri" w:eastAsia="Calibri" w:hAnsi="Calibri"/>
          <w:color w:val="2A6496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Target: Payment Gateway (Processing API)</w:t>
      </w:r>
    </w:p>
    <w:p>
      <w:pPr>
        <w:spacing w:after="150" w:before="300" w:line="276"/>
      </w:pPr>
      <w:r>
        <w:rPr>
          <w:rFonts w:ascii="Calibri" w:cs="Calibri" w:eastAsia="Calibri" w:hAnsi="Calibri"/>
          <w:b/>
          <w:bCs/>
          <w:color w:val="1B3A5C"/>
          <w:sz w:val="26"/>
          <w:szCs w:val="26"/>
        </w:rPr>
        <w:t xml:space="preserve">2.2 Payment Response Flow</w:t>
      </w:r>
    </w:p>
    <w:p>
      <w:pPr>
        <w:spacing w:after="80" w:line="276"/>
        <w:ind w:left="720"/>
      </w:pPr>
      <w:r>
        <w:rPr>
          <w:rFonts w:ascii="Calibri" w:cs="Calibri" w:eastAsia="Calibri" w:hAnsi="Calibri"/>
          <w:color w:val="2A6496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Source: Payment Gateway (Processing API)</w:t>
      </w:r>
    </w:p>
    <w:p>
      <w:pPr>
        <w:spacing w:after="80" w:line="276"/>
        <w:ind w:left="720"/>
      </w:pPr>
      <w:r>
        <w:rPr>
          <w:rFonts w:ascii="Calibri" w:cs="Calibri" w:eastAsia="Calibri" w:hAnsi="Calibri"/>
          <w:color w:val="2A6496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Target: Embafinans B2C Platform (Order Service)</w:t>
      </w:r>
    </w:p>
    <w:p>
      <w:pPr>
        <w:spacing w:after="150" w:before="300" w:line="276"/>
      </w:pPr>
      <w:r>
        <w:rPr>
          <w:rFonts w:ascii="Calibri" w:cs="Calibri" w:eastAsia="Calibri" w:hAnsi="Calibri"/>
          <w:b/>
          <w:bCs/>
          <w:color w:val="1B3A5C"/>
          <w:sz w:val="26"/>
          <w:szCs w:val="26"/>
        </w:rPr>
        <w:t xml:space="preserve">2.3 Webhook / Callback Flow</w:t>
      </w:r>
    </w:p>
    <w:p>
      <w:pPr>
        <w:spacing w:after="80" w:line="276"/>
        <w:ind w:left="720"/>
      </w:pPr>
      <w:r>
        <w:rPr>
          <w:rFonts w:ascii="Calibri" w:cs="Calibri" w:eastAsia="Calibri" w:hAnsi="Calibri"/>
          <w:color w:val="2A6496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Source: Payment Gateway (Notification API)</w:t>
      </w:r>
    </w:p>
    <w:p>
      <w:pPr>
        <w:spacing w:after="80" w:line="276"/>
        <w:ind w:left="720"/>
      </w:pPr>
      <w:r>
        <w:rPr>
          <w:rFonts w:ascii="Calibri" w:cs="Calibri" w:eastAsia="Calibri" w:hAnsi="Calibri"/>
          <w:color w:val="2A6496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Target: Embafinans B2C Platform (Webhook Receiver)</w:t>
      </w:r>
    </w:p>
    <w:p>
      <w:pPr>
        <w:spacing w:after="200" w:before="400" w:line="276"/>
      </w:pPr>
      <w:r>
        <w:rPr>
          <w:rFonts w:ascii="Calibri" w:cs="Calibri" w:eastAsia="Calibri" w:hAnsi="Calibri"/>
          <w:b/>
          <w:bCs/>
          <w:color w:val="2A6496"/>
          <w:sz w:val="32"/>
          <w:szCs w:val="32"/>
        </w:rPr>
        <w:t xml:space="preserve">3. Payment Request Mapping</w:t>
      </w:r>
    </w:p>
    <w:p>
      <w:pPr>
        <w:spacing w:after="12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Fields sent from Embafinans to the Payment Gateway when initiating a payment:</w:t>
      </w:r>
    </w:p>
    <w:p>
      <w:pPr>
        <w:spacing w:after="60"/>
      </w:pPr>
      <w:r>
        <w:rPr>
          <w:sz w:val="10"/>
          <w:szCs w:val="10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2A6496" w:val="solid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Source Field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2A6496" w:val="solid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Source Description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2A6496" w:val="solid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Target Field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2A6496" w:val="solid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Target Description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2A6496" w:val="solid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2A6496" w:val="solid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Transformation Rule</w:t>
            </w:r>
          </w:p>
        </w:tc>
        <w:tc>
          <w:tcPr>
            <w:tcW w:type="dxa" w:w="2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2A6496" w:val="solid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Validation Rule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order_id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Internal order identifier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merchant_reference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Merchant order reference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Direct pass-through, no transformation</w:t>
            </w:r>
          </w:p>
        </w:tc>
        <w:tc>
          <w:tcPr>
            <w:tcW w:type="dxa" w:w="2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NOT NULL, unique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payment_amount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Total payment amount in AZN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amount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Payment amount in minor units (qapik)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INTEGER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Multiply by 100 (e.g., 150.50 AZN -&gt; 15050)</w:t>
            </w:r>
          </w:p>
        </w:tc>
        <w:tc>
          <w:tcPr>
            <w:tcW w:type="dxa" w:w="2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&gt; 0, &lt;= 50,000,000 (qapik)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payment_currency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Transaction currency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currency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ISO 4217 currency code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VARCHAR(3)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Direct pass-through</w:t>
            </w:r>
          </w:p>
        </w:tc>
        <w:tc>
          <w:tcPr>
            <w:tcW w:type="dxa" w:w="2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Always 'AZN'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customer_name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Customer full 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customer_name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Cardholder name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TRIM, max 100 chars</w:t>
            </w:r>
          </w:p>
        </w:tc>
        <w:tc>
          <w:tcPr>
            <w:tcW w:type="dxa" w:w="2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customer_email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Customer email address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customer_email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Cardholder email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TRIM, lowercase</w:t>
            </w:r>
          </w:p>
        </w:tc>
        <w:tc>
          <w:tcPr>
            <w:tcW w:type="dxa" w:w="2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Valid email format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customer_phone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Customer phone number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customer_phone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Cardholder phone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VARCHAR(13)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Format +994XXXXXXXXX</w:t>
            </w:r>
          </w:p>
        </w:tc>
        <w:tc>
          <w:tcPr>
            <w:tcW w:type="dxa" w:w="2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Valid phone format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return_url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Redirect URL after payment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return_url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Success redirect URL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VARCHAR(500)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URL encode, append order_id param</w:t>
            </w:r>
          </w:p>
        </w:tc>
        <w:tc>
          <w:tcPr>
            <w:tcW w:type="dxa" w:w="2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Valid HTTPS URL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callback_url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Webhook notification URL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callback_url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Async notification URL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VARCHAR(500)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Direct pass-through</w:t>
            </w:r>
          </w:p>
        </w:tc>
        <w:tc>
          <w:tcPr>
            <w:tcW w:type="dxa" w:w="2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Valid HTTPS URL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payment_description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Order description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Transaction description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Truncate to 200 chars</w:t>
            </w:r>
          </w:p>
        </w:tc>
        <w:tc>
          <w:tcPr>
            <w:tcW w:type="dxa" w:w="2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language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Customer language preference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language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Gateway UI language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VARCHAR(2)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Map: 'az' -&gt; 'az', 'en' -&gt; 'en', 'ru' -&gt; 'ru'</w:t>
            </w:r>
          </w:p>
        </w:tc>
        <w:tc>
          <w:tcPr>
            <w:tcW w:type="dxa" w:w="2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az, en, or ru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installment_count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Number of installments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installment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Bank installment plan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INTEGER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Pass 0 for lump sum, 3/6/12/18/24 for installments</w:t>
            </w:r>
          </w:p>
        </w:tc>
        <w:tc>
          <w:tcPr>
            <w:tcW w:type="dxa" w:w="2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0, 3, 6, 12, 18, or 24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ip_address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Customer IP address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customer_ip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Customer IP for fraud detection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VARCHAR(45)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Direct pass-through (IPv4/IPv6)</w:t>
            </w:r>
          </w:p>
        </w:tc>
        <w:tc>
          <w:tcPr>
            <w:tcW w:type="dxa" w:w="2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Valid IP address format</w:t>
            </w:r>
          </w:p>
        </w:tc>
      </w:tr>
    </w:tbl>
    <w:p>
      <w:r>
        <w:br w:type="page"/>
      </w:r>
    </w:p>
    <w:p>
      <w:pPr>
        <w:spacing w:after="200" w:before="400" w:line="276"/>
      </w:pPr>
      <w:r>
        <w:rPr>
          <w:rFonts w:ascii="Calibri" w:cs="Calibri" w:eastAsia="Calibri" w:hAnsi="Calibri"/>
          <w:b/>
          <w:bCs/>
          <w:color w:val="2A6496"/>
          <w:sz w:val="32"/>
          <w:szCs w:val="32"/>
        </w:rPr>
        <w:t xml:space="preserve">4. Payment Response Mapping</w:t>
      </w:r>
    </w:p>
    <w:p>
      <w:pPr>
        <w:spacing w:after="12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Fields received from the Payment Gateway after payment processing:</w:t>
      </w:r>
    </w:p>
    <w:p>
      <w:pPr>
        <w:spacing w:after="60"/>
      </w:pPr>
      <w:r>
        <w:rPr>
          <w:sz w:val="10"/>
          <w:szCs w:val="10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2A6496" w:val="solid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Gateway Field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2A6496" w:val="solid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Gateway Description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2A6496" w:val="solid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Internal Field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2A6496" w:val="solid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Internal Description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2A6496" w:val="solid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2A6496" w:val="solid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Transformation Rule</w:t>
            </w:r>
          </w:p>
        </w:tc>
        <w:tc>
          <w:tcPr>
            <w:tcW w:type="dxa" w:w="2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2A6496" w:val="solid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Validation Rule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transaction_id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Unique transaction ID from gateway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pg_transaction_id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Payment gateway transaction reference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Direct pass-through, store as-is</w:t>
            </w:r>
          </w:p>
        </w:tc>
        <w:tc>
          <w:tcPr>
            <w:tcW w:type="dxa" w:w="2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status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Transaction status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payment_status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Normalized payment status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ENUM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Map: 'SUCCESS' -&gt; COMPLETED, 'PENDING' -&gt; PENDING, 'FAILED' -&gt; FAILED, 'CANCELLED' -&gt; CANCELLED</w:t>
            </w:r>
          </w:p>
        </w:tc>
        <w:tc>
          <w:tcPr>
            <w:tcW w:type="dxa" w:w="2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Valid enum value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response_code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Gateway response code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pg_response_code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Raw gateway response code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VARCHAR(10)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Direct pass-through</w:t>
            </w:r>
          </w:p>
        </w:tc>
        <w:tc>
          <w:tcPr>
            <w:tcW w:type="dxa" w:w="2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response_message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Human-readable response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pg_response_message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Response description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VARCHAR(500)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TRIM, store original</w:t>
            </w:r>
          </w:p>
        </w:tc>
        <w:tc>
          <w:tcPr>
            <w:tcW w:type="dxa" w:w="2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rrn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Retrieval Reference Number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bank_rrn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Bank RRN for reconciliation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Direct pass-through</w:t>
            </w:r>
          </w:p>
        </w:tc>
        <w:tc>
          <w:tcPr>
            <w:tcW w:type="dxa" w:w="2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Alphanumeric, max 20 chars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approval_code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Bank approval code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bank_approval_code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Authorization code from bank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VARCHAR(10)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Direct pass-through</w:t>
            </w:r>
          </w:p>
        </w:tc>
        <w:tc>
          <w:tcPr>
            <w:tcW w:type="dxa" w:w="2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Alphanumeric, max 10 chars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card_mask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Masked card number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card_last_four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Last 4 digits of card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VARCHAR(4)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Extract last 4 digits from masked PAN (e.g., '****1234' -&gt; '1234')</w:t>
            </w:r>
          </w:p>
        </w:tc>
        <w:tc>
          <w:tcPr>
            <w:tcW w:type="dxa" w:w="2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Exactly 4 digits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card_brand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Card network 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card_type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Card brand (VISA/MC)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ENUM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Map: 'VISA' -&gt; VISA, 'MASTERCARD' -&gt; MASTERCARD, 'LOCAL' -&gt; LOCAL</w:t>
            </w:r>
          </w:p>
        </w:tc>
        <w:tc>
          <w:tcPr>
            <w:tcW w:type="dxa" w:w="2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Valid enum value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3ds_status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3D Secure authentication result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three_ds_verified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Whether 3DS was verified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BOOLEAN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Map: 'Y' -&gt; true, 'A' -&gt; true (attempted), 'N' -&gt; false</w:t>
            </w:r>
          </w:p>
        </w:tc>
        <w:tc>
          <w:tcPr>
            <w:tcW w:type="dxa" w:w="2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Boolean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process_time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Processing time in ms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processing_time_ms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Gateway processing duration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INTEGER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Parse as integer</w:t>
            </w:r>
          </w:p>
        </w:tc>
        <w:tc>
          <w:tcPr>
            <w:tcW w:type="dxa" w:w="2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&gt; 0</w:t>
            </w:r>
          </w:p>
        </w:tc>
      </w:tr>
    </w:tbl>
    <w:p>
      <w:pPr>
        <w:spacing w:after="200" w:before="400" w:line="276"/>
      </w:pPr>
      <w:r>
        <w:rPr>
          <w:rFonts w:ascii="Calibri" w:cs="Calibri" w:eastAsia="Calibri" w:hAnsi="Calibri"/>
          <w:b/>
          <w:bCs/>
          <w:color w:val="2A6496"/>
          <w:sz w:val="32"/>
          <w:szCs w:val="32"/>
        </w:rPr>
        <w:t xml:space="preserve">5. Webhook / Callback Mapping</w:t>
      </w:r>
    </w:p>
    <w:p>
      <w:pPr>
        <w:spacing w:after="12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Asynchronous webhook notifications from the Payment Gateway for status changes:</w:t>
      </w:r>
    </w:p>
    <w:p>
      <w:pPr>
        <w:spacing w:after="60"/>
      </w:pPr>
      <w:r>
        <w:rPr>
          <w:sz w:val="10"/>
          <w:szCs w:val="10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2A6496" w:val="solid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Webhook Field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2A6496" w:val="solid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2A6496" w:val="solid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Internal Field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2A6496" w:val="solid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2A6496" w:val="solid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Transformation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merchant_reference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Order ID sent in request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order_id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Direct lookup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transaction_id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Gateway transaction 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pg_transaction_id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Direct mapping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new_status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Updated transaction 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payment_status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ENUM</w:t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Normalize to internal status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amount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Final processed amount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settled_amount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DECIMAL(12,2)</w:t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Convert from minor units (divide by 100)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currency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Transaction currency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payment_currency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VARCHAR(3)</w:t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Direct mapping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timestamp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Event timestamp (UTC)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pg_event_timestamp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DATETIME</w:t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Parse ISO 8601, convert to Baku time (UTC+4)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signature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HMAC signature for verification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pg_signature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VARCHAR(256)</w:t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Verify with shared secret before processing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failure_reason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Reason for failure (if applicable)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failure_reason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VARCHAR(500)</w:t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TRIM, store original</w:t>
            </w:r>
          </w:p>
        </w:tc>
      </w:tr>
    </w:tbl>
    <w:p>
      <w:pPr>
        <w:spacing w:after="200" w:before="400" w:line="276"/>
      </w:pPr>
      <w:r>
        <w:rPr>
          <w:rFonts w:ascii="Calibri" w:cs="Calibri" w:eastAsia="Calibri" w:hAnsi="Calibri"/>
          <w:b/>
          <w:bCs/>
          <w:color w:val="2A6496"/>
          <w:sz w:val="32"/>
          <w:szCs w:val="32"/>
        </w:rPr>
        <w:t xml:space="preserve">6. Error Code Mapping</w:t>
      </w:r>
    </w:p>
    <w:p>
      <w:pPr>
        <w:spacing w:after="12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Standard error codes and their translations for customer-facing messages:</w:t>
      </w:r>
    </w:p>
    <w:p>
      <w:pPr>
        <w:spacing w:after="60"/>
      </w:pPr>
      <w:r>
        <w:rPr>
          <w:sz w:val="10"/>
          <w:szCs w:val="10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2A6496" w:val="solid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Gateway Code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2A6496" w:val="solid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Gateway Message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2A6496" w:val="solid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Internal Code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2A6496" w:val="solid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Customer Message (AZ)</w:t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2A6496" w:val="solid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001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Transaction approved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PAY_SUCCESS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Odenis ugurla teleb olundu</w:t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Update order to PAYMENT_COMPLETED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002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Insufficient funds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PAY_INSUFFICIENT_FUNDS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Kartda kifayet qeder vesait yoxdur</w:t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Prompt customer to use different card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003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Expired card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PAY_CARD_EXPIRED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Kartin muddeti bitmisdir</w:t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Prompt customer to update card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004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Invalid card number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PAY_INVALID_CARD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Kart nomresi yanlisdir</w:t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Prompt customer to re-enter card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005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Transaction declined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PAY_DECLINED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Odenis lehv edilib. Zehmet olmasa basqa kart istifade edin</w:t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Prompt retry with different card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006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Timeout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PAY_TIMEOUT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Odenis zamani kecdi. Zehmet olmasa yeniden cavab deyin</w:t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Allow customer to retry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007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Duplicate transaction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PAY_DUPLICATE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Bu odenis artiq teleb olunub</w:t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Check order status, prevent duplicate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008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3DS verification failed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PAY_3DS_FAILED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Dogrulama ugursuz oldu</w:t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Restart 3DS flow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099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System error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PAY_SYSTEM_ERROR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Texniki xeta bas verdi. Zehmet olmasa biraz sonra yeniden cavab deyin</w:t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Log error, alert ops team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66666"/>
        <w:sz w:val="18"/>
        <w:szCs w:val="18"/>
      </w:rPr>
      <w:t xml:space="preserve">Page </w:t>
    </w:r>
    <w:r>
      <w:rPr>
        <w:rFonts w:ascii="Calibri" w:cs="Calibri" w:eastAsia="Calibri" w:hAnsi="Calibri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66666"/>
        <w:sz w:val="18"/>
        <w:szCs w:val="18"/>
      </w:rPr>
      <w:t xml:space="preserve"> of </w:t>
    </w:r>
    <w:r>
      <w:rPr>
        <w:rFonts w:ascii="Calibri" w:cs="Calibri" w:eastAsia="Calibri" w:hAnsi="Calibri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666666"/>
        <w:sz w:val="18"/>
        <w:szCs w:val="18"/>
      </w:rPr>
      <w:t xml:space="preserve">Embafinans —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21"/>
        <w:szCs w:val="21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2026-04-25T08:51:42.955Z</dcterms:created>
  <dcterms:modified xsi:type="dcterms:W3CDTF">2026-04-25T08:51:42.955Z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